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2D153" w14:textId="77777777" w:rsidR="00462882" w:rsidRDefault="00462882">
      <w:pPr>
        <w:spacing w:before="3600"/>
      </w:pPr>
    </w:p>
    <w:p w14:paraId="5CA54D2B" w14:textId="77777777" w:rsidR="00462882" w:rsidRDefault="00000000">
      <w:pPr>
        <w:spacing w:after="200"/>
        <w:jc w:val="center"/>
      </w:pPr>
      <w:r>
        <w:rPr>
          <w:b/>
          <w:bCs/>
          <w:color w:val="1F3864"/>
          <w:sz w:val="48"/>
          <w:szCs w:val="48"/>
        </w:rPr>
        <w:t>Current-State Process Documentation</w:t>
      </w:r>
    </w:p>
    <w:p w14:paraId="4C8E59AA" w14:textId="77777777" w:rsidR="00462882" w:rsidRDefault="00000000">
      <w:pPr>
        <w:spacing w:after="100"/>
        <w:jc w:val="center"/>
      </w:pPr>
      <w:r>
        <w:rPr>
          <w:color w:val="595959"/>
          <w:sz w:val="28"/>
          <w:szCs w:val="28"/>
        </w:rPr>
        <w:t>Operational Assessment &amp; Process Documentation</w:t>
      </w:r>
    </w:p>
    <w:p w14:paraId="0C12AFF1" w14:textId="77777777" w:rsidR="00462882" w:rsidRDefault="00000000">
      <w:pPr>
        <w:spacing w:after="600"/>
        <w:jc w:val="center"/>
      </w:pPr>
      <w:r>
        <w:rPr>
          <w:color w:val="595959"/>
          <w:sz w:val="28"/>
          <w:szCs w:val="28"/>
        </w:rPr>
        <w:t>Excel Fire Protection Co., Inc.</w:t>
      </w:r>
    </w:p>
    <w:p w14:paraId="43F47A94" w14:textId="77777777" w:rsidR="00462882" w:rsidRDefault="00000000">
      <w:pPr>
        <w:spacing w:after="80"/>
        <w:jc w:val="center"/>
      </w:pPr>
      <w:r>
        <w:t>Prepared by: Predictive Lines</w:t>
      </w:r>
    </w:p>
    <w:p w14:paraId="150F6B4A" w14:textId="77777777" w:rsidR="00462882" w:rsidRDefault="00000000">
      <w:pPr>
        <w:spacing w:after="80"/>
        <w:jc w:val="center"/>
      </w:pPr>
      <w:r>
        <w:t>Prepared for: Kevin Masich / Excel Fire Protection</w:t>
      </w:r>
    </w:p>
    <w:p w14:paraId="0B93C277" w14:textId="77777777" w:rsidR="00462882" w:rsidRDefault="00000000">
      <w:pPr>
        <w:spacing w:after="80"/>
        <w:jc w:val="center"/>
      </w:pPr>
      <w:r>
        <w:t>Date: April 2026</w:t>
      </w:r>
    </w:p>
    <w:p w14:paraId="3E97F4C5" w14:textId="77777777" w:rsidR="00462882" w:rsidRDefault="00000000">
      <w:pPr>
        <w:spacing w:after="80"/>
        <w:jc w:val="center"/>
      </w:pPr>
      <w:r>
        <w:rPr>
          <w:i/>
          <w:iCs/>
        </w:rPr>
        <w:t>Status: Draft</w:t>
      </w:r>
    </w:p>
    <w:p w14:paraId="6696037A" w14:textId="77777777" w:rsidR="00462882" w:rsidRDefault="00462882">
      <w:pPr>
        <w:sectPr w:rsidR="00462882">
          <w:pgSz w:w="12240" w:h="15840"/>
          <w:pgMar w:top="1440" w:right="1440" w:bottom="1440" w:left="1440" w:header="708" w:footer="708" w:gutter="0"/>
          <w:cols w:space="720"/>
          <w:docGrid w:linePitch="360"/>
        </w:sectPr>
      </w:pPr>
    </w:p>
    <w:p w14:paraId="24105E53" w14:textId="77777777" w:rsidR="00462882" w:rsidRDefault="00000000">
      <w:pPr>
        <w:pStyle w:val="Heading1"/>
      </w:pPr>
      <w:r>
        <w:lastRenderedPageBreak/>
        <w:t>1. Executive Summary</w:t>
      </w:r>
    </w:p>
    <w:p w14:paraId="22FF6B6C" w14:textId="77777777" w:rsidR="00462882" w:rsidRDefault="00000000">
      <w:pPr>
        <w:spacing w:after="120"/>
      </w:pPr>
      <w:r>
        <w:t>This document presents the current-state process documentation for Excel Fire Protection Co., Inc. ("Excel Fire" or "the Company"), a union fire sprinkler contractor operating out of Marquette, Michigan. The Company employs seven people, generates approximately $2 million in annual revenue, and operates under a United Association Local 669 Collective Bargaining Agreement for its field staff.</w:t>
      </w:r>
    </w:p>
    <w:p w14:paraId="3BC8DCD6" w14:textId="77777777" w:rsidR="00462882" w:rsidRDefault="00000000">
      <w:pPr>
        <w:spacing w:after="120"/>
      </w:pPr>
      <w:r>
        <w:t>This assessment was conducted in accordance with the Statement of Work executed March 30, 2026 between Kevin Masich / Excel Fire Protection (Client) and Justin Miller / Predictive Lines (Consultant). The engagement covers six workstreams: Financial Operations &amp; Controls, Revenue Generation &amp; Customer Management, Project Delivery &amp; Operations, People &amp; Administration, Institutional Knowledge &amp; Key Relationships, and Regulatory &amp; Compliance.</w:t>
      </w:r>
    </w:p>
    <w:p w14:paraId="23CCC5FA" w14:textId="77777777" w:rsidR="00462882" w:rsidRDefault="00000000">
      <w:pPr>
        <w:spacing w:after="120"/>
      </w:pPr>
      <w:r>
        <w:t>The methodology employed included interviews with the owner and key employees, direct observation of business operations, review of existing documentation and financial records, and assessment of technology systems currently in use.</w:t>
      </w:r>
    </w:p>
    <w:p w14:paraId="01D3BF32" w14:textId="77777777" w:rsidR="00462882" w:rsidRDefault="00000000">
      <w:pPr>
        <w:spacing w:after="120"/>
      </w:pPr>
      <w:r>
        <w:t>The findings presented here document how the business operates today. This is not a gap analysis or recommendations report. Where processes are informal, undocumented, or nonexistent, those findings are stated as current-state facts. A separate Gap Analysis &amp; Risk Assessment (Deliverable 2) and Modernization Plan &amp; Roadmap (Deliverable 3) will follow under the same engagement.</w:t>
      </w:r>
    </w:p>
    <w:p w14:paraId="335A9D8F" w14:textId="77777777" w:rsidR="00462882" w:rsidRDefault="00000000">
      <w:pPr>
        <w:pStyle w:val="Heading1"/>
      </w:pPr>
      <w:r>
        <w:t>2. Workstream Findings</w:t>
      </w:r>
    </w:p>
    <w:p w14:paraId="365B39DD" w14:textId="77777777" w:rsidR="00462882" w:rsidRDefault="00000000">
      <w:pPr>
        <w:pStyle w:val="Heading3"/>
      </w:pPr>
      <w:r>
        <w:t>Cross-Workstream Observation: Communication Practices</w:t>
      </w:r>
    </w:p>
    <w:p w14:paraId="42B1319E" w14:textId="2142A12C" w:rsidR="003E0E2C" w:rsidRDefault="00000000">
      <w:pPr>
        <w:spacing w:after="120"/>
      </w:pPr>
      <w:r>
        <w:t>The following observation applies across all workstreams documented in this section. The Company’s default mode of outbound communication is the telephone. Phone calls are the primary channel used by all staff (owner, field, and office) when reaching out to customers, vendors, subcontractors, and regulators. Email is used as a fallback when phone contact is not practical, and is used reactively when responding to inbound email inquiries. The Company does not maintain standardized text, chat, messaging, or other electronic communication channels as part of its routine business operations. There is an active fax line and per Krissy there are some customers that utilize it on rare occasion, but it was not observed or reported to be in regular use.</w:t>
      </w:r>
    </w:p>
    <w:p w14:paraId="5A2A033A" w14:textId="77777777" w:rsidR="00462882" w:rsidRDefault="00000000">
      <w:pPr>
        <w:pStyle w:val="Heading2"/>
      </w:pPr>
      <w:r>
        <w:t>2.1 Financial Operations &amp; Controls</w:t>
      </w:r>
    </w:p>
    <w:p w14:paraId="18CABDEF" w14:textId="77777777" w:rsidR="00462882" w:rsidRDefault="00000000">
      <w:pPr>
        <w:pStyle w:val="Heading3"/>
      </w:pPr>
      <w:r>
        <w:t>Accounting Systems, Chart of Accounts &amp; General Ledger</w:t>
      </w:r>
    </w:p>
    <w:p w14:paraId="34E548F3" w14:textId="67F4B394" w:rsidR="00462882" w:rsidRDefault="00000000">
      <w:pPr>
        <w:spacing w:after="120"/>
      </w:pPr>
      <w:r>
        <w:t>The Company uses QuickBooks Desktop Pro Plus 2024 as its primary accounting system and financial system of record. Day-to-day bookkeeping, general ledger management, and chart of accounts maintenance are outsourced to Anderson, Tackman &amp; Company ("AT&amp;C"), a local accounting firm. Jamie Hooper serves as the dedicated bookkeeper, and Dan Bianchi, CPA serves as the firm’s accountant and tax preparer for Excel Fire.</w:t>
      </w:r>
    </w:p>
    <w:p w14:paraId="5B2C64EC" w14:textId="77777777" w:rsidR="00462882" w:rsidRDefault="00000000">
      <w:pPr>
        <w:spacing w:after="120"/>
      </w:pPr>
      <w:r>
        <w:t>The owner does not perform routine journal entries or ledger reconciliation. Financial oversight is informal and consists primarily of monitoring the Company’s bank account balance and reviewing direct materials invoices for accuracy.</w:t>
      </w:r>
    </w:p>
    <w:p w14:paraId="512898FC" w14:textId="48FEF5BF" w:rsidR="00462882" w:rsidRDefault="00000000">
      <w:pPr>
        <w:spacing w:after="120"/>
      </w:pPr>
      <w:r>
        <w:lastRenderedPageBreak/>
        <w:t>The chart of accounts in its current form has several structural limitations that affect the usefulness of QuickBooks-derived financial reporting for third-party analysis. Most notably, the revenue side of the chart of accounts does not cleanly segregate revenue by the type of work being performed. Two distinctions that are normally considered important in construction trades, and that are commonly requested by lenders and diligence parties, are not reliably separable from the general ledger as currently structured:</w:t>
      </w:r>
    </w:p>
    <w:p w14:paraId="1D81E0ED" w14:textId="77777777" w:rsidR="00462882" w:rsidRDefault="00000000">
      <w:pPr>
        <w:pStyle w:val="ListParagraph"/>
        <w:numPr>
          <w:ilvl w:val="0"/>
          <w:numId w:val="2"/>
        </w:numPr>
        <w:spacing w:after="60"/>
      </w:pPr>
      <w:r>
        <w:t>New-construction installations vs. renovation installations. These two categories behave very differently with respect to the macroeconomic environment — most importantly, they carry different sensitivities to commercial construction financing conditions and prevailing interest rates. A lender evaluating the business through an interest-rate-risk lens typically wants to know what share of installation revenue is tied to new commercial construction starts (highly rate-sensitive) versus renovation and tenant-improvement work (less directly rate-sensitive). The current chart of accounts does not support this split, and the distinction can only be reconstructed by going job by job through the underlying project files.</w:t>
      </w:r>
    </w:p>
    <w:p w14:paraId="1A9EB4B9" w14:textId="77777777" w:rsidR="00462882" w:rsidRDefault="00000000">
      <w:pPr>
        <w:pStyle w:val="ListParagraph"/>
        <w:numPr>
          <w:ilvl w:val="0"/>
          <w:numId w:val="2"/>
        </w:numPr>
        <w:spacing w:after="60"/>
      </w:pPr>
      <w:r>
        <w:t>Installation revenue vs. repair/service revenue. Installation work and repair-or-service work have materially different gross margin profiles, different seasonality patterns, different customer-concentration profiles, and different working-capital characteristics. These are not segregated in the chart of accounts; installation and service/repair activity fall into the same income account(s) and cannot be cleanly distinguished on a standard QuickBooks P&amp;L without going back to the underlying invoice detail. Inspection revenue, by contrast, is tracked in its own dedicated income account and is the one recurring revenue stream that can be read directly off the chart of accounts without reclassification.</w:t>
      </w:r>
    </w:p>
    <w:p w14:paraId="58ECFDC2" w14:textId="78267BA5" w:rsidR="00F9664D" w:rsidRDefault="00000000">
      <w:pPr>
        <w:spacing w:after="120"/>
      </w:pPr>
      <w:r>
        <w:t>On the cost-of-goods-sold side, the chart of accounts is broadly consistent with the segmentation that current industry practice in fire protection contracting would normally use. Direct job costs are separated into direct materials, direct wages, subcontracted labor, design-direct costs, plan costs, and equipment repair and rental, and labor-burden items (FICA, FUTA, SUTA, workers’ compensation insurance, employee benefits, and subsistence) are broken out into their own COGS sub-accounts rather than buried in overhead. This structure is generally adequate to support job costing and gross margin reporting at the level most specialty trade contractors would expect.</w:t>
      </w:r>
    </w:p>
    <w:p w14:paraId="16CFE85A" w14:textId="77627248" w:rsidR="00F9664D" w:rsidRDefault="00000000">
      <w:pPr>
        <w:spacing w:after="120"/>
      </w:pPr>
      <w:r>
        <w:t>The operating expense section of the chart of accounts, by contrast,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carry typographical errors that have never been corrected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 The practical effect is that standard QuickBooks reports run against the current expense structure do not produce an overhead picture that can be directly compared to industry benchmarks without manual reclassification.</w:t>
      </w:r>
    </w:p>
    <w:p w14:paraId="41117540" w14:textId="77777777" w:rsidR="00462882" w:rsidRDefault="00000000">
      <w:pPr>
        <w:spacing w:after="120"/>
      </w:pPr>
      <w:r>
        <w:t xml:space="preserve">None of the foregoing reflects an error in AT&amp;C’s bookkeeping against the chart of accounts as it exists; it reflects the structure of the chart of accounts itself, which has grown organically over many years to support tax filing and owner-level cash oversight rather than management reporting, diligence reporting, or lender reporting. Reconstructing the reporting views described </w:t>
        <w:lastRenderedPageBreak/>
        <w:t>above for purposes of this engagement has required manual grouping of transaction-level data outside of QuickBooks.</w:t>
      </w:r>
    </w:p>
    <w:p w14:paraId="55CBE6B3" w14:textId="77777777" w:rsidR="00462882" w:rsidRDefault="00000000">
      <w:pPr>
        <w:pStyle w:val="Heading3"/>
      </w:pPr>
      <w:r>
        <w:t>Accounts Receivable</w:t>
      </w:r>
    </w:p>
    <w:p w14:paraId="0A5E41B0" w14:textId="4751CEE4" w:rsidR="00462882" w:rsidRDefault="00000000">
      <w:pPr>
        <w:spacing w:after="120"/>
      </w:pPr>
      <w:r>
        <w:t>Invoices are generated through QuickBooks Desktop. The default QuickBooks invoice template applied to outbound invoicing carries Net 30 payment terms; this is the standard payment term offered to customers absent a specific contract provision overriding it. Follow-up on outstanding invoices is ad hoc and occurs when someone recalls that a balance may be overdue or when an effort is made to update the active jobs whiteboard described below. There is no aging report review cadence, no structured collections process, and no centralized tracking mechanism outside of QuickBooks.</w:t>
      </w:r>
    </w:p>
    <w:p w14:paraId="5D0ABC8D" w14:textId="77777777" w:rsidR="00462882" w:rsidRDefault="00000000">
      <w:pPr>
        <w:spacing w:after="120"/>
      </w:pPr>
      <w:r>
        <w:t>The Company’s QuickBooks records contain stale accounts receivable that have not been written off in accordance with standard accounting practices. Old receivable balances remain on the books without formal disposition.</w:t>
      </w:r>
    </w:p>
    <w:p w14:paraId="7FF04F3A" w14:textId="695F5FC3" w:rsidR="00462882" w:rsidRDefault="00000000">
      <w:pPr>
        <w:spacing w:after="120"/>
      </w:pPr>
      <w:r>
        <w:t>Customer remittances are received almost exclusively by paper check delivered through the mail or dropped off in person. A small number of customers have paid by credit card, but credit card payment is not actively encouraged or promoted by the Company. There is no electronic payment portal, ACH processing, or other digital remittance option offered to customers.</w:t>
      </w:r>
    </w:p>
    <w:p w14:paraId="411C5463" w14:textId="69C381DF" w:rsidR="00462882" w:rsidRDefault="00000000">
      <w:pPr>
        <w:spacing w:after="120"/>
      </w:pPr>
      <w:r>
        <w:t>One recent exception to the paper-check norm was documented during this engagement: a year-old invoice for a small commercial project (a big box hardware store that was struggling with submitting vendor invoices correctly to their corporate office for payment) was collected via Square. This is understood to be one of the very few times the Company has accepted a credit card payment through Square. No recurring Square merchant account workflow was established as a result.</w:t>
      </w:r>
    </w:p>
    <w:p w14:paraId="76DE3E97" w14:textId="287ACB62" w:rsidR="00462882" w:rsidRDefault="00000000">
      <w:pPr>
        <w:spacing w:after="120"/>
      </w:pPr>
      <w:r>
        <w:t>The Company maintains an informal physical tracking system for open invoices and billing milestones. An office whiteboard is used to list active jobs with the amounts owed and the percentage complete for each. Larger installation projects are billed against milestone triggers — typically a kickoff deposit, progress billings at roughing-in and finishing stages, a billing at final completion, and a retainage release on contract closeout. These milestone schedules are tracked by the office staff against the whiteboard and the physical project files rather than in QuickBooks.</w:t>
      </w:r>
    </w:p>
    <w:p w14:paraId="471424E2" w14:textId="77777777" w:rsidR="00462882" w:rsidRDefault="00000000">
      <w:pPr>
        <w:spacing w:after="120"/>
      </w:pPr>
      <w:r>
        <w:t>The whiteboard is only as accurate as the information flowing back from the field, and it suffers directly from the field-to-office communication gap documented in Section 2.3. Because job status updates reach the office only when someone physically delivers paperwork or verbally reports that a job is complete, the whiteboard routinely carries stale percentage-complete figures — including cases where a job is shown at 0% or an early-progress percentage even though the field crew has already performed substantial work, and cases where a job sits at partial progress on the board long after the field crew has closed it out. The whiteboard is therefore a directional artifact for the office’s view of active work rather than a reliable system of record, and any collections follow-up, invoicing cadence, or pipeline read that relies on it should be understood to carry a material accuracy caveat.</w:t>
      </w:r>
    </w:p>
    <w:p w14:paraId="6AD7DFDF" w14:textId="77777777" w:rsidR="00462882" w:rsidRDefault="00000000">
      <w:pPr>
        <w:pStyle w:val="Heading3"/>
      </w:pPr>
      <w:r>
        <w:t>Accounts Payable</w:t>
      </w:r>
    </w:p>
    <w:p w14:paraId="76B44BD2" w14:textId="77777777" w:rsidR="00462882" w:rsidRDefault="00000000">
      <w:pPr>
        <w:spacing w:after="120"/>
      </w:pPr>
      <w:r>
        <w:t>The majority of the Company’s vendor payments are processed through business credit cards. The Company intentionally utilizes the 30-day credit card payment cycle to manage accounts payable timing and cash flow. Betty, the office administrator, is responsible for making credit card payments. Fees and late charges are minimal, indicating timely payment practices.</w:t>
      </w:r>
    </w:p>
    <w:p w14:paraId="7DCDA102" w14:textId="67292FCD" w:rsidR="00462882" w:rsidRDefault="00000000">
      <w:pPr>
        <w:spacing w:after="120"/>
      </w:pPr>
      <w:r>
        <w:lastRenderedPageBreak/>
        <w:t>Credit card bill payments themselves are made manually by Betty from the paper monthly statement, by telephone. The Company does not use online banking or an online credit card portal to schedule or review payments.</w:t>
      </w:r>
    </w:p>
    <w:p w14:paraId="54A6D551" w14:textId="77777777" w:rsidR="00462882" w:rsidRDefault="00000000">
      <w:pPr>
        <w:spacing w:after="120"/>
      </w:pPr>
      <w:r>
        <w:t>Reconciliation of the credit card accounts in QuickBooks is also performed manually in a checkbook-register style. Betty keys every individual credit card charge into QuickBooks line by line from the paper statement, rather than using QuickBooks’ bank-feed / credit-card-feed integration which would auto-populate and auto-classify transactions and automatically flag imbalances. The same manual approach is used for bank reconciliation. The result is a reconciliation process that consumes materially more hours per month than it would under a connected-feed workflow.</w:t>
      </w:r>
    </w:p>
    <w:p w14:paraId="1F526D8D" w14:textId="0C5A3A35" w:rsidR="00462882" w:rsidRDefault="00000000">
      <w:pPr>
        <w:spacing w:after="120"/>
      </w:pPr>
      <w:r>
        <w:t>Non-credit-card disbursements include union benefit remittances, payroll tax payments, quarterly estimated income tax payments, and insurance premiums. Payroll tax and estimated income tax payments follow a paper-check workflow: AT&amp;C calculates the amounts and enters the check details into QuickBooks, Betty prints the checks, Kevin signs them, and Betty mails them. Union benefit remittances are submitted electronically through the NASI portal (see below). Insurance premiums (West Bend Mutual, Auto-Owners) are paid by recurring electronic transfer and are coded as such in QuickBooks.</w:t>
      </w:r>
    </w:p>
    <w:p w14:paraId="38418DFE" w14:textId="77777777" w:rsidR="00462882" w:rsidRDefault="00000000">
      <w:pPr>
        <w:pStyle w:val="Heading3"/>
      </w:pPr>
      <w:r>
        <w:t>Cash Management &amp; Banking</w:t>
      </w:r>
    </w:p>
    <w:p w14:paraId="45F125F6" w14:textId="386E2A0D" w:rsidR="00462882" w:rsidRDefault="00000000">
      <w:pPr>
        <w:spacing w:after="120"/>
      </w:pPr>
      <w:r>
        <w:t>The Company maintains its banking relationship with First Bank. There is a strong personal relationship between the owner and the bank, built on longstanding trust and reputation. Check deposits are handled manually; the owner personally delivers most checks to the bank for deposit. Online banking and electronic deposit capabilities are not in current use; the Company operates under a paper-statement model for both its bank accounts and its credit card accounts.</w:t>
      </w:r>
    </w:p>
    <w:p w14:paraId="4F4A1C4B" w14:textId="77777777" w:rsidR="00462882" w:rsidRDefault="00000000">
      <w:pPr>
        <w:spacing w:after="120"/>
      </w:pPr>
      <w:r>
        <w:t>The Company has a working-capital line of credit in place with First Bank in the approximate amount of $250,000 (exact current limit subject to confirmation against the most recent bank facility documentation). The line is available to bridge short-term cash shortfalls between milestone billings, permit lead times, and payroll cycles. In practice, however, the owner’s strong preference is to avoid drawing on the line and instead to cover intra-month or intra-quarter cash gaps through interest-free loans between the Company and the owner’s related entities — specifically, inter-business transfers from Masich Properties (the property-holding entity through which the owner owns the facility leased to Excel Fire, see Facility &amp; Lease Administration in Section 2.4) and, where necessary, loans directly from the owner’s personal funds. The stated rationale is to avoid incurring interest on the First Bank line when a no-cost alternative exists within the owner’s own affiliated entities.</w:t>
      </w:r>
    </w:p>
    <w:p w14:paraId="692C3F7D" w14:textId="77777777" w:rsidR="00462882" w:rsidRDefault="00000000">
      <w:pPr>
        <w:spacing w:after="120"/>
      </w:pPr>
      <w:r>
        <w:t>These inter-company and owner-to-company transfers have historically been handled as informal cash movements rather than as documented intercompany loans with written notes, stated interest rates, or formalized repayment schedules. The arrangement is enabled by the fact that Betty maintains the books for both Excel Fire Protection and Masich Properties, which means both sides of each transfer can be recorded by the same bookkeeper on the same day without a formal handoff between entities. This is documented here as a current-state fact; it has implications for related-party disclosure, quality of earnings analysis, and working capital normalization that a buyer’s diligence team would typically examine, but no recommendation is made here. Confirmation of the current line-of-credit limit, outstanding balance (if any), and historical utilization is pending against the First Bank facility documentation.</w:t>
      </w:r>
    </w:p>
    <w:p w14:paraId="618C7ADF" w14:textId="77777777" w:rsidR="00462882" w:rsidRDefault="00000000">
      <w:pPr>
        <w:pStyle w:val="Heading3"/>
      </w:pPr>
      <w:r>
        <w:t>Payroll Processing, Tax Withholding &amp; Compliance</w:t>
      </w:r>
    </w:p>
    <w:p w14:paraId="65529C65" w14:textId="2FC9FDE6" w:rsidR="00462882" w:rsidRDefault="00000000">
      <w:pPr>
        <w:spacing w:after="120"/>
      </w:pPr>
      <w:r>
        <w:lastRenderedPageBreak/>
        <w:t>Payroll is processed biweekly (every other week) by AT&amp;C, though union members are within their rights defined by the collective bargaining agreement to request weekly pay. The process begins with handwritten paper timesheets completed by field crew members. Timesheets are left in the office by the crews, collected by Betty, and transcribed by Jamie Hooper at AT&amp;C into QuickBooks line by line for payroll processing. There is no formal review or approval step between timesheet submission and payroll processing. Per-employee, per-pay-period QuickBooks line items are maintained for base wages and for Bowman-administered benefit items that are deducted at the paycheck level.</w:t>
      </w:r>
    </w:p>
    <w:p w14:paraId="2D46B14C" w14:textId="77777777" w:rsidR="00462882" w:rsidRDefault="00000000">
      <w:pPr>
        <w:spacing w:after="120"/>
      </w:pPr>
      <w:r>
        <w:t>Tax withholdings (federal, state, FICA, and Medicare) are calculated and managed by Jamie at AT&amp;C as part of the biweekly payroll run. Quarterly estimated income tax payments, required because the Company is structured as an LLC with an S-Corp election, are also calculated by AT&amp;C. Kevin receives estimated tax payment coupons via mail; the amounts and payment instructions are handed off to Betty, who prints the checks, obtains Kevin’s signature, and mails them. Betty enters each of these tax payments into a paper-based “bills to pay” tracking list that the office uses as its internal record of what has been paid and what is outstanding.</w:t>
      </w:r>
    </w:p>
    <w:p w14:paraId="0C0C8BF3" w14:textId="155B6195" w:rsidR="00462882" w:rsidRDefault="00000000">
      <w:pPr>
        <w:spacing w:after="120"/>
      </w:pPr>
      <w:r>
        <w:t>Union benefit remittances for Local 669 employees are paid on a monthly cadence rather than per pay period, creating a structural timing mismatch with biweekly or weekly payroll. These remittances are calculated and submitted monthly through the NASI (National Automatic Sprinkler Industry) benefit fund administration portal (nasi-sprinkler.org and the related union fund submission site), which is where hours worked and contribution amounts are entered and reconciled against Local 669’s benefit funds. The employer-side union benefit contributions are not carried as QuickBooks per-pay-period line items; they are handled as a monthly lump-sum remittance process. AT&amp;C records the remittance in QuickBooks once the amount is finalized, and payment is submitted electronically.</w:t>
      </w:r>
    </w:p>
    <w:p w14:paraId="5861ACDD" w14:textId="6781BB9C" w:rsidR="00462882" w:rsidRDefault="00000000">
      <w:pPr>
        <w:spacing w:after="120"/>
      </w:pPr>
      <w:r>
        <w:t>Certified payroll reporting (required on certain government projects) is produced in-house by Betty using a Microsoft Excel spreadsheet. Because Excel Fire’s field workforce is unionized under Local 669, the union wage rate functions as the prevailing wage for certified payroll purposes, so the substantive compliance question collapses to accurately reporting hours worked and wages paid per employee per project. The current Excel workflow requires Betty to hand-maintain the workbook, and the workbook has recurring formula-error issues that complicate the preparation of each submission.</w:t>
      </w:r>
    </w:p>
    <w:p w14:paraId="36316DFB" w14:textId="3E703C46" w:rsidR="00462882" w:rsidRDefault="00000000">
      <w:pPr>
        <w:spacing w:after="120"/>
      </w:pPr>
      <w:r>
        <w:t>The reason Betty uses Excel rather than a QuickBooks-generated report is twofold. First, Excel Fire runs QuickBooks Desktop Pro Plus 2024, and the built-in Certified Payroll Report (federal WH-347 format) is a feature of the Contractor editions (Premier Contractor / Enterprise Contractor) and is not available in Pro Plus. Second, the native report aggregates hours and wages by Customer:Job, and as documented earlier in this section the Company’s QuickBooks file does not consistently use the Customer:Job hierarchy, so there is no canonical job against which to aggregate prevailing-wage hours.</w:t>
      </w:r>
    </w:p>
    <w:p w14:paraId="21550BE7" w14:textId="77777777" w:rsidR="00462882" w:rsidRDefault="00000000">
      <w:pPr>
        <w:pStyle w:val="Heading3"/>
      </w:pPr>
      <w:r>
        <w:t>Budgeting, Forecasting &amp; Financial Reporting</w:t>
      </w:r>
    </w:p>
    <w:p w14:paraId="56B66EF7" w14:textId="3A87CE4D" w:rsidR="00462882" w:rsidRDefault="00000000">
      <w:pPr>
        <w:spacing w:after="120"/>
      </w:pPr>
      <w:r>
        <w:t>There is no formal budgeting process. There is no financial forecasting process. There is no regular financial reporting cadence or management reporting package. The closest the business comes to formal financial oversight is the owner monitoring the bank account balance, reviewing direct materials invoices line by line to ensure that they match design specifications, and occasionally following up on outstanding invoices and open bids from memory.</w:t>
      </w:r>
    </w:p>
    <w:p w14:paraId="2FCBCF99" w14:textId="77777777" w:rsidR="00462882" w:rsidRDefault="00000000">
      <w:pPr>
        <w:pStyle w:val="Heading3"/>
      </w:pPr>
      <w:r>
        <w:t>Insurance Policies</w:t>
      </w:r>
    </w:p>
    <w:p>
      <w:pPr>
        <w:spacing w:after="120"/>
      </w:pPr>
      <w:r>
        <w:t xml:space="preserve">The Company’s commercial insurance program is brokered through Gauthier Insurance of Ishpeming, Michigan. Tyler Gauthier is the producer of record on the relationship, supported by Rachel Shellum and Zac Gauthier on day-to-day account servicing. The program is placed across two carrier families: the Auto-Owners Insurance Group writes Workers’ Compensation and Commercial Auto, and West Bend Insurance Company (formerly West Bend Mutual Insurance Company; renamed effective January 1, 2024) writes the commercial package, the umbrella, and the two surety/fidelity bonds. Gauthier is the agent of record on every line. The current program at the date of this assessment is summarized below; the table reflects the most recent declarations on file in the engagement deal room (the Auto-Owners Workers’ Compensation and Commercial Auto declarations are for the term ending 03/11/2026, and the West Bend package and umbrella declarations are for the term ending 03/11/2025), and the post-03/11/2026 in-force declarations have not been provided to the engagement.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1400"/>
        <w:gridCol w:w="1900"/>
        <w:gridCol w:w="3160"/>
        <w:gridCol w:w="1200"/>
      </w:tblGrid>
      <w:tr>
        <w:trPr>
          <w:tblHeader/>
        </w:trPr>
        <w:tc>
          <w:tcPr>
            <w:tcW w:w="1700" w:type="dxa"/>
            <w:shd w:val="clear" w:color="auto" w:fill="D9E2F3"/>
            <w:tcMar>
              <w:top w:w="80" w:type="dxa"/>
              <w:left w:w="100" w:type="dxa"/>
              <w:bottom w:w="80" w:type="dxa"/>
              <w:right w:w="100" w:type="dxa"/>
            </w:tcMar>
          </w:tcPr>
          <w:p>
            <w:pPr>
              <w:spacing w:after="0"/>
            </w:pPr>
            <w:r>
              <w:rPr>
                <w:b/>
                <w:bCs/>
                <w:sz w:val="20"/>
                <w:szCs w:val="20"/>
              </w:rPr>
              <w:t xml:space="preserve">Line of Coverage</w:t>
            </w:r>
          </w:p>
        </w:tc>
        <w:tc>
          <w:tcPr>
            <w:tcW w:w="1400" w:type="dxa"/>
            <w:shd w:val="clear" w:color="auto" w:fill="D9E2F3"/>
            <w:tcMar>
              <w:top w:w="80" w:type="dxa"/>
              <w:left w:w="100" w:type="dxa"/>
              <w:bottom w:w="80" w:type="dxa"/>
              <w:right w:w="100" w:type="dxa"/>
            </w:tcMar>
          </w:tcPr>
          <w:p>
            <w:pPr>
              <w:spacing w:after="0"/>
            </w:pPr>
            <w:r>
              <w:rPr>
                <w:b/>
                <w:bCs/>
                <w:sz w:val="20"/>
                <w:szCs w:val="20"/>
              </w:rPr>
              <w:t xml:space="preserve">Carrier</w:t>
            </w:r>
          </w:p>
        </w:tc>
        <w:tc>
          <w:tcPr>
            <w:tcW w:w="1900" w:type="dxa"/>
            <w:shd w:val="clear" w:color="auto" w:fill="D9E2F3"/>
            <w:tcMar>
              <w:top w:w="80" w:type="dxa"/>
              <w:left w:w="100" w:type="dxa"/>
              <w:bottom w:w="80" w:type="dxa"/>
              <w:right w:w="100" w:type="dxa"/>
            </w:tcMar>
          </w:tcPr>
          <w:p>
            <w:pPr>
              <w:spacing w:after="0"/>
            </w:pPr>
            <w:r>
              <w:rPr>
                <w:b/>
                <w:bCs/>
                <w:sz w:val="20"/>
                <w:szCs w:val="20"/>
              </w:rPr>
              <w:t xml:space="preserve">Policy &amp; Term</w:t>
            </w:r>
          </w:p>
        </w:tc>
        <w:tc>
          <w:tcPr>
            <w:tcW w:w="3160" w:type="dxa"/>
            <w:shd w:val="clear" w:color="auto" w:fill="D9E2F3"/>
            <w:tcMar>
              <w:top w:w="80" w:type="dxa"/>
              <w:left w:w="100" w:type="dxa"/>
              <w:bottom w:w="80" w:type="dxa"/>
              <w:right w:w="100" w:type="dxa"/>
            </w:tcMar>
          </w:tcPr>
          <w:p>
            <w:pPr>
              <w:spacing w:after="0"/>
            </w:pPr>
            <w:r>
              <w:rPr>
                <w:b/>
                <w:bCs/>
                <w:sz w:val="20"/>
                <w:szCs w:val="20"/>
              </w:rPr>
              <w:t xml:space="preserve">Key Limits</w:t>
            </w:r>
          </w:p>
        </w:tc>
        <w:tc>
          <w:tcPr>
            <w:tcW w:w="1200" w:type="dxa"/>
            <w:shd w:val="clear" w:color="auto" w:fill="D9E2F3"/>
            <w:tcMar>
              <w:top w:w="80" w:type="dxa"/>
              <w:left w:w="100" w:type="dxa"/>
              <w:bottom w:w="80" w:type="dxa"/>
              <w:right w:w="100" w:type="dxa"/>
            </w:tcMar>
          </w:tcPr>
          <w:p>
            <w:pPr>
              <w:spacing w:after="0"/>
            </w:pPr>
            <w:r>
              <w:rPr>
                <w:b/>
                <w:bCs/>
                <w:sz w:val="20"/>
                <w:szCs w:val="20"/>
              </w:rPr>
              <w:t xml:space="preserve">Annual Premium</w:t>
            </w:r>
          </w:p>
        </w:tc>
      </w:tr>
      <w:tr>
        <w:tc>
          <w:tcPr>
            <w:tcW w:w="1700" w:type="dxa"/>
            <w:tcMar>
              <w:top w:w="80" w:type="dxa"/>
              <w:left w:w="100" w:type="dxa"/>
              <w:bottom w:w="80" w:type="dxa"/>
              <w:right w:w="100" w:type="dxa"/>
            </w:tcMar>
          </w:tcPr>
          <w:p>
            <w:pPr>
              <w:spacing w:after="0"/>
            </w:pPr>
            <w:r>
              <w:rPr>
                <w:sz w:val="20"/>
                <w:szCs w:val="20"/>
              </w:rPr>
              <w:t xml:space="preserve">Commercial Auto</w:t>
            </w:r>
          </w:p>
        </w:tc>
        <w:tc>
          <w:tcPr>
            <w:tcW w:w="1400" w:type="dxa"/>
            <w:tcMar>
              <w:top w:w="80" w:type="dxa"/>
              <w:left w:w="100" w:type="dxa"/>
              <w:bottom w:w="80" w:type="dxa"/>
              <w:right w:w="100" w:type="dxa"/>
            </w:tcMar>
          </w:tcPr>
          <w:p>
            <w:pPr>
              <w:spacing w:after="0"/>
            </w:pPr>
            <w:r>
              <w:rPr>
                <w:sz w:val="20"/>
                <w:szCs w:val="20"/>
              </w:rPr>
              <w:t xml:space="preserve">Auto-Owners Insurance Co.</w:t>
            </w:r>
          </w:p>
        </w:tc>
        <w:tc>
          <w:tcPr>
            <w:tcW w:w="1900" w:type="dxa"/>
            <w:tcMar>
              <w:top w:w="80" w:type="dxa"/>
              <w:left w:w="100" w:type="dxa"/>
              <w:bottom w:w="80" w:type="dxa"/>
              <w:right w:w="100" w:type="dxa"/>
            </w:tcMar>
          </w:tcPr>
          <w:p>
            <w:pPr>
              <w:spacing w:after="0"/>
            </w:pPr>
            <w:r>
              <w:rPr>
                <w:sz w:val="20"/>
                <w:szCs w:val="20"/>
              </w:rPr>
              <w:t xml:space="preserve">53-267-367-00; 03/11/2025 – 03/11/2026</w:t>
            </w:r>
          </w:p>
        </w:tc>
        <w:tc>
          <w:tcPr>
            <w:tcW w:w="3160" w:type="dxa"/>
            <w:tcMar>
              <w:top w:w="80" w:type="dxa"/>
              <w:left w:w="100" w:type="dxa"/>
              <w:bottom w:w="80" w:type="dxa"/>
              <w:right w:w="100" w:type="dxa"/>
            </w:tcMar>
          </w:tcPr>
          <w:p>
            <w:pPr>
              <w:spacing w:after="0"/>
            </w:pPr>
            <w:r>
              <w:rPr>
                <w:sz w:val="20"/>
                <w:szCs w:val="20"/>
              </w:rPr>
              <w:t xml:space="preserve">$1M each-accident combined liability; $1M UM/UIM; PIP unlimited (Option 1, MI); Comprehensive ACV / $500 deductible; Collision Broad ACV / $1,000 deductible</w:t>
            </w:r>
          </w:p>
        </w:tc>
        <w:tc>
          <w:tcPr>
            <w:tcW w:w="1200" w:type="dxa"/>
            <w:tcMar>
              <w:top w:w="80" w:type="dxa"/>
              <w:left w:w="100" w:type="dxa"/>
              <w:bottom w:w="80" w:type="dxa"/>
              <w:right w:w="100" w:type="dxa"/>
            </w:tcMar>
          </w:tcPr>
          <w:p>
            <w:pPr>
              <w:spacing w:after="0"/>
            </w:pPr>
            <w:r>
              <w:rPr>
                <w:sz w:val="20"/>
                <w:szCs w:val="20"/>
              </w:rPr>
              <w:t xml:space="preserve">$7,082</w:t>
            </w:r>
          </w:p>
        </w:tc>
      </w:tr>
      <w:tr>
        <w:tc>
          <w:tcPr>
            <w:tcW w:w="1700" w:type="dxa"/>
            <w:tcMar>
              <w:top w:w="80" w:type="dxa"/>
              <w:left w:w="100" w:type="dxa"/>
              <w:bottom w:w="80" w:type="dxa"/>
              <w:right w:w="100" w:type="dxa"/>
            </w:tcMar>
          </w:tcPr>
          <w:p>
            <w:pPr>
              <w:spacing w:after="0"/>
            </w:pPr>
            <w:r>
              <w:rPr>
                <w:sz w:val="20"/>
                <w:szCs w:val="20"/>
              </w:rPr>
              <w:t xml:space="preserve">Workers’ Compensation &amp; Employers’ Liability</w:t>
            </w:r>
          </w:p>
        </w:tc>
        <w:tc>
          <w:tcPr>
            <w:tcW w:w="1400" w:type="dxa"/>
            <w:tcMar>
              <w:top w:w="80" w:type="dxa"/>
              <w:left w:w="100" w:type="dxa"/>
              <w:bottom w:w="80" w:type="dxa"/>
              <w:right w:w="100" w:type="dxa"/>
            </w:tcMar>
          </w:tcPr>
          <w:p>
            <w:pPr>
              <w:spacing w:after="0"/>
            </w:pPr>
            <w:r>
              <w:rPr>
                <w:sz w:val="20"/>
                <w:szCs w:val="20"/>
              </w:rPr>
              <w:t xml:space="preserve">Home-Owners Insurance Co. (Auto-Owners affiliate)</w:t>
            </w:r>
          </w:p>
        </w:tc>
        <w:tc>
          <w:tcPr>
            <w:tcW w:w="1900" w:type="dxa"/>
            <w:tcMar>
              <w:top w:w="80" w:type="dxa"/>
              <w:left w:w="100" w:type="dxa"/>
              <w:bottom w:w="80" w:type="dxa"/>
              <w:right w:w="100" w:type="dxa"/>
            </w:tcMar>
          </w:tcPr>
          <w:p>
            <w:pPr>
              <w:spacing w:after="0"/>
            </w:pPr>
            <w:r>
              <w:rPr>
                <w:sz w:val="20"/>
                <w:szCs w:val="20"/>
              </w:rPr>
              <w:t xml:space="preserve">A106-624-264; 03/11/2025 – 03/11/2026</w:t>
            </w:r>
          </w:p>
        </w:tc>
        <w:tc>
          <w:tcPr>
            <w:tcW w:w="3160" w:type="dxa"/>
            <w:tcMar>
              <w:top w:w="80" w:type="dxa"/>
              <w:left w:w="100" w:type="dxa"/>
              <w:bottom w:w="80" w:type="dxa"/>
              <w:right w:w="100" w:type="dxa"/>
            </w:tcMar>
          </w:tcPr>
          <w:p>
            <w:pPr>
              <w:spacing w:after="0"/>
            </w:pPr>
            <w:r>
              <w:rPr>
                <w:sz w:val="20"/>
                <w:szCs w:val="20"/>
              </w:rPr>
              <w:t xml:space="preserve">Employers’ Liability $1M each accident / $1M disease each employee / $1M disease policy limit; MI Experience Mod 0.91 (down from 0.92); Class 5188 Fire Extinguishing Systems Installation $259,342 estimated payroll @ $2.34/$100; Class 8810 Clerical $49,839 @ $0.09/$100</w:t>
            </w:r>
          </w:p>
        </w:tc>
        <w:tc>
          <w:tcPr>
            <w:tcW w:w="1200" w:type="dxa"/>
            <w:tcMar>
              <w:top w:w="80" w:type="dxa"/>
              <w:left w:w="100" w:type="dxa"/>
              <w:bottom w:w="80" w:type="dxa"/>
              <w:right w:w="100" w:type="dxa"/>
            </w:tcMar>
          </w:tcPr>
          <w:p>
            <w:pPr>
              <w:spacing w:after="0"/>
            </w:pPr>
            <w:r>
              <w:rPr>
                <w:sz w:val="20"/>
                <w:szCs w:val="20"/>
              </w:rPr>
              <w:t xml:space="preserve">$4,284</w:t>
            </w:r>
          </w:p>
        </w:tc>
      </w:tr>
      <w:tr>
        <w:tc>
          <w:tcPr>
            <w:tcW w:w="1700" w:type="dxa"/>
            <w:tcMar>
              <w:top w:w="80" w:type="dxa"/>
              <w:left w:w="100" w:type="dxa"/>
              <w:bottom w:w="80" w:type="dxa"/>
              <w:right w:w="100" w:type="dxa"/>
            </w:tcMar>
          </w:tcPr>
          <w:p>
            <w:pPr>
              <w:spacing w:after="0"/>
            </w:pPr>
            <w:r>
              <w:rPr>
                <w:sz w:val="20"/>
                <w:szCs w:val="20"/>
              </w:rPr>
              <w:t xml:space="preserve">Commercial Package — Property (BPP, Business Income, Equipment Breakdown), Commercial General Liability, Inland Marine</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A905671; documented 03/11/2024 – 03/11/2025 term</w:t>
            </w:r>
          </w:p>
        </w:tc>
        <w:tc>
          <w:tcPr>
            <w:tcW w:w="3160" w:type="dxa"/>
            <w:tcMar>
              <w:top w:w="80" w:type="dxa"/>
              <w:left w:w="100" w:type="dxa"/>
              <w:bottom w:w="80" w:type="dxa"/>
              <w:right w:w="100" w:type="dxa"/>
            </w:tcMar>
          </w:tcPr>
          <w:p>
            <w:pPr>
              <w:spacing w:after="0"/>
            </w:pPr>
            <w:r>
              <w:rPr>
                <w:sz w:val="20"/>
                <w:szCs w:val="20"/>
              </w:rPr>
              <w:t xml:space="preserve">Property: Business Personal Property $75,000 each at Building 1 (Office/Shop, non-combustible) and Building 2 (Storage, frame); Business Income &amp; Extra Expense $50,000; Replacement Cost; $500 deductible; Equipment Breakdown via WB34 endorsement. GL: $1M each occurrence / $2M general aggregate / $2M products-completed ops aggregate; $1M personal &amp; advertising injury; $300K damage to premises rented; $10K medical expense each person; Designated Construction Project aggregate via CG2503; Fire Protection &amp; Alarm System E&amp;O via WB1790. Inland Marine: Contractors’ Equipment $9,500 scheduled, ACV; Installation Floater $25,000 per jobsite / $25,000 in transit / $25,000 unscheduled storage; $500 deductible.</w:t>
            </w:r>
          </w:p>
        </w:tc>
        <w:tc>
          <w:tcPr>
            <w:tcW w:w="1200" w:type="dxa"/>
            <w:tcMar>
              <w:top w:w="80" w:type="dxa"/>
              <w:left w:w="100" w:type="dxa"/>
              <w:bottom w:w="80" w:type="dxa"/>
              <w:right w:w="100" w:type="dxa"/>
            </w:tcMar>
          </w:tcPr>
          <w:p>
            <w:pPr>
              <w:spacing w:after="0"/>
            </w:pPr>
            <w:r>
              <w:rPr>
                <w:sz w:val="20"/>
                <w:szCs w:val="20"/>
              </w:rPr>
              <w:t xml:space="preserve">$22,034 (Property $1,828; GL $19,564; IM $642)</w:t>
            </w:r>
          </w:p>
        </w:tc>
      </w:tr>
      <w:tr>
        <w:tc>
          <w:tcPr>
            <w:tcW w:w="1700" w:type="dxa"/>
            <w:tcMar>
              <w:top w:w="80" w:type="dxa"/>
              <w:left w:w="100" w:type="dxa"/>
              <w:bottom w:w="80" w:type="dxa"/>
              <w:right w:w="100" w:type="dxa"/>
            </w:tcMar>
          </w:tcPr>
          <w:p>
            <w:pPr>
              <w:spacing w:after="0"/>
            </w:pPr>
            <w:r>
              <w:rPr>
                <w:sz w:val="20"/>
                <w:szCs w:val="20"/>
              </w:rPr>
              <w:t xml:space="preserve">Commercial Liability Umbrella</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A905671 (umbrella tower); documented 03/11/2024 – 03/11/2025 term</w:t>
            </w:r>
          </w:p>
        </w:tc>
        <w:tc>
          <w:tcPr>
            <w:tcW w:w="3160" w:type="dxa"/>
            <w:tcMar>
              <w:top w:w="80" w:type="dxa"/>
              <w:left w:w="100" w:type="dxa"/>
              <w:bottom w:w="80" w:type="dxa"/>
              <w:right w:w="100" w:type="dxa"/>
            </w:tcMar>
          </w:tcPr>
          <w:p>
            <w:pPr>
              <w:spacing w:after="0"/>
            </w:pPr>
            <w:r>
              <w:rPr>
                <w:sz w:val="20"/>
                <w:szCs w:val="20"/>
              </w:rPr>
              <w:t xml:space="preserve">$5,000,000 each occurrence / $5,000,000 personal &amp; advertising injury / $5,000,000 aggregate; Self-Insured Retention waived; sits over GL ($1M/$2M/$2M), Auto ($1M each accident), and Employers’ Liability ($1M each accident)</w:t>
            </w:r>
          </w:p>
        </w:tc>
        <w:tc>
          <w:tcPr>
            <w:tcW w:w="1200" w:type="dxa"/>
            <w:tcMar>
              <w:top w:w="80" w:type="dxa"/>
              <w:left w:w="100" w:type="dxa"/>
              <w:bottom w:w="80" w:type="dxa"/>
              <w:right w:w="100" w:type="dxa"/>
            </w:tcMar>
          </w:tcPr>
          <w:p>
            <w:pPr>
              <w:spacing w:after="0"/>
            </w:pPr>
            <w:r>
              <w:rPr>
                <w:sz w:val="20"/>
                <w:szCs w:val="20"/>
              </w:rPr>
              <w:t xml:space="preserve">$6,788</w:t>
            </w:r>
          </w:p>
        </w:tc>
      </w:tr>
      <w:tr>
        <w:tc>
          <w:tcPr>
            <w:tcW w:w="1700" w:type="dxa"/>
            <w:tcMar>
              <w:top w:w="80" w:type="dxa"/>
              <w:left w:w="100" w:type="dxa"/>
              <w:bottom w:w="80" w:type="dxa"/>
              <w:right w:w="100" w:type="dxa"/>
            </w:tcMar>
          </w:tcPr>
          <w:p>
            <w:pPr>
              <w:spacing w:after="0"/>
            </w:pPr>
            <w:r>
              <w:rPr>
                <w:sz w:val="20"/>
                <w:szCs w:val="20"/>
              </w:rPr>
              <w:t xml:space="preserve">Local 669 Wage &amp; Welfare (Fringe Benefit) Bond</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Bond #2499183; effective 06/26/2024, continuous until canceled</w:t>
            </w:r>
          </w:p>
        </w:tc>
        <w:tc>
          <w:tcPr>
            <w:tcW w:w="3160" w:type="dxa"/>
            <w:tcMar>
              <w:top w:w="80" w:type="dxa"/>
              <w:left w:w="100" w:type="dxa"/>
              <w:bottom w:w="80" w:type="dxa"/>
              <w:right w:w="100" w:type="dxa"/>
            </w:tcMar>
          </w:tcPr>
          <w:p>
            <w:pPr>
              <w:spacing w:after="0"/>
            </w:pPr>
            <w:r>
              <w:rPr>
                <w:sz w:val="20"/>
                <w:szCs w:val="20"/>
              </w:rPr>
              <w:t xml:space="preserve">$50,000 bond penalty; obligee is Road Sprinkler Fitters Local Union No. 669</w:t>
            </w:r>
          </w:p>
        </w:tc>
        <w:tc>
          <w:tcPr>
            <w:tcW w:w="1200" w:type="dxa"/>
            <w:tcMar>
              <w:top w:w="80" w:type="dxa"/>
              <w:left w:w="100" w:type="dxa"/>
              <w:bottom w:w="80" w:type="dxa"/>
              <w:right w:w="100" w:type="dxa"/>
            </w:tcMar>
          </w:tcPr>
          <w:p>
            <w:pPr>
              <w:spacing w:after="0"/>
            </w:pPr>
            <w:r>
              <w:rPr>
                <w:sz w:val="20"/>
                <w:szCs w:val="20"/>
              </w:rPr>
              <w:t xml:space="preserve">$1,000</w:t>
            </w:r>
          </w:p>
        </w:tc>
      </w:tr>
      <w:tr>
        <w:tc>
          <w:tcPr>
            <w:tcW w:w="1700" w:type="dxa"/>
            <w:tcMar>
              <w:top w:w="80" w:type="dxa"/>
              <w:left w:w="100" w:type="dxa"/>
              <w:bottom w:w="80" w:type="dxa"/>
              <w:right w:w="100" w:type="dxa"/>
            </w:tcMar>
          </w:tcPr>
          <w:p>
            <w:pPr>
              <w:spacing w:after="0"/>
            </w:pPr>
            <w:r>
              <w:rPr>
                <w:sz w:val="20"/>
                <w:szCs w:val="20"/>
              </w:rPr>
              <w:t xml:space="preserve">ERISA Fidelity Bond — Excel Fire Protection 401(k) Plan</w:t>
            </w:r>
          </w:p>
        </w:tc>
        <w:tc>
          <w:tcPr>
            <w:tcW w:w="1400" w:type="dxa"/>
            <w:tcMar>
              <w:top w:w="80" w:type="dxa"/>
              <w:left w:w="100" w:type="dxa"/>
              <w:bottom w:w="80" w:type="dxa"/>
              <w:right w:w="100" w:type="dxa"/>
            </w:tcMar>
          </w:tcPr>
          <w:p>
            <w:pPr>
              <w:spacing w:after="0"/>
            </w:pPr>
            <w:r>
              <w:rPr>
                <w:sz w:val="20"/>
                <w:szCs w:val="20"/>
              </w:rPr>
              <w:t xml:space="preserve">West Bend Insurance Co.</w:t>
            </w:r>
          </w:p>
        </w:tc>
        <w:tc>
          <w:tcPr>
            <w:tcW w:w="1900" w:type="dxa"/>
            <w:tcMar>
              <w:top w:w="80" w:type="dxa"/>
              <w:left w:w="100" w:type="dxa"/>
              <w:bottom w:w="80" w:type="dxa"/>
              <w:right w:w="100" w:type="dxa"/>
            </w:tcMar>
          </w:tcPr>
          <w:p>
            <w:pPr>
              <w:spacing w:after="0"/>
            </w:pPr>
            <w:r>
              <w:rPr>
                <w:sz w:val="20"/>
                <w:szCs w:val="20"/>
              </w:rPr>
              <w:t xml:space="preserve">Bond #2488462; 04/15/2024 – 04/15/2027</w:t>
            </w:r>
          </w:p>
        </w:tc>
        <w:tc>
          <w:tcPr>
            <w:tcW w:w="3160" w:type="dxa"/>
            <w:tcMar>
              <w:top w:w="80" w:type="dxa"/>
              <w:left w:w="100" w:type="dxa"/>
              <w:bottom w:w="80" w:type="dxa"/>
              <w:right w:w="100" w:type="dxa"/>
            </w:tcMar>
          </w:tcPr>
          <w:p>
            <w:pPr>
              <w:spacing w:after="0"/>
            </w:pPr>
            <w:r>
              <w:rPr>
                <w:sz w:val="20"/>
                <w:szCs w:val="20"/>
              </w:rPr>
              <w:t xml:space="preserve">10% of plan assets; minimum $1,000; capped at $500,000 (or $1,000,000 if the plan holds employer securities) per 29 CFR 2580.412(c)</w:t>
            </w:r>
          </w:p>
        </w:tc>
        <w:tc>
          <w:tcPr>
            <w:tcW w:w="1200" w:type="dxa"/>
            <w:tcMar>
              <w:top w:w="80" w:type="dxa"/>
              <w:left w:w="100" w:type="dxa"/>
              <w:bottom w:w="80" w:type="dxa"/>
              <w:right w:w="100" w:type="dxa"/>
            </w:tcMar>
          </w:tcPr>
          <w:p>
            <w:pPr>
              <w:spacing w:after="0"/>
            </w:pPr>
            <w:r>
              <w:rPr>
                <w:sz w:val="20"/>
                <w:szCs w:val="20"/>
              </w:rPr>
              <w:t xml:space="preserve">$196</w:t>
            </w:r>
          </w:p>
        </w:tc>
      </w:tr>
    </w:tbl>
    <w:p>
      <w:pPr>
        <w:spacing w:after="120"/>
      </w:pPr>
    </w:p>
    <w:p>
      <w:pPr>
        <w:spacing w:after="120"/>
      </w:pPr>
      <w:r>
        <w:t xml:space="preserve">The Commercial Auto policy carries three named insureds on a single declarations page: Excel Fire Protection Company, Inc., Masich Properties I LLC, and Masich Properties II LLC. The Auto-Owners and West Bend programs together establish the property-and-casualty footprint for the Excel Fire / Masich Properties operating set; no other carrier or program has been identified within the broker’s file.</w:t>
      </w:r>
    </w:p>
    <w:p>
      <w:pPr>
        <w:spacing w:after="120"/>
      </w:pPr>
      <w:r>
        <w:rPr>
          <w:b/>
          <w:bCs/>
        </w:rPr>
        <w:t xml:space="preserve">Property structure. </w:t>
      </w:r>
      <w:r>
        <w:t xml:space="preserve">The Commercial Property coverage is written on a tenant basis: Excel Fire is the tenant in the Masich Properties facility at 1202 Wright St Ste A, Marquette, and the Company’s package carries Business Personal Property and Business Income/Extra Expense limits but no building coverage. Building coverage on either structure is presumed to sit on a separate Masich Properties property policy that has not been provided to the engagement and is not catalogued here. Building 1 (the office and shop building) is rated as non-combustible construction and Building 2 (storage) is rated as frame. Equipment Breakdown is added to the property section by the WB34 endorsement; Water Backup / Sump Pump Overflow and the Property Additional Coverages bundle (WB2906) are also endorsed onto the property section. The Inland Marine line carries the Company’s tools and rolling stock that move on and off jobsites: a scheduled Contractors’ Equipment list (a MEC scissor lift, a portable wire saw, a portable diesel power pack, and a 65 HP diesel concrete saw, all on actual cash value with $500 deductibles) and an Installation Floater that picks up materials installed but not yet completed at jobsites and materials in transit between the warehouse and jobsites.</w:t>
      </w:r>
    </w:p>
    <w:p>
      <w:pPr>
        <w:spacing w:after="120"/>
      </w:pPr>
      <w:r>
        <w:rPr>
          <w:b/>
          <w:bCs/>
        </w:rPr>
        <w:t xml:space="preserve">General Liability classifications and key endorsements. </w:t>
      </w:r>
      <w:r>
        <w:t xml:space="preserve">The Commercial General Liability is rated against three classification codes: Class 70367 Fire Suppression Systems Installation, Service or Repair (the Company’s primary class, against $243,414 of payroll); Class 91581 Contractors — subcontracted work in connection with construction, reconstruction, erection or repair (against $10,132 of total cost, reflecting the limited use of subcontracted labor described in Section 2.3); and Class 92215 Driveway, Parking Area or Sidewalk paving or repaving (carried at $0 exposure, with the rate page available if any paving exposure is added in a future term). Several endorsements on the GL coverage part are operationally significant for a fire protection contractor and are noted here: Contractor’s Blanket Additional Insured (WB1482) and the named-form Owners/Lessees/Contractors and Owners/Contractors Completed Operations additional-insured endorsements (CG2010 and CG2037) are all in force, which is consistent with the Company’s practice of routinely adding general contractors and project owners as additional insureds on certificates of insurance issued from the Gauthier-brokered program. The Designated Construction Project(s) General Aggregate Limit endorsement (CG2503) provides a separate $2M general aggregate per designated construction project rather than a single shared aggregate across all projects in the policy year, which materially expands the effective per-project liability capacity on multi-project years. The Fire Protection and Alarm System Errors and Omissions Endorsement (WB1790, $741 premium) provides errors-and-omissions coverage tailored to fire protection installation, service, and inspection work; this is the Company’s functional E&amp;O coverage and is embedded in the GL coverage part rather than carried as a standalone professional liability policy. Plus Pak — Liability (WB2000GL) and Voluntary Property Damage Coverage (WB144) are also endorsed onto the GL section.</w:t>
      </w:r>
    </w:p>
    <w:p>
      <w:pPr>
        <w:spacing w:after="120"/>
      </w:pPr>
      <w:r>
        <w:rPr>
          <w:b/>
          <w:bCs/>
        </w:rPr>
        <w:t xml:space="preserve">Umbrella tower. </w:t>
      </w:r>
      <w:r>
        <w:t xml:space="preserve">The Commercial Liability Umbrella sits over three underlying policies on a follow-form basis: Commercial General Liability ($1M each occurrence / $2M aggregate), Commercial Auto ($1M each accident), and Employers’ Liability ($1M each accident). It carries $5M each occurrence / $5M personal and advertising injury / $5M aggregate, with the Self-Insured Retention waived. The total liability tower available to the Company on a per-occurrence basis is therefore $6M (the $1M underlying plus the $5M umbrella) on each of GL, Auto, and Employers’ Liability, with a $7M aggregate on the GL side ($2M underlying plus $5M umbrella). Terrorism Risk Insurance Act coverage is included on the umbrella.</w:t>
      </w:r>
    </w:p>
    <w:p>
      <w:pPr>
        <w:spacing w:after="120"/>
      </w:pPr>
      <w:r>
        <w:t xml:space="preserve">The Workers’ Compensation declarations report five employees on the policy as written, which is one short of the four union field employees plus three office personnel reflected in the Org Structure section of this report. The most plausible reconciliation is that the owner has elected officer exclusion from Workers’ Compensation and that one of the part-time office staff is not currently being captured on the WC roll; this is a current-state observation and a calibration item for the renewal review rather than a finding of non-compliance. The 0.91 experience modification factor is favorable (under 1.00 is a credit against manual rate) and is consistent with the clean five-year loss history summarized below.</w:t>
      </w:r>
    </w:p>
    <w:p>
      <w:pPr>
        <w:spacing w:after="120"/>
      </w:pPr>
      <w:r>
        <w:rPr>
          <w:b/>
          <w:bCs/>
        </w:rPr>
        <w:t xml:space="preserve">Loss history. </w:t>
      </w:r>
      <w:r>
        <w:t xml:space="preserve">Two independent loss-run reports were obtained directly from the broker as part of this engagement, and they corroborate one another within their respective scopes. The West Bend Commercial Lines Loss History (policy A905671, customer 0110251218) covering 02/03/2020 through 02/03/2025 reports zero claims and zero dollars paid across all five package lines (Property, General Liability, Inland Marine, Equipment Breakdown, and Umbrella) for every policy term in the period. The Auto-Owners Policy Loss History (policy 53-267-367-00, Commercial Auto) covering 03/11/2021 through 02/03/2025 reports three claims totaling $62,729 paid net of $8,300 recovery: a parking-lot non-impact PIP claim in July 2021 ($1,833 paid), a non-at-fault Safelite glass replacement in May 2022 ($522 paid), and a single-vehicle at-fault rollover in November 2023 in which the owner went into a ditch avoiding an oncoming vehicle (2022 Toyota Tacoma totaled; collision $56,720, PIP medical $3,654). The 2024–2025 and 2025–2026 Commercial Auto terms are clean. The 2025 Workers’ Compensation loss run reports zero claims for every term back through 03/11/2021 — a five-year clean record on the union field workforce.</w:t>
      </w:r>
    </w:p>
    <w:p>
      <w:pPr>
        <w:spacing w:after="120"/>
      </w:pPr>
      <w:r>
        <w:rPr>
          <w:b/>
          <w:bCs/>
        </w:rPr>
        <w:t xml:space="preserve">Renewal cadence. </w:t>
      </w:r>
      <w:r>
        <w:t xml:space="preserve">The Auto-Owners Workers’ Compensation and Commercial Auto policies share a March 11 anniversary; the West Bend package and umbrella program also reanchors on March 11 each year, with the Local 669 fringe-benefit bond running on a separate continuous-until-canceled basis from its 06/26/2024 effective date and the ERISA bond running on a separate three-year cycle ending 04/15/2027. There is no centralized renewal calendar maintained by the Company; renewals are driven by the broker.</w:t>
      </w:r>
    </w:p>
    <w:p>
      <w:pPr>
        <w:spacing w:after="120"/>
      </w:pPr>
      <w:r>
        <w:t xml:space="preserve">The owner and Betty contact Gauthier Insurance as needed to initiate policy changes, request certificates of insurance, and address renewal matters. There is no formal renewal review process; the relationship operates reactively. Certificates of insurance required by general contractors and project owners are handled reactively rather than through a formal COI tracking process; however, the Company has been able to provide certificates in a timely manner when requested and appears to maintain compliance with contractual insurance requirements on active projects.</w:t>
      </w:r>
    </w:p>
    <w:p>
      <w:pPr>
        <w:spacing w:after="120"/>
      </w:pPr>
      <w:r>
        <w:rPr>
          <w:b/>
          <w:bCs/>
        </w:rPr>
        <w:t xml:space="preserve">Lines of coverage that the broker file does not contain. </w:t>
      </w:r>
      <w:r>
        <w:t xml:space="preserve">The following lines that are commonly carried by similarly situated specialty trade contractors do not appear in the current Excel Fire program as documented in the broker file, and have not been identified in either the Auto-Owners or West Bend declarations:</w:t>
      </w:r>
    </w:p>
    <w:p>
      <w:pPr>
        <w:pStyle w:val="ListParagraph"/>
        <w:numPr>
          <w:ilvl w:val="0"/>
          <w:numId w:val="2"/>
        </w:numPr>
        <w:spacing w:after="60"/>
      </w:pPr>
      <w:r>
        <w:rPr>
          <w:b/>
          <w:bCs/>
        </w:rPr>
        <w:t xml:space="preserve">Cyber liability / network security and privacy. </w:t>
      </w:r>
      <w:r>
        <w:t xml:space="preserve">No standalone cyber policy and no cyber endorsement on the package have been identified; the Commercial Property coverage form in fact carries an explicit Cyber Incident Exclusion (CP1075) and an Exclusion of Certain Computer-Related Losses (IL0935Z), so first-party cyber loss is excluded by endorsement. This observation is noted alongside the documented February 2026 email-account compromise and remediation events in Section 2.4 (IT Security &amp; Recent Security Incident).</w:t>
      </w:r>
    </w:p>
    <w:p>
      <w:pPr>
        <w:pStyle w:val="ListParagraph"/>
        <w:numPr>
          <w:ilvl w:val="0"/>
          <w:numId w:val="2"/>
        </w:numPr>
        <w:spacing w:after="60"/>
      </w:pPr>
      <w:r>
        <w:rPr>
          <w:b/>
          <w:bCs/>
        </w:rPr>
        <w:t xml:space="preserve">Pollution legal liability. </w:t>
      </w:r>
      <w:r>
        <w:t xml:space="preserve">No contractor’s pollution liability (CPL) line has been identified. Excel Fire’s water-based fire protection scope has lower-than-trade-average pollution exposure but is not zero (e.g., antifreeze loop systems, leaks at sprinkler closure). This is documented as a current-state observation.</w:t>
      </w:r>
    </w:p>
    <w:p>
      <w:pPr>
        <w:pStyle w:val="ListParagraph"/>
        <w:numPr>
          <w:ilvl w:val="0"/>
          <w:numId w:val="2"/>
        </w:numPr>
        <w:spacing w:after="60"/>
      </w:pPr>
      <w:r>
        <w:rPr>
          <w:b/>
          <w:bCs/>
        </w:rPr>
        <w:t xml:space="preserve">Directors &amp; Officers / Employment Practices Liability. </w:t>
      </w:r>
      <w:r>
        <w:t xml:space="preserve">No D&amp;O or EPLI line has been identified.</w:t>
      </w:r>
    </w:p>
    <w:p>
      <w:pPr>
        <w:pStyle w:val="ListParagraph"/>
        <w:numPr>
          <w:ilvl w:val="0"/>
          <w:numId w:val="2"/>
        </w:numPr>
        <w:spacing w:after="60"/>
      </w:pPr>
      <w:r>
        <w:rPr>
          <w:b/>
          <w:bCs/>
        </w:rPr>
        <w:t xml:space="preserve">Surety / contract bonding facility. </w:t>
      </w:r>
      <w:r>
        <w:t xml:space="preserve">The two bonds in force are a statutory union wage-assurance bond and an ERISA fidelity bond on the 401(k) plan. No contract surety facility (bid, performance, or payment bonding) has been identified in the broker file. The Company’s current new-construction work in the Marquette market has not, in the period reviewed, required surety-bonded delivery; this is consistent with the Company’s stated practice of declining federal/VA hospital and similar projects on which performance and payment bonds are typically required (Section 2.2, Estimating &amp; Bidding). Establishing a surety bonding line is a separate broker engagement from property-and-casualty placement and would typically be initiated only when a specific bonded opportunity is in front of the Company.</w:t>
      </w:r>
    </w:p>
    <w:p>
      <w:pPr>
        <w:spacing w:after="120"/>
      </w:pPr>
      <w:r>
        <w:rPr>
          <w:b/>
          <w:bCs/>
        </w:rPr>
        <w:t xml:space="preserve">Errors and omissions coverage. </w:t>
      </w:r>
      <w:r>
        <w:t xml:space="preserve">Although a standalone professional liability / E&amp;O policy is not carried, the Fire Protection and Alarm System Errors and Omissions Endorsement (WB1790) attached to the West Bend Commercial General Liability coverage part does provide errors-and-omissions coverage tailored to fire protection installation, service, and inspection work. This endorsement is the Company’s functional E&amp;O coverage; whether the limits, sublimits, retention, and definitions on the WB1790 form are adequate to the Company’s actual design and as-installed-configuration exposure is not assessed in this section.</w:t>
      </w:r>
    </w:p>
    <w:p>
      <w:pPr>
        <w:spacing w:after="120"/>
      </w:pPr>
      <w:r>
        <w:rPr>
          <w:b/>
          <w:bCs/>
        </w:rPr>
        <w:t xml:space="preserve">Open verification items. </w:t>
      </w:r>
      <w:r>
        <w:t xml:space="preserve">Reconciliation of the WC five-employee declared headcount against the seven-person org chart, including confirmation of the owner’s officer-exclusion election, is pending. The post-03/11/2026 in-force declarations for the Auto-Owners Workers’ Compensation, Commercial Auto, and West Bend Commercial Package and Umbrella renewal terms have not been provided to the engagement; the program detail catalogued in this section reflects the most recent declarations on file in the engagement deal room (terms ending 03/11/2026 for Auto-Owners and 03/11/2025 for the West Bend package and umbrella). Any program changes effected at the 03/11/2026 renewal are not reflected here.</w:t>
      </w:r>
    </w:p>
    <w:p w14:paraId="376A884D" w14:textId="77777777" w:rsidR="00462882" w:rsidRDefault="00000000">
      <w:pPr>
        <w:pStyle w:val="Heading3"/>
      </w:pPr>
      <w:r>
        <w:t>Tax Compliance &amp; Filing</w:t>
      </w:r>
    </w:p>
    <w:p w14:paraId="0CFBD2B5" w14:textId="77777777" w:rsidR="00462882" w:rsidRDefault="00000000">
      <w:pPr>
        <w:spacing w:after="120"/>
      </w:pPr>
      <w:r>
        <w:t>The Company is structured as an LLC with an S-Corp election. It operates on a fiscal year ending in September, which requires additional compliance steps to maintain. In practice, the Company consistently fails to provide the necessary documentation to AT&amp;C in time to file returns before the calendar year-end. As a result, the filing cadence effectively operates as if the Company were on a calendar fiscal year, negating the intended benefit of the offset fiscal year.</w:t>
      </w:r>
    </w:p>
    <w:p>
      <w:pPr>
        <w:spacing w:after="120"/>
      </w:pPr>
      <w:r>
        <w:t xml:space="preserve">The local tax footprint is light. The City of Marquette does not impose a municipal income tax on either employers or employees, so no city withholding apparatus is required at the Company level. Real and personal property taxes on the 1202 Wright Street facility are assessed against Masich Properties as the landlord rather than against Excel Fire as the tenant; whether and how those property tax costs are reflected in the related-party rent arrangement between Masich Properties and Excel Fire (described under Cash Management &amp; Banking above) is a related-party question rather than a direct Company tax obligation. Michigan sales and use tax obligations attach to materials purchased and resold under the Company’s contractor exemption posture, and certain customers (notably Eagle Mine) are themselves exempt from Michigan sales tax under the metallic minerals extraction severance tax (see Section 2.6).</w:t>
      </w:r>
    </w:p>
    <w:p w14:paraId="33CF3056" w14:textId="77777777" w:rsidR="00462882" w:rsidRDefault="00000000">
      <w:pPr>
        <w:pStyle w:val="Heading3"/>
      </w:pPr>
      <w:r>
        <w:t>Internal Controls &amp; Segregation of Duties</w:t>
      </w:r>
    </w:p>
    <w:p w14:paraId="2E7E3121" w14:textId="77777777" w:rsidR="00462882" w:rsidRDefault="00000000">
      <w:pPr>
        <w:spacing w:after="120"/>
      </w:pPr>
      <w:r>
        <w:t>Internal controls are trust-based rather than structural. There is minimal segregation of duties. Kevin is the only person on the bank’s official signature card for the operating account, and is the primary check signer and check depositor. To meet day-to-day check-signing needs when Kevin is away from the office, Betty maintains a physical signature stamp bearing Kevin’s signature and applies it to checks under Kevin’s name; Betty also makes credit card payments, deposits checks, and moves funds. The signature-stamp arrangement reflects decades of trust between the owner and Betty and is common in small owner-operated businesses, but it differs from a delegated signing authority on the bank’s records: from the bank’s perspective, every check leaving the Company carries Kevin’s signature regardless of who actually applied it. This concentration of financial access in a single non-owner employee, combined with the absence of any formal dual-control or review step on disbursements, is the most material internal-controls observation surfaced during the engagement.</w:t>
      </w:r>
    </w:p>
    <w:p w14:paraId="3A2F8951" w14:textId="77777777" w:rsidR="00462882" w:rsidRDefault="00000000">
      <w:pPr>
        <w:pStyle w:val="Heading3"/>
      </w:pPr>
      <w:r>
        <w:t>Data Quality Observation — QuickBooks Customer Records</w:t>
      </w:r>
    </w:p>
    <w:p w14:paraId="4CB3C975" w14:textId="77777777" w:rsidR="00462882" w:rsidRDefault="00000000">
      <w:pPr>
        <w:spacing w:after="120"/>
      </w:pPr>
      <w:r>
        <w:t>Three years of QuickBooks invoice history were reviewed as part of this engagement (fiscal years 2023 through 2026 year-to-date). During that review, it became clear that customer records are not maintained under a single canonical name per entity. The same general contractor, end customer, or national account intermediary frequently appears in QuickBooks under multiple customer records with varying spellings, abbreviations, punctuation, and formatting.</w:t>
      </w:r>
    </w:p>
    <w:p w14:paraId="28446FF6" w14:textId="77777777" w:rsidR="00462882" w:rsidRDefault="00000000">
      <w:pPr>
        <w:spacing w:after="120"/>
      </w:pPr>
      <w:r>
        <w:t>Examples of this pattern include:</w:t>
      </w:r>
    </w:p>
    <w:p w14:paraId="6487FDC4" w14:textId="77777777" w:rsidR="00462882" w:rsidRDefault="00000000">
      <w:pPr>
        <w:pStyle w:val="ListParagraph"/>
        <w:numPr>
          <w:ilvl w:val="0"/>
          <w:numId w:val="2"/>
        </w:numPr>
        <w:spacing w:after="60"/>
      </w:pPr>
      <w:r>
        <w:t>Cross Construction, the Company’s most active general contractor partner, appears across QuickBooks under at least six name variants, including “Cross Cont.”, “Cross Contract”, “Cross Contracting”, “Cross Gen. Cont.”, “Cross General Contracting”, and others.</w:t>
      </w:r>
    </w:p>
    <w:p w14:paraId="501F3A65" w14:textId="77777777" w:rsidR="00462882" w:rsidRDefault="00000000">
      <w:pPr>
        <w:pStyle w:val="ListParagraph"/>
        <w:numPr>
          <w:ilvl w:val="0"/>
          <w:numId w:val="2"/>
        </w:numPr>
        <w:spacing w:after="60"/>
      </w:pPr>
      <w:r>
        <w:t>Eagle Mine is split between parent:child records (“Eagle Mine:Eagle Mine - Big Bay” and “Eagle Mine:Humboldt Mill”), which is by design, but other national account intermediaries (Cintas, Siemens, Century Fire Protection) use a mix of hyphenated and non-hyphenated naming conventions that are inconsistent across records.</w:t>
      </w:r>
    </w:p>
    <w:p w14:paraId="591007A3" w14:textId="77777777" w:rsidR="00462882" w:rsidRDefault="00000000">
      <w:pPr>
        <w:pStyle w:val="ListParagraph"/>
        <w:numPr>
          <w:ilvl w:val="0"/>
          <w:numId w:val="2"/>
        </w:numPr>
        <w:spacing w:after="60"/>
      </w:pPr>
      <w:r>
        <w:t>Several customer records contain baked-in typographical errors that have never been corrected. Examples include “Portage Lake Propereties - Copper Range D” (misspelled) and “Beauchamp Plumbin&amp; Heating” (missing characters).</w:t>
      </w:r>
    </w:p>
    <w:p w14:paraId="5701D4FA" w14:textId="77777777" w:rsidR="00462882" w:rsidRDefault="00000000">
      <w:pPr>
        <w:pStyle w:val="ListParagraph"/>
        <w:numPr>
          <w:ilvl w:val="0"/>
          <w:numId w:val="2"/>
        </w:numPr>
        <w:spacing w:after="60"/>
      </w:pPr>
      <w:r>
        <w:t>At least one customer record has a reminder or instruction embedded directly into the customer name: “PotlatchDeltic Corporation-NEED PO#”. This suggests that QuickBooks customer records have, in some cases, been used as an ad hoc notes field.</w:t>
      </w:r>
    </w:p>
    <w:p w14:paraId="7C544FB6" w14:textId="77777777" w:rsidR="00462882" w:rsidRDefault="00000000">
      <w:pPr>
        <w:spacing w:after="120"/>
      </w:pPr>
      <w:r>
        <w:t xml:space="preserve">The practical effect of this finding is that any standard QuickBooks report that groups activity by customer will materially understate the concentration of business with a given relationship. </w:t>
        <w:lastRenderedPageBreak/>
        <w:t>Meaningful customer-level analysis requires manual consolidation of name variants. The owner and office staff navigate these inconsistencies by memory. The customer relationship analysis presented in Section 2.5 of this report was prepared by manually grouping name variants across three years of transaction history.</w:t>
      </w:r>
    </w:p>
    <w:p w14:paraId="4982F19A" w14:textId="7CE6B0C1" w:rsidR="00462882" w:rsidRDefault="00000000">
      <w:pPr>
        <w:spacing w:after="120"/>
      </w:pPr>
      <w:r>
        <w:t>A related structural observation concerns the customer-to-job data model used in QuickBooks itself. QuickBooks Desktop supports a hierarchical “Customer : Job” structure in which a single customer record can be associated with many jobs over time, and both revenue and job costing can be tracked per-job while still rolling up to the customer. As presently configured, Excel Fire’s QuickBooks file does not consistently use this parent-child pattern. Instead, a new customer record is typically created per job, so that the same end customer or general contractor appears as multiple distinct “customers” in the system over the course of several engagements. This pattern compounds the name-variant issue described above, since each new engagement creates a new opportunity for a different spelling or abbreviation to enter the file.</w:t>
      </w:r>
    </w:p>
    <w:p w14:paraId="3F7B7DC8" w14:textId="28D88D54" w:rsidR="00462882" w:rsidRDefault="00000000">
      <w:pPr>
        <w:spacing w:after="120"/>
      </w:pPr>
      <w:r>
        <w:t>The distinction among direct end customers, general contractors, and national account intermediaries is properly a customer attribute and QuickBooks provides a native Customer Type field at the customer-master level that is intended to carry exactly this kind of structured categorical information. Direct inspection of the QuickBooks customer master confirms that the Customer Type field is not populated on any sampled customer record. The channel distinction is instead carried informally in the owner’s and office staff’s working knowledge of the customer base and is documented qualitatively in Section 2.5. As a practical matter, billing-channel mix cannot be read directly off any QuickBooks report and must be reconstructed by manually grouping customer records.</w:t>
      </w:r>
    </w:p>
    <w:p w14:paraId="7F953D84" w14:textId="77777777" w:rsidR="00462882" w:rsidRDefault="00000000">
      <w:pPr>
        <w:pStyle w:val="Heading2"/>
      </w:pPr>
      <w:r>
        <w:t>2.2 Revenue Generation &amp; Customer Management</w:t>
      </w:r>
    </w:p>
    <w:p w14:paraId="1B65E552" w14:textId="77777777" w:rsidR="00462882" w:rsidRDefault="00000000">
      <w:pPr>
        <w:pStyle w:val="Heading3"/>
      </w:pPr>
      <w:r>
        <w:t>Lead Generation &amp; Business Development</w:t>
      </w:r>
    </w:p>
    <w:p w14:paraId="2F1B31B6" w14:textId="48432A44" w:rsidR="00462882" w:rsidRDefault="00000000">
      <w:pPr>
        <w:spacing w:after="120"/>
      </w:pPr>
      <w:r>
        <w:t>Lead generation is entirely reputation-based and inbound. The owner receives requests to bid on projects from general contractors and end customers via email or phone call, and he bids on them. There is no outbound business development activity, no formal sales process, and no marketing budget or advertising spend. The business sustains itself on the owner’s reputation in the local market.</w:t>
      </w:r>
    </w:p>
    <w:p w14:paraId="414EF26D" w14:textId="77777777" w:rsidR="00462882" w:rsidRDefault="00000000">
      <w:pPr>
        <w:pStyle w:val="Heading3"/>
      </w:pPr>
      <w:r>
        <w:t>Estimating &amp; Bidding</w:t>
      </w:r>
    </w:p>
    <w:p w14:paraId="0CB71B3D" w14:textId="77777777" w:rsidR="00462882" w:rsidRDefault="00000000">
      <w:pPr>
        <w:spacing w:after="120"/>
      </w:pPr>
      <w:r>
        <w:t>Both Kevin (owner) and Keith (journeyman/field lead) are capable of preparing estimates and bids. Two primary estimating methods are used in parallel on every job, and the two methods are intentionally cross-checked against one another as a sanity check: a dollars-per-square-foot method based on the building footprint, and a dollars-per-sprinkler-head method based on the projected head count. Both numbers are worked up for the same project and compared; a meaningful discrepancy between the two triggers a closer review of the project plans.</w:t>
      </w:r>
    </w:p>
    <w:p w14:paraId="679CAC41" w14:textId="69954937" w:rsidR="00462882" w:rsidRDefault="00000000">
      <w:pPr>
        <w:spacing w:after="120"/>
      </w:pPr>
      <w:r>
        <w:t>The review process specifically looks for features that would drive the head count or labor off the per-square-foot benchmark: wall coring, ceiling obstructions, unusual room geometry, high ceilings, concealed spaces, and similar conditions. The final bid figure is then reconciled on a sheet that the owner refers to as the “bid sheet” — a working document used during bid prep to lay out initial square footage, head count, both unit prices, and the final total. The bid sheet is the artifact that captures the cross-check; it is prepared by hand at the drafting table alongside the plans. The specific rates and cost buildup methodology used in these estimates are not documented in any standalone reference. Rate extraction from the owner is currently in progress as part of this engagement.</w:t>
      </w:r>
    </w:p>
    <w:p w14:paraId="732B8CA7" w14:textId="0C1C0EF4" w:rsidR="00462882" w:rsidRDefault="00000000">
      <w:r>
        <w:lastRenderedPageBreak/>
        <w:t>When a bid invitation arrives — typically by email from a general contractor or by phone from an end customer — the first decision point is whether to bid at all. Kevin and Keith confer on bid-or-no-bid decisions. Government projects, particularly federal projects such as VA hospitals, are generally declined due to the extensive compliance, documentation, and reporting requirements they impose, which the Company's current administrative capacity is not structured to support efficiently.  That said, larger jobs can be compelling enough to force a bid.</w:t>
      </w:r>
    </w:p>
    <w:p w14:paraId="68BFD887" w14:textId="77777777" w:rsidR="00462882" w:rsidRDefault="00000000">
      <w:r>
        <w:t>Krissy has recently taken on the role of reviewing project manuals and bid packages when they arrive. She reads through the specifications to identify contract requirements, required alternates, insurance or bonding requirements, and any questions that need to be raised with the general contractor before the bid is prepared. This review step was not previously formalized and represents an expansion of Krissy's role as Betty's retirement approaches.</w:t>
      </w:r>
    </w:p>
    <w:p w14:paraId="00892331" w14:textId="77777777" w:rsidR="00462882" w:rsidRDefault="00000000">
      <w:pPr>
        <w:spacing w:after="120"/>
      </w:pPr>
      <w:r>
        <w:rPr>
          <w:b/>
          <w:bCs/>
          <w:i/>
          <w:iCs/>
          <w:color w:val="B45309"/>
        </w:rPr>
        <w:t xml:space="preserve">[PENDING] </w:t>
      </w:r>
      <w:r>
        <w:rPr>
          <w:i/>
          <w:iCs/>
          <w:color w:val="B45309"/>
        </w:rPr>
        <w:t>Estimating rates and cost buildup methodology documentation is in progress and will be incorporated upon completion.</w:t>
      </w:r>
    </w:p>
    <w:p w14:paraId="2817BFA8" w14:textId="77777777" w:rsidR="00462882" w:rsidRDefault="00000000">
      <w:pPr>
        <w:pStyle w:val="Heading3"/>
      </w:pPr>
      <w:r>
        <w:t>Proposal Preparation &amp; Submission</w:t>
      </w:r>
    </w:p>
    <w:p w14:paraId="322053FE" w14:textId="77777777" w:rsidR="00462882" w:rsidRDefault="00000000">
      <w:pPr>
        <w:spacing w:after="120"/>
      </w:pPr>
      <w:r>
        <w:t>Proposals begin with either Kevin or Keith drafting the scope and pricing by hand at the drafting table while reviewing the project plans. Both follow a consistent pattern — a paragraph describing the services to be provided and a dollar figure — reproduced from memory rather than from a written guide.</w:t>
      </w:r>
    </w:p>
    <w:p w14:paraId="1D4312F3" w14:textId="77777777" w:rsidR="00462882" w:rsidRDefault="00000000">
      <w:pPr>
        <w:spacing w:after="120"/>
      </w:pPr>
      <w:r>
        <w:t>The handwritten draft is then handed off to Krissy (usually) or Betty (less frequently), who transcribes the content into a proposal template document and emails the completed proposal to the requesting general contractor. Email is the standard channel for outbound proposal delivery.</w:t>
      </w:r>
    </w:p>
    <w:p w14:paraId="313AC40A" w14:textId="77777777" w:rsidR="00462882" w:rsidRDefault="00000000">
      <w:pPr>
        <w:spacing w:after="120"/>
      </w:pPr>
      <w:r>
        <w:t>Once a proposal has been sent, a paper copy is filed in a dedicated drawer in the office filing cabinet reserved for “proposals sent, no answer yet.” This drawer functions as the Company’s de facto sales pipeline for outstanding bids. There is no aging logic, status tracking, or close-date on these records. Betty reviews this drawer every few months and uses it as a memory aid to remind Kevin to call particular general contractors for status updates. Proposals are not formally disqualified; they remain in the drawer until either a signed contract comes back (at which point the job moves into an active project file) or Betty and Kevin decide the opportunity is dead. See Section 2.4 for a fuller description of the filing cabinet layout.</w:t>
      </w:r>
    </w:p>
    <w:p w14:paraId="22E2A89C" w14:textId="77777777" w:rsidR="00462882" w:rsidRDefault="00000000">
      <w:r>
        <w:t>When a letter of intent or signed contract is received, the office performs a contract review focused on extracting operational requirements: billing submittal deadlines (typically the 20th or 25th of the month), AIA billing form requirements, retainage percentage and terms, certified payroll requirements if any, and insurance requirements specific to the project or the general contractor. A certificate of insurance is requested from Gauthier Insurance as soon as a letter of intent or contract is in hand; the insurance company typically returns the COI on the same day.</w:t>
      </w:r>
    </w:p>
    <w:p w14:paraId="6C6B1BEC" w14:textId="77777777" w:rsidR="00462882" w:rsidRDefault="00000000">
      <w:r>
        <w:t>The job is entered into QuickBooks immediately upon receipt of the letter of intent or signed contract. This step is time-sensitive because Jamie at AT&amp;C needs the job name in QuickBooks in order to code payroll hours against the correct project. Job names in QuickBooks may differ from the names field crews use for the same project; the office translates between the two naming conventions when processing timesheets.</w:t>
      </w:r>
    </w:p>
    <w:p w14:paraId="367F87F7" w14:textId="77777777" w:rsidR="00462882" w:rsidRDefault="00000000">
      <w:pPr>
        <w:pStyle w:val="Heading3"/>
      </w:pPr>
      <w:r>
        <w:t>Contract Negotiation &amp; Execution</w:t>
      </w:r>
    </w:p>
    <w:p w14:paraId="558FE622" w14:textId="77777777" w:rsidR="00462882" w:rsidRDefault="00000000">
      <w:pPr>
        <w:spacing w:after="120"/>
      </w:pPr>
      <w:r>
        <w:t>Contract negotiation, to the extent it occurs, is conducted directly between the owner and the customer. In practice, there is minimal negotiation. Bids are typically either accepted by the customer or met with no response. There is no formal follow-up process to determine whether a bid that received no response has been rejected, is still under consideration, or was awarded to another contractor. Deals are not formally disqualified from the pipeline.</w:t>
      </w:r>
    </w:p>
    <w:p w14:paraId="0C7C8EF4" w14:textId="77777777" w:rsidR="00462882" w:rsidRDefault="00000000">
      <w:pPr>
        <w:pStyle w:val="Heading3"/>
      </w:pPr>
      <w:r>
        <w:lastRenderedPageBreak/>
        <w:t>Customer Relationship Management</w:t>
      </w:r>
    </w:p>
    <w:p w14:paraId="2184EFFF" w14:textId="77777777" w:rsidR="00462882" w:rsidRDefault="00000000">
      <w:pPr>
        <w:spacing w:after="120"/>
      </w:pPr>
      <w:r>
        <w:t>There are no formal CRM practices or systems in place. Routine customer communications take place via both phone and email, depending on the customer and the nature of the interaction. There are no scheduled in-person customer relationship-building activities — no standing customer visits, account reviews, or business development meetings on the calendar. Ongoing customer relationships depend on the owner’s personal connections, which in some cases include social and recreational activities (hunting, snowmobiling, and similar), but these are organic rather than part of any structured account management practice. The “proposals sent, no answer yet” drawer described above is the closest artifact the Company maintains to a customer pipeline record.</w:t>
      </w:r>
    </w:p>
    <w:p w14:paraId="03F7DCD0" w14:textId="77777777" w:rsidR="00462882" w:rsidRDefault="00000000">
      <w:pPr>
        <w:pStyle w:val="Heading3"/>
      </w:pPr>
      <w:r>
        <w:t>Service Agreement &amp; Inspection Contract Administration</w:t>
      </w:r>
    </w:p>
    <w:p w14:paraId="56DEBC80" w14:textId="054E6A8A" w:rsidR="00462882" w:rsidRDefault="00000000">
      <w:pPr>
        <w:spacing w:after="120"/>
      </w:pPr>
      <w:r>
        <w:t>Krissy, the office administrator, maintains a spreadsheet tracking past fire protection system inspections and customer due dates. Keith is the only employee who performs inspections. Due to Keith’s bandwidth constraints from project management workload, the Company is currently only responding to inbound inspection requests rather than proactively scheduling inspections based on the tracking spreadsheet. The spreadsheet contains historical data that remains reliable, and there are customers in the spreadsheet who would likely schedule inspections if contacted.</w:t>
      </w:r>
    </w:p>
    <w:p w14:paraId="39F26965" w14:textId="77777777" w:rsidR="00462882" w:rsidRDefault="00000000">
      <w:pPr>
        <w:spacing w:after="120"/>
      </w:pPr>
      <w:r>
        <w:t>Excel Fire does not maintain written, multi-year, or auto-renewing inspection service agreements with the customers reflected in the tracking spreadsheet. Recurring annual inspection work is conducted on an informal basis, with each year’s inspection treated as a discrete, individually awarded engagement rather than performance under a standing contract. As a result, there is no contractual obligation on the customer to return to Excel Fire for the next annual inspection cycle, and no contractual obligation on Excel Fire to proactively notify or schedule those customers. The inspection customer list functions as a historical relationship record rather than a contracted book of recurring revenue.</w:t>
      </w:r>
    </w:p>
    <w:p w14:paraId="23C21AF0" w14:textId="77777777" w:rsidR="00462882" w:rsidRDefault="00000000">
      <w:pPr>
        <w:pStyle w:val="Heading3"/>
      </w:pPr>
      <w:r>
        <w:t>Warranty Tracking &amp; Callback Management</w:t>
      </w:r>
    </w:p>
    <w:p w14:paraId="68903B75" w14:textId="77777777" w:rsidR="00462882" w:rsidRDefault="00000000">
      <w:pPr>
        <w:spacing w:after="120"/>
      </w:pPr>
      <w:r>
        <w:t>Warranty tracking is handled through a paper-based process. On project completion, Krissy fills out a one-page warranty template that records the project, the warranty start date, and the warranty end date (one year from completion). The completed form is printed and filed in the physical project file. There is no centralized warranty log or aggregated view across projects; each warranty record lives within its individual project file.</w:t>
      </w:r>
    </w:p>
    <w:p w14:paraId="0045E248" w14:textId="71BD7380" w:rsidR="00462882" w:rsidRDefault="00000000">
      <w:pPr>
        <w:spacing w:after="120"/>
      </w:pPr>
      <w:r>
        <w:t>Callback management is handled manually by the office staff. When a customer calls with a question or service request, either Krissy or Betty creates a paper record, either by printing the email or creating a Word document containing the person’s name, phone number, and a description of the issue. These are placed in a physical pile for Keith to review each morning before the field crews depart.  Keith performs all these callbacks personally from the road.</w:t>
      </w:r>
    </w:p>
    <w:p w14:paraId="1406916A" w14:textId="77777777" w:rsidR="00462882" w:rsidRDefault="00000000">
      <w:pPr>
        <w:pStyle w:val="Heading3"/>
      </w:pPr>
      <w:r>
        <w:t>Marketing</w:t>
      </w:r>
    </w:p>
    <w:p w14:paraId="5B055E42" w14:textId="77777777" w:rsidR="00462882" w:rsidRDefault="00000000">
      <w:pPr>
        <w:spacing w:after="120"/>
      </w:pPr>
      <w:r>
        <w:t>The Company has a website, maintained by 906 Technologies, and the Company’s vehicles have wraps with branding. There is no marketing budget, no advertising spend, and no active marketing activity of any kind. All business development is passive and reputation-driven.</w:t>
      </w:r>
    </w:p>
    <w:p w14:paraId="77FDEE82" w14:textId="77777777" w:rsidR="00462882" w:rsidRDefault="00000000">
      <w:pPr>
        <w:pStyle w:val="Heading2"/>
      </w:pPr>
      <w:r>
        <w:t>2.3 Project Delivery &amp; Operations</w:t>
      </w:r>
    </w:p>
    <w:p w14:paraId="0910FCD6" w14:textId="77777777" w:rsidR="00462882" w:rsidRDefault="00462882">
      <w:pPr>
        <w:spacing w:after="80"/>
      </w:pPr>
    </w:p>
    <w:p w14:paraId="6BC04A19" w14:textId="77777777" w:rsidR="00462882" w:rsidRDefault="00000000">
      <w:pPr>
        <w:pStyle w:val="Heading3"/>
      </w:pPr>
      <w:r>
        <w:lastRenderedPageBreak/>
        <w:t>Project Management Methodology &amp; Workflow</w:t>
      </w:r>
    </w:p>
    <w:p w14:paraId="4AE78F4D" w14:textId="33C05E3E" w:rsidR="00462882" w:rsidRDefault="00000000">
      <w:pPr>
        <w:spacing w:after="120"/>
      </w:pPr>
      <w:r>
        <w:t>Project management is manual and informal, and day-to-day coordination of active jobs relies on Keith in his de facto project manager role. There is no consistent written workflow from project award through closeout, and certain administrative steps — such as ensuring that contracts are countersigned or that invoices are issued on a standard cadence — are handled case-by-case rather than by routine. Visibility between field operations and the office is limited: field crews may be working on a job that the office has not yet recorded as started, and the office at times receives customer inquiries on jobs whose field status it cannot readily confirm without calling Keith.</w:t>
      </w:r>
    </w:p>
    <w:p w14:paraId="30715E4E" w14:textId="0621359F" w:rsidR="00462882" w:rsidRDefault="00000000">
      <w:pPr>
        <w:spacing w:after="120"/>
      </w:pPr>
      <w:r>
        <w:t>There is no defined data model for a job — meaning a documented set of required fields (job site address, billing address, on-site contact, start date, plan delivery deadline, paperwork requirements, pay terms) that must be captured at intake before a request can move forward. These fields are not consistently captured at intake. The result is that customer information arrives in fragments and the office and field staff repeatedly have to chase missing pieces from the customer or the general contractor in order to invoice, schedule, or close out work. In one example surfaced during this engagement, a single inspection invoice took approximately two months to deliver because the only contact information left at the time of service was a site address with no billing contact or phone number.</w:t>
      </w:r>
    </w:p>
    <w:p w14:paraId="083BAE4E" w14:textId="77777777" w:rsidR="00462882" w:rsidRDefault="00000000">
      <w:pPr>
        <w:spacing w:after="120"/>
      </w:pPr>
      <w:r>
        <w:t>There is also no formal status reporting cadence between the field and the office. Crew members know what they are working on day to day, but the office does not have continuous visibility into job progress. Job status updates flow into the office only when someone walks paperwork to Krissy’s box, drops it on Betty’s desk, or verbally reports that a job is complete. Several jobs visible on the office’s job tracking artifacts reflect zero-percent progress despite the field crews having already performed work, because no completion signal has been transmitted back to the office. Newer field employees, in particular, have a tendency to route operational questions through the Local 669 business agent (Nick) rather than through the office, even though the office staff have provided direct contact information; this further reduces the office’s real-time visibility into in-progress work.</w:t>
      </w:r>
    </w:p>
    <w:p w14:paraId="749AA340" w14:textId="77777777" w:rsidR="00462882" w:rsidRDefault="00000000">
      <w:pPr>
        <w:spacing w:after="120"/>
      </w:pPr>
      <w:r>
        <w:t>Process steps also tend to run out of sequence. The more disciplined ordering of operations — sign contract, finalize design, secure permit, then order long-lead materials and schedule field crews — is not enforced. In several documented instances, materials have been ordered before the design and contract were finalized; when the customer subsequently changed scope or backed out, the Company was left holding committed materials inventory and incurred restocking or re-purposing costs. This out-of-sequence pattern is driven in part by the absence of a structured workflow that prevents a job from advancing to the next step until the prior step is complete.</w:t>
      </w:r>
    </w:p>
    <w:p w14:paraId="641B0FDD" w14:textId="77777777" w:rsidR="00462882" w:rsidRDefault="00000000">
      <w:pPr>
        <w:pStyle w:val="Heading3"/>
      </w:pPr>
      <w:r>
        <w:t>Billing &amp; Payment Cycle</w:t>
      </w:r>
    </w:p>
    <w:p w14:paraId="7D3C771C" w14:textId="77777777" w:rsidR="00462882" w:rsidRDefault="00000000">
      <w:r>
        <w:t>Billing on installation projects cannot begin until a signed contract has been received and the job has been entered on the office tracking board. For larger projects, billing follows the milestone schedule extracted from the contract during the contract review described in Section 2.2. Retainage — typically 10% or 5%, as specified in the contract — is withheld from each progress billing.</w:t>
      </w:r>
    </w:p>
    <w:p w14:paraId="13B2679C" w14:textId="77777777" w:rsidR="00462882" w:rsidRDefault="00000000">
      <w:r>
        <w:t xml:space="preserve">The dollar amount to bill on each draw is determined through a combination of two inputs: the payroll hours charged to the job (visible to the office through QuickBooks after Jamie processes timesheets) and Keith's field assessment of the percentage of work completed. The office asks Keith for a completion percentage, compares it against the labor hours and contract value, and prepares the invoice accordingly. Payment is typically received approximately 25 days after </w:t>
        <w:lastRenderedPageBreak/>
        <w:t>invoice submission, though this varies by customer and by the speed of the project owner's payment cycle.</w:t>
      </w:r>
    </w:p>
    <w:p w14:paraId="3E3D7781" w14:textId="77777777" w:rsidR="00462882" w:rsidRDefault="00000000">
      <w:r>
        <w:t>At project completion, a separate invoice is prepared to bill for all accumulated retainage. The tracking board — the physical whiteboard described elsewhere in this report — carries four data points per job: contract amount, amount billed per invoice, amount received, and remaining retainage. Each billing is numbered sequentially against the contract (for example, a job with eight progress draws would have its final billing labeled number eight at 100%).</w:t>
      </w:r>
    </w:p>
    <w:p w14:paraId="571E73AB" w14:textId="77777777" w:rsidR="00462882" w:rsidRDefault="00000000">
      <w:pPr>
        <w:pStyle w:val="Heading3"/>
      </w:pPr>
      <w:r>
        <w:t>Schedule of Values &amp; AIA Billing Documents</w:t>
      </w:r>
    </w:p>
    <w:p w14:paraId="46483EDD" w14:textId="77777777" w:rsidR="00462882" w:rsidRDefault="00000000">
      <w:r>
        <w:t>On larger projects, particularly those involving general contractors, the contractor requires a schedule of values — a line-item breakdown of the contract price by scope element — which the general contractor uses for its own reporting to the project owner. Kevin prepares the schedule of values.</w:t>
      </w:r>
    </w:p>
    <w:p w14:paraId="5CA072A9" w14:textId="77777777" w:rsidR="00462882" w:rsidRDefault="00000000">
      <w:r>
        <w:t>Certain general contractors require AIA-format billing documents (the standard American Institute of Architects payment application forms). The AIA form is prepared after the QuickBooks invoice has been completed: the office fills out the AIA form to match the invoice, incorporating change orders and applying the correct completion percentages against each line item. Betty notarizes the AIA documents as part of the submittal package. Kevin signs the AIA forms but typically does not add dates; Betty adds the correct dates after his signature. In some cases, Kevin will request that the office bill at 100% completion even before the AHJ final inspection has been scheduled. The general contractor's project manager may push back and request a lower percentage — for example, 97% — until the inspection is complete.</w:t>
      </w:r>
    </w:p>
    <w:p w14:paraId="125B9716" w14:textId="77777777" w:rsidR="00462882" w:rsidRDefault="00000000">
      <w:pPr>
        <w:pStyle w:val="Heading3"/>
      </w:pPr>
      <w:r>
        <w:t>Lien Waivers</w:t>
      </w:r>
    </w:p>
    <w:p w14:paraId="5EBFEABA" w14:textId="77777777" w:rsidR="00462882" w:rsidRDefault="00000000">
      <w:r>
        <w:t>General contractors prepare lien waivers — typically required by the project lender or title company — and send them to the project manager, who forwards them to Excel Fire for signature. The office verifies that the dollar amounts stated in the lien waiver match the actual amounts billed and received before signing. Keith has, on occasion, pushed back on incorrect waiver amounts, particularly when back-charges for items such as hole-filling were disputed as not being the Company's responsibility.</w:t>
      </w:r>
    </w:p>
    <w:p w14:paraId="039CC335" w14:textId="77777777" w:rsidR="00462882" w:rsidRDefault="00000000">
      <w:pPr>
        <w:pStyle w:val="Heading3"/>
      </w:pPr>
      <w:r>
        <w:t>Repair &amp; Service Call Workflow</w:t>
      </w:r>
    </w:p>
    <w:p w14:paraId="2FF96F5E" w14:textId="77777777" w:rsidR="00462882" w:rsidRDefault="00000000">
      <w:r>
        <w:t>When a repair or service call comes in, the office forwards the request directly to Keith, who gathers information on the scope of the problem. For smaller repairs, Keith handles the job directly from the field, contacts the office with any material requirements, and provides a verbal or written work order for billing after the fact. For larger repairs, Keith provides a written work order that serves as the billing basis. Kevin handles all pricing for repair work. The repair workflow mirrors the larger project workflow in its general shape but typically does not involve design work, since repair jobs involve replacing or modifying existing system components rather than designing new installations. However, the transition to state-level plan review has introduced the possibility that even straightforward replacement work — swapping an existing component with an identical part, with no design change — may now require an engineer's stamp, adding cost and lead time to what was previously a simple field repair.</w:t>
      </w:r>
    </w:p>
    <w:p w14:paraId="6B75C1F0" w14:textId="77777777" w:rsidR="00462882" w:rsidRDefault="00000000">
      <w:pPr>
        <w:pStyle w:val="Heading3"/>
      </w:pPr>
      <w:r>
        <w:t>Inspection Operations</w:t>
      </w:r>
    </w:p>
    <w:p w14:paraId="0F323BF3" w14:textId="77777777" w:rsidR="00462882" w:rsidRDefault="00000000">
      <w:r>
        <w:t xml:space="preserve">Keith Lefebvre is the Company's sole fire protection system inspector. He performs all NFPA-25 annual, semi-annual, quarterly, and five-year inspections on water-based fire protection systems installed at customer facilities, and he is the primary field lead for the rough-in and final inspections conducted by the Authority Having Jurisdiction (AHJ) on new-construction </w:t>
        <w:lastRenderedPageBreak/>
        <w:t>installation projects. The two classes of inspection activity — NFPA-25 inspection, testing, and maintenance (ITM) on existing systems, and AHJ rough-in and final inspection during new construction — are operationally distinct but share the same single-point-of-delivery resource in the current state.</w:t>
      </w:r>
    </w:p>
    <w:p w14:paraId="153281BE" w14:textId="77777777" w:rsidR="00462882" w:rsidRDefault="00000000">
      <w:pPr>
        <w:pStyle w:val="Heading3"/>
      </w:pPr>
      <w:r>
        <w:t>Inspection Intake and Scheduling</w:t>
      </w:r>
    </w:p>
    <w:p w14:paraId="4DA80CCC" w14:textId="19BBE692" w:rsidR="00462882" w:rsidRDefault="00000000">
      <w:r>
        <w:t>Inspection work enters the Company through two paths. First, incoming requests — typically phone calls from existing customers — are taken by Krissy at the front desk and forwarded to Keith. The intake path is not separated from the path used for repair and service calls; there is no dedicated inspection dispatch function. The office also receives regular inbound calls for fire extinguisher service, hood service, and other inspection-adjacent work that the Company does not currently perform (see below); these calls are declined and are not logged. Second, Cintas and Siemens will reach out to Excel Fire to schedule annual inspections at locations in the UP that they are contracted with to provide maintenance services (many retail establishments like TSC or Walgreens).  Krissy checks with Keith on availability and confirms that Excel Fire can perform an inspection or tells Cintas or Siemens that they are unavailable.  There is no automated tickler, no service calendar, and no standing inspection contracts.</w:t>
      </w:r>
    </w:p>
    <w:p w14:paraId="42FFBF7B" w14:textId="77777777" w:rsidR="00462882" w:rsidRDefault="00000000">
      <w:r>
        <w:t>Scheduling of the inspection itself is handled by Keith after the initial intake. Keith contacts the site point of contact, confirms access and timing, and slots the inspection into his weekly plan alongside active construction and repair work. On inspection days Keith typically performs the inspection personally. Apprentices occasionally accompany him and assist with the physical tasks — main drain tests, inspector test connections, flow and tamper switch verification, air compressor checks on dry systems, and valve exercising — but the inspection findings and the final report are Keith's product. No apprentice currently performs independent NFPA-25 inspections.</w:t>
      </w:r>
    </w:p>
    <w:p w14:paraId="6861B590" w14:textId="77777777" w:rsidR="00462882" w:rsidRDefault="00000000">
      <w:pPr>
        <w:pStyle w:val="Heading3"/>
      </w:pPr>
      <w:r>
        <w:t>Annual Hospital Complex Inspection</w:t>
      </w:r>
    </w:p>
    <w:p w14:paraId="077F3407" w14:textId="77777777" w:rsidR="00462882" w:rsidRDefault="00000000">
      <w:r>
        <w:t>The Company's largest and most operationally significant inspection engagement is the annual inspection of the local hospital complex, covering multiple fire protection systems across the main hospital campus and the affiliated facility codes EP2, EP9, EP11, and EP12. The inspection is performed jointly with Siemens under a teaming arrangement in which Siemens covers the fire alarm scope and Excel Fire covers the sprinkler and suppression scope. The first time this inspection was performed by Excel Fire under the current arrangement, it required approximately 3.5 days of field time; the current delivery takes approximately 1.5 days, reflecting Keith's accumulated familiarity with the facility layout and system inventory. The coordination, access logistics, and facility-specific knowledge developed across the multi-building complex reside with Keith and are not reflected in any written site binder, system-of-record inspection plan, or teaming protocol with Siemens.</w:t>
      </w:r>
    </w:p>
    <w:p w14:paraId="35FB946F" w14:textId="77777777" w:rsidR="00462882" w:rsidRDefault="00000000">
      <w:r>
        <w:t>Other recurring inspection facilities documented as active during the engagement window include an Alger County correctional facility (which includes a fire curtain), an Elder County cooler and freezer installation, a compressor building at a local power plant, Hoarder Flooring in Houghton, and multiple Sintest Industries locations in Marquette, Escanaba, Munising, and Houghton. The system of record for the full list of facilities and their inspection cadences is Krissy's spreadsheet (Section 2.2), supplemented by Keith's working knowledge.</w:t>
      </w:r>
    </w:p>
    <w:p w14:paraId="0F7A4064" w14:textId="77777777" w:rsidR="00462882" w:rsidRDefault="00000000">
      <w:pPr>
        <w:pStyle w:val="Heading3"/>
      </w:pPr>
      <w:r>
        <w:t>Rough-In and Final Construction Inspection — AHJ Workflow</w:t>
      </w:r>
    </w:p>
    <w:p w14:paraId="6004FC8A" w14:textId="77777777" w:rsidR="00462882" w:rsidRDefault="00000000">
      <w:r>
        <w:t xml:space="preserve">On new-construction installation projects, fire protection systems undergo rough-in and final inspections by the Authority Having Jurisdiction before the system can be placed in service. In the Upper Peninsula, plan review and code inspection functions for fire suppression have recently transitioned from county-level authorities to the Michigan Bureau of Construction Codes </w:t>
        <w:lastRenderedPageBreak/>
        <w:t>(BCC) at the state level, consistent with the permitting transition described under Licensing, Permitting &amp; Code Compliance below. The state-level inspector covering the entire Upper Peninsula is Phil Myron. Phil Myron is the sole state inspector for the geography and operates with approximately four-to-six-week lead times for both rough-in and final inspection scheduling. Rough-in and final inspection requests are submitted to Phil Myron's office following procedures established under the state transition.</w:t>
      </w:r>
    </w:p>
    <w:p w14:paraId="3A592D86" w14:textId="77777777" w:rsidR="00462882" w:rsidRDefault="00000000">
      <w:r>
        <w:t>State inspection fees are assessed per trip and run in the approximate range of $800 for a building of roughly 2,000 square feet, increasing with facility size. The fees are paid by Excel Fire and billed through to the project customer. Because the fee structure is per-trip, any rough-in or final inspection that fails requires a re-trip at the same fee, which creates a direct economic exposure on any project where the installed system is not ready at the scheduled inspection. One recent example documented during the engagement window — a Town Place Suites project — required two rough-in inspections. No root-cause documentation is maintained for re-trip inspections beyond Keith's verbal recollection.</w:t>
      </w:r>
    </w:p>
    <w:p w14:paraId="0A343D08" w14:textId="77777777" w:rsidR="00462882" w:rsidRDefault="00000000">
      <w:r>
        <w:t>Rough-in inspection readiness requires specific physical artifacts to be present on site at the time of the inspector's visit. These include a hydraulic calculation sticker affixed to the riser (documenting the design basis of the installed system) and testing material sheets documenting the materials actually installed (pipe specifications, fitting specifications, head model numbers, and related items). Preparation of these artifacts is part of Keith's pre-inspection routine and is managed by Keith personally; the sticker-and-sheet artifacts do not live in any centralized document management system and are not cross-referenced in the job file that resides in the office. Responsibility for coordinating the design subcontractor's deliverables (hydraulic calculations from Craig Johnson, or from Jeff Prange on the VA hospital project described in Section 2.3) with the on-site artifacts required at inspection is also Keith's.</w:t>
      </w:r>
    </w:p>
    <w:p w14:paraId="11161D19" w14:textId="77777777" w:rsidR="00462882" w:rsidRDefault="00000000">
      <w:pPr>
        <w:pStyle w:val="Heading3"/>
      </w:pPr>
      <w:r>
        <w:t>Inspection Reporting and Customer Deliverables</w:t>
      </w:r>
    </w:p>
    <w:p w14:paraId="1866FC9C" w14:textId="77777777" w:rsidR="00462882" w:rsidRDefault="00000000">
      <w:r>
        <w:t>Completed NFPA-25 inspection reports are produced on paper forms. These standard inspection forms are among the Company's few documented and structured artifacts (see Section 3). Reports are handed to the customer on-site, returned to the office for transmittal with the invoice, or both. The Company does not currently use Inspect Point or any comparable inspection, testing, and maintenance software platform. As a result, inspection history, deficiency tracking, re-test scheduling, and customer-facing portals are all absent at the system-of-record level, and inspection history for any given customer facility exists only in the paper forms archived at the office and in Keith's memory.</w:t>
      </w:r>
    </w:p>
    <w:p w14:paraId="41F5ACD0" w14:textId="77777777" w:rsidR="00462882" w:rsidRDefault="00000000">
      <w:pPr>
        <w:pStyle w:val="Heading3"/>
      </w:pPr>
      <w:r>
        <w:t>Inspection-Adjacent Work the Company Does Not Currently Provide</w:t>
      </w:r>
    </w:p>
    <w:p w14:paraId="08F36DA0" w14:textId="77777777" w:rsidR="00462882" w:rsidRDefault="00000000">
      <w:r>
        <w:t>The office receives regular inbound calls requesting fire extinguisher service, commercial kitchen hood service, and similar inspection-adjacent work. Excel Fire is not currently licensed or staffed for fire extinguisher servicing, which requires ICC/NAFED certification distinct from the Company's fire suppression contractor credentials, nor is it currently set up to service kitchen hood suppression systems. These inbound calls are declined at the front desk. The volume of declined inspection-adjacent service inquiries is not tracked.</w:t>
      </w:r>
    </w:p>
    <w:p w14:paraId="7DC1403A" w14:textId="77777777" w:rsidR="00462882" w:rsidRDefault="00000000">
      <w:pPr>
        <w:pStyle w:val="Heading3"/>
      </w:pPr>
      <w:r>
        <w:t>Competitive and Market Context for Inspection Services</w:t>
      </w:r>
    </w:p>
    <w:p w14:paraId="79C9FE9B" w14:textId="77777777" w:rsidR="00462882" w:rsidRDefault="00000000">
      <w:r>
        <w:t xml:space="preserve">Two competitive developments in the current engagement window are relevant to the inspection services line. First, a regional competitor (Lammi Sprinkler) was acquired by Summit Fire Protection, a national fire protection roll-up, during the pendency of a large installation project on which Excel Fire was engaged (see Section 2.5, EMP / Advanced Products). Summit's acquisition has accelerated the trend toward consolidated fire protection service providers in the region. Second, at least one existing customer (Teal Lake) has expressed a preference for a </w:t>
        <w:lastRenderedPageBreak/>
        <w:t>single-vendor model covering both installation and ongoing inspection/service. The Company does not currently structure its offering around a single-vendor model and continues to deliver inspection services in a reactive, per-request mode without multi-year service agreements. These developments are documented as current-state observations here and do not by themselves constitute gap findings.</w:t>
      </w:r>
    </w:p>
    <w:p w14:paraId="55398528" w14:textId="77777777" w:rsidR="00462882" w:rsidRDefault="00000000">
      <w:pPr>
        <w:pStyle w:val="Heading3"/>
      </w:pPr>
      <w:r>
        <w:t>Scheduling &amp; Resource Allocation</w:t>
      </w:r>
    </w:p>
    <w:p w14:paraId="1F9DFF6A" w14:textId="77777777" w:rsidR="00462882" w:rsidRDefault="00000000">
      <w:pPr>
        <w:spacing w:after="120"/>
      </w:pPr>
      <w:r>
        <w:t>Scheduling and resource allocation are performed ad hoc by Keith each morning. There is no formal scheduling tool, system, or advance planning process. Crew assignments are determined daily based on Keith’s assessment of priorities.</w:t>
      </w:r>
    </w:p>
    <w:p w14:paraId="0B5C364A" w14:textId="7DF9604A" w:rsidR="00462882" w:rsidRDefault="00000000">
      <w:pPr>
        <w:spacing w:after="120"/>
      </w:pPr>
      <w:r>
        <w:t>The office maintains a physical whiteboard listing active jobs, the dollar amount outstanding, and a percentage-complete estimate. The whiteboard is updated informally by Betty. It is the Company’s primary visual artifact for “what is in progress right now and how far along is it,” and substitutes for a project management or work-in-process tracking system. As noted in the field-to-office status cadence discussion above and in Section 2.1, the whiteboard’s accuracy is directly bounded by what the field has reported back to the office; in practice it is frequently out of date in both directions (jobs that have advanced without notification sit too low, and jobs that have been completed without notification sit unresolved), and it should be treated as a directional reference rather than a system of record.</w:t>
      </w:r>
    </w:p>
    <w:p w14:paraId="6B9B71DF" w14:textId="77777777" w:rsidR="00462882" w:rsidRDefault="00000000">
      <w:pPr>
        <w:spacing w:after="120"/>
      </w:pPr>
      <w:r>
        <w:t>Coordination with other trades on job sites — particularly with fire alarm contractors whose work is interleaved with sprinkler rough-in, hydro testing, and AHJ final walkthrough — is a recurring scheduling friction point. When alarm contractors are not on site in the expected sequence, or when their portion of the life safety system is not ready for joint inspection, the Company has historically been placed at risk of being written up by the authority having jurisdiction (AHJ) for conditions that are outside its own scope of work. The coordination is managed case-by-case by phone between Keith, the owner, the general contractor, and the alarm contractor; there is no shared project schedule.</w:t>
      </w:r>
    </w:p>
    <w:p w14:paraId="456C72AB" w14:textId="2503F122" w:rsidR="00462882" w:rsidRDefault="00000000">
      <w:pPr>
        <w:spacing w:after="120"/>
      </w:pPr>
      <w:r>
        <w:t>Keith's daily scheduling process, as described in his own words during the April engagement interviews, is driven by three considerations taken together: the crew capacity available that day (typically three field personnel across two trucks), the rule-of-thumb installation productivity he uses for labor planning (approximately five heads installed per journeyman per day on new-construction sprinkler work, used as a sanity check against bid labor hours), and the fixed constraints imposed by customer access windows, trade coordination with fire alarm contractors, and AHJ inspection appointments with the state inspector. Keith balances these three inputs each morning based on his working knowledge of each active job, without a documented decision framework or prioritization matrix. The scheduling logic therefore cannot be reproduced by anyone else in the Company in Keith's absence.</w:t>
      </w:r>
    </w:p>
    <w:p w14:paraId="6C77F14C" w14:textId="77777777" w:rsidR="00462882" w:rsidRDefault="00000000">
      <w:pPr>
        <w:pStyle w:val="Heading3"/>
      </w:pPr>
      <w:r>
        <w:t>Procurement, Vendor Relationships &amp; Supply Chain</w:t>
      </w:r>
    </w:p>
    <w:p w14:paraId="5070CF05" w14:textId="77777777" w:rsidR="00462882" w:rsidRDefault="00000000">
      <w:pPr>
        <w:spacing w:after="120"/>
      </w:pPr>
      <w:r>
        <w:t>ETNA is the Company’s primary and near-exclusive supplier of direct materials for fire sprinkler installation. The relationship is longstanding, spanning decades, and is characterized as very positive. There are no preferential pricing terms. The Company pays for ETNA purchases using a credit card, absorbing the credit card processing fee charged by ETNA in exchange for the 30-day payment float and credit card rewards.</w:t>
      </w:r>
    </w:p>
    <w:p w14:paraId="12C2C790" w14:textId="77777777" w:rsidR="00462882" w:rsidRDefault="00000000">
      <w:pPr>
        <w:spacing w:after="120"/>
      </w:pPr>
      <w:r>
        <w:t>Any journeyman can charge supplies directly to a job at ETNA. There is no dollar threshold or approval requirement for field purchases. Both Kevin and Keith can also place orders.</w:t>
      </w:r>
    </w:p>
    <w:p w14:paraId="556EA37F" w14:textId="77777777" w:rsidR="00462882" w:rsidRDefault="00000000">
      <w:pPr>
        <w:spacing w:after="120"/>
      </w:pPr>
      <w:r>
        <w:lastRenderedPageBreak/>
        <w:t>Craig Johnson is the Company’s fire sprinkler design subcontractor, handling all sprinkler system design work. Concerns have been raised about Craig Johnson’s ability to turn around designs in a timely manner over the past year.</w:t>
      </w:r>
    </w:p>
    <w:p w14:paraId="1AB62B52" w14:textId="77777777" w:rsidR="00462882" w:rsidRDefault="00000000">
      <w:r>
        <w:t>A second design subcontractor, Jeff Prange, has recently been engaged for a specific project (the VA hospital). The engagement with Jeff Prange appears to be informal — no written agreement has been identified — and originated through a personal referral from a friend of the owner named Scott. For simple jobs requiring only a small number of sprinkler heads (two to three), Keith is capable of producing a basic plan showing head specifications and pipe layout, though the new state-level plan review requirements may now require an engineer’s stamp even on simple plans that previously would have been submitted without one.</w:t>
      </w:r>
    </w:p>
    <w:p w14:paraId="12112D19" w14:textId="77777777" w:rsidR="00462882" w:rsidRDefault="00000000">
      <w:pPr>
        <w:pStyle w:val="Heading3"/>
      </w:pPr>
      <w:r>
        <w:t>Subcontractor Management &amp; Qualification</w:t>
      </w:r>
    </w:p>
    <w:p w14:paraId="37FBC6C3" w14:textId="77777777" w:rsidR="00462882" w:rsidRDefault="00000000">
      <w:pPr>
        <w:spacing w:after="120"/>
      </w:pPr>
      <w:r>
        <w:t>There is no formal process for subcontractor qualification, tracking, or management. Subcontractor licenses and certifications are filed if voluntarily provided, but there is no proactive verification or ongoing tracking of subcontractor credentials.</w:t>
      </w:r>
    </w:p>
    <w:p w14:paraId="510506E6" w14:textId="77777777" w:rsidR="00462882" w:rsidRDefault="00000000">
      <w:pPr>
        <w:pStyle w:val="Heading3"/>
      </w:pPr>
      <w:r>
        <w:t>Inventory Management &amp; Equipment/Fleet Tracking</w:t>
      </w:r>
    </w:p>
    <w:p w14:paraId="48E67A26" w14:textId="226600E1" w:rsidR="00462882" w:rsidRDefault="00000000">
      <w:pPr>
        <w:spacing w:after="120"/>
      </w:pPr>
      <w:r>
        <w:t>The Company maintains some inventory of sprinkler materials in its warehouse to facilitate emergency repairs without waiting on delivery lead times. This inventory is not formally managed. There is no tracking system, no minimum or maximum stock levels, and no formal replenishment process.</w:t>
      </w:r>
    </w:p>
    <w:p w14:paraId="4CE8E06A" w14:textId="77777777" w:rsidR="00462882" w:rsidRDefault="00000000">
      <w:pPr>
        <w:spacing w:after="120"/>
      </w:pPr>
      <w:r>
        <w:t>The Company operates three service/installation trucks. The stated operational goal is to have all three trucks fully manned and deployed on work at any given time; current staffing does not always allow for this, and on any given day one of the three trucks may be idle depending on crew assignments and active job load. Fleet management consists solely of a company fuel card. There is no vehicle telematics, no database of vehicle identification numbers, and no maintenance tracking system or schedule. Maintenance records may exist in paper files, but there is no proactive maintenance scheduling or vehicle inspection program. Vehicles are maintained reactively. The vehicles themselves are well maintained and in good condition.</w:t>
      </w:r>
    </w:p>
    <w:p w14:paraId="1CF62FD5" w14:textId="77777777" w:rsidR="00462882" w:rsidRDefault="00000000">
      <w:pPr>
        <w:pStyle w:val="Heading3"/>
      </w:pPr>
      <w:r>
        <w:t>Quality Assurance &amp; Quality Control</w:t>
      </w:r>
    </w:p>
    <w:p w14:paraId="2B95B261" w14:textId="77777777" w:rsidR="00462882" w:rsidRDefault="00000000">
      <w:pPr>
        <w:spacing w:after="120"/>
      </w:pPr>
      <w:r>
        <w:t>Quality assurance and quality control in the current state are embedded in Keith's pre-inspection and pre-turnover checks rather than administered through a formal program. On new-construction installation work, the primary QC artifacts are the rough-in and final inspection preparation items described under Inspection Operations above — the hydraulic calculation sticker affixed to the riser, the testing material sheets documenting installed materials, and the physical walk-down Keith performs before the AHJ inspector arrives on site. A failed rough-in or final inspection serves as the de facto independent quality check on installation work, with the direct economic consequence of a re-trip fee described above.</w:t>
      </w:r>
    </w:p>
    <w:p w14:paraId="28E90F54" w14:textId="77777777" w:rsidR="00462882" w:rsidRDefault="00000000">
      <w:pPr>
        <w:spacing w:after="120"/>
      </w:pPr>
      <w:r>
        <w:t>On repair and service work, post-repair verification is informal: Keith or the responsible crew member confirms operation, and any deficiencies are addressed before the crew leaves the site. There is no written QC checklist, no post-project punch-list sign-off document, and no independent verification step separate from the field crew that performed the work. On NFPA-25 inspection work, the inspection report itself functions as the QC record, and deficiencies identified during inspection are communicated to the customer through the inspection report deliverable.</w:t>
      </w:r>
    </w:p>
    <w:p w14:paraId="0FFDC610" w14:textId="77777777" w:rsidR="00462882" w:rsidRDefault="00000000">
      <w:pPr>
        <w:pStyle w:val="Heading3"/>
      </w:pPr>
      <w:r>
        <w:t>Safety Program, Incident Reporting &amp; OSHA Compliance</w:t>
      </w:r>
    </w:p>
    <w:p w14:paraId="15A3FE4D" w14:textId="77777777" w:rsidR="00462882" w:rsidRDefault="00000000">
      <w:pPr>
        <w:spacing w:after="120"/>
      </w:pPr>
      <w:r>
        <w:lastRenderedPageBreak/>
        <w:t>There is no evidence of a formal safety training program. OSHA 300 logs are prepared on a reactive basis when customers require them for project qualification purposes. OSHA reporting is not maintained as a standing compliance practice. The safety program, to the extent one exists, functions reactively rather than proactively.</w:t>
      </w:r>
    </w:p>
    <w:p w14:paraId="4F5F8313" w14:textId="77777777" w:rsidR="00462882" w:rsidRDefault="00000000">
      <w:pPr>
        <w:pStyle w:val="Heading3"/>
      </w:pPr>
      <w:r>
        <w:t>Licensing, Permitting &amp; Code Compliance</w:t>
      </w:r>
    </w:p>
    <w:p w14:paraId="1E344519" w14:textId="77777777" w:rsidR="00462882" w:rsidRDefault="00000000">
      <w:pPr>
        <w:spacing w:after="120"/>
      </w:pPr>
      <w:r>
        <w:t>Licensing, permitting, and code compliance (including NFPA standards and local fire marshal requirements) are managed on an ad hoc, per-job basis. The process is reactive: permits and code compliance steps are addressed as needed to keep individual jobs moving through the approval process. There is no centralized tracking of permit status, license renewals, or code compliance obligations across the Company’s portfolio of active work.</w:t>
      </w:r>
    </w:p>
    <w:p w14:paraId="564B97B6" w14:textId="77777777" w:rsidR="00462882" w:rsidRDefault="00000000">
      <w:pPr>
        <w:spacing w:after="120"/>
      </w:pPr>
      <w:r>
        <w:t>During the current engagement window, the Michigan fire suppression permit process has been in the middle of a material transition from county-administered to state-administered plan review. Historically, sprinkler plan review and permit issuance for the Upper Peninsula jurisdictions in which the Company works were handled at the county level, with permit fees in the range of approximately $150–$300 per project and relatively short turnaround times. Under the current state-level process, plan review is routed through the State of Michigan Bureau of Construction Codes (BCC), permit fees have increased to approximately $500–$600 per project, and turnaround on plan review has been running four to six weeks. The Company’s effective lead time from plan submission to permit-in-hand, including the mechanical permit that follows the BCC fire suppression review, has lengthened to approximately two months.</w:t>
      </w:r>
    </w:p>
    <w:p w14:paraId="2D0813D5" w14:textId="5397D08C" w:rsidR="00462882" w:rsidRDefault="00000000">
      <w:pPr>
        <w:spacing w:after="120"/>
      </w:pPr>
      <w:r>
        <w:t>Operationally, the state plan review must be secured before the mechanical permit can be issued — these two steps now run sequentially rather than in parallel. The primary state-level point of contact is reported by the owner to be helpful and responsive, but the inspector for the upper peninsula does not work on Fridays, which compresses the effective week for the in-person portion of an inspection. The office has also observed that new state standards have introduced design and documentation requirements that add to the up-front burden on each job.</w:t>
      </w:r>
    </w:p>
    <w:p w14:paraId="29EDAFBE" w14:textId="77777777" w:rsidR="00462882" w:rsidRDefault="00000000">
      <w:pPr>
        <w:spacing w:after="120"/>
      </w:pPr>
      <w:r>
        <w:t>This transition has material implications for bid-to-start scheduling, customer expectation management on project kickoff, and estimating contingency, none of which are currently captured in the Company’s estimating or scheduling workflow. There is no centralized tracker of permits in flight, plan review status by project, or expected permit issuance dates.</w:t>
      </w:r>
    </w:p>
    <w:p w14:paraId="1E7BCBF1" w14:textId="77777777" w:rsidR="00462882" w:rsidRDefault="00000000">
      <w:r>
        <w:t>Field inspection activity performed by the AHJ during and after construction (rough-in and final inspections on new installation projects) is documented under Inspection Operations above and is operationally managed by Keith. The state-level transition described in this subsection — from county plan review to the Michigan Bureau of Construction Codes — now governs both the permit issuance and the downstream rough-in and final inspection visits by Phil Myron for fire suppression scope.</w:t>
      </w:r>
    </w:p>
    <w:p w14:paraId="59A8AFD2" w14:textId="77777777" w:rsidR="00462882" w:rsidRDefault="00000000">
      <w:pPr>
        <w:pStyle w:val="Heading2"/>
      </w:pPr>
      <w:r>
        <w:t>2.4 People &amp; Administration</w:t>
      </w:r>
    </w:p>
    <w:p w14:paraId="0E4B8DB5" w14:textId="77777777" w:rsidR="00462882" w:rsidRDefault="00000000">
      <w:pPr>
        <w:pStyle w:val="Heading3"/>
      </w:pPr>
      <w:r>
        <w:t>Organizational Structure &amp; Role Definitions</w:t>
      </w:r>
    </w:p>
    <w:p w14:paraId="0388123A" w14:textId="77777777" w:rsidR="00462882" w:rsidRDefault="00000000">
      <w:pPr>
        <w:spacing w:after="120"/>
      </w:pPr>
      <w:r>
        <w:t>Excel Fire Protection employs seven people. Organizational roles and responsibilities are not formally defined outside of the union classification framework, which distinguishes between journeymen and apprentices at various class levels.</w:t>
      </w:r>
    </w:p>
    <w:p w14:paraId="162FFAC3" w14:textId="77777777" w:rsidR="00462882" w:rsidRDefault="00000000">
      <w:pPr>
        <w:spacing w:after="120"/>
      </w:pPr>
      <w:r>
        <w:t>The current staff consists of:</w:t>
      </w:r>
    </w:p>
    <w:p w14:paraId="49B3CD73" w14:textId="77777777" w:rsidR="00462882" w:rsidRDefault="00000000">
      <w:pPr>
        <w:pStyle w:val="ListParagraph"/>
        <w:numPr>
          <w:ilvl w:val="0"/>
          <w:numId w:val="2"/>
        </w:numPr>
        <w:spacing w:after="60"/>
      </w:pPr>
      <w:r>
        <w:t>Kevin Masich — Owner. Non-union. Handles estimating, bidding, customer relationships, business development, financial oversight, and check deposits.</w:t>
      </w:r>
    </w:p>
    <w:p w14:paraId="11DDA0FA" w14:textId="77777777" w:rsidR="00462882" w:rsidRDefault="00000000">
      <w:pPr>
        <w:pStyle w:val="ListParagraph"/>
        <w:numPr>
          <w:ilvl w:val="0"/>
          <w:numId w:val="2"/>
        </w:numPr>
        <w:spacing w:after="60"/>
      </w:pPr>
      <w:r>
        <w:lastRenderedPageBreak/>
        <w:t>Keith Lefebvre — Journeyman (Local 669). Field lead, de facto project manager, estimator, inspector, and daily crew scheduler.</w:t>
      </w:r>
    </w:p>
    <w:p w14:paraId="7E755562" w14:textId="77777777" w:rsidR="00462882" w:rsidRDefault="00000000">
      <w:pPr>
        <w:pStyle w:val="ListParagraph"/>
        <w:numPr>
          <w:ilvl w:val="0"/>
          <w:numId w:val="2"/>
        </w:numPr>
        <w:spacing w:after="60"/>
      </w:pPr>
      <w:r>
        <w:t>Branden McCormick ("Bud") — Journeyman (Local 669). Field crew.</w:t>
      </w:r>
    </w:p>
    <w:p w14:paraId="76598423" w14:textId="77777777" w:rsidR="00462882" w:rsidRDefault="00000000">
      <w:pPr>
        <w:pStyle w:val="ListParagraph"/>
        <w:numPr>
          <w:ilvl w:val="0"/>
          <w:numId w:val="2"/>
        </w:numPr>
        <w:spacing w:after="60"/>
      </w:pPr>
      <w:r>
        <w:t>Konner Lefebvre — Apprentice (Local 669). Field crew.</w:t>
      </w:r>
    </w:p>
    <w:p w14:paraId="632F365D" w14:textId="77777777" w:rsidR="00462882" w:rsidRDefault="00000000">
      <w:pPr>
        <w:pStyle w:val="ListParagraph"/>
        <w:numPr>
          <w:ilvl w:val="0"/>
          <w:numId w:val="2"/>
        </w:numPr>
        <w:spacing w:after="60"/>
      </w:pPr>
      <w:r>
        <w:t>Josh Carr — Apprentice (Local 669). Field crew.</w:t>
      </w:r>
    </w:p>
    <w:p w14:paraId="25456D2C" w14:textId="77777777" w:rsidR="00462882" w:rsidRDefault="00000000">
      <w:pPr>
        <w:pStyle w:val="ListParagraph"/>
        <w:numPr>
          <w:ilvl w:val="0"/>
          <w:numId w:val="2"/>
        </w:numPr>
        <w:spacing w:after="60"/>
      </w:pPr>
      <w:r>
        <w:t>Betty Laufer — Office Administrator (non-union, part-time). Handles credit card payments, check printing and mailing, timesheet collection, payroll coordination with AT&amp;C, and general administrative functions.</w:t>
      </w:r>
    </w:p>
    <w:p w14:paraId="7379ED39" w14:textId="77777777" w:rsidR="00462882" w:rsidRDefault="00000000">
      <w:pPr>
        <w:pStyle w:val="ListParagraph"/>
        <w:numPr>
          <w:ilvl w:val="0"/>
          <w:numId w:val="2"/>
        </w:numPr>
        <w:spacing w:after="60"/>
      </w:pPr>
      <w:r>
        <w:t>Charissa Speruzzi ("Krissy") — Office Administrator (non-union, full-time). Handles inspection tracking, callback management, customer communications, and general administrative functions. Krissy recently moved from part-time to full-time status at Excel Fire.</w:t>
      </w:r>
    </w:p>
    <w:p w14:paraId="278EA569" w14:textId="77777777" w:rsidR="00462882" w:rsidRDefault="00000000">
      <w:pPr>
        <w:pStyle w:val="Heading3"/>
      </w:pPr>
      <w:r>
        <w:t>Planned Office Succession — Betty Retirement &amp; Krissy Transition</w:t>
      </w:r>
    </w:p>
    <w:p w14:paraId="266C70CF" w14:textId="77777777" w:rsidR="00462882" w:rsidRDefault="00000000">
      <w:pPr>
        <w:spacing w:after="120"/>
      </w:pPr>
      <w:r>
        <w:t>As of the date of this report, Betty has stated her intention to retire from her office administrator role at Excel Fire by mid-May 2026. The owner and Krissy both indicate that Betty has voiced this intention informally for some time without a firm date attached; the mid-May 2026 timeframe is the most specific commitment articulated to date and is the working assumption used by the office staff. Once Betty steps away, Krissy is expected to take over the day-to-day office function. Krissy has indicated that she is prepared to assume that role and is actively asking Betty for additional cross-training in the time remaining.</w:t>
      </w:r>
    </w:p>
    <w:p w14:paraId="29306980" w14:textId="77777777" w:rsidR="00462882" w:rsidRDefault="00000000">
      <w:pPr>
        <w:spacing w:after="120"/>
      </w:pPr>
      <w:r>
        <w:t>Krissy has recently moved from part-time to full-time status at Excel Fire, which materially strengthens the continuity picture for the office function as Betty steps away. Krissy has also expressed interest in remaining in her role on a full-time basis through and after the contemplated ownership transition. This is material to continuity planning: Krissy is the designated successor to the day-to-day office function post-Betty, and her stated willingness to stay on full-time post-sale means the new owner would inherit the single most knowledgeable remaining office resource rather than facing a simultaneous Betty-and-Krissy gap at closing.</w:t>
      </w:r>
    </w:p>
    <w:p w14:paraId="414C2519" w14:textId="77777777" w:rsidR="00462882" w:rsidRDefault="00000000">
      <w:pPr>
        <w:spacing w:after="120"/>
      </w:pPr>
      <w:r>
        <w:t>Krissy has identified the following specific knowledge areas as her current gaps in advance of the transition, all of which are functions Betty has historically performed without written documentation: invoicing for larger installation projects (including milestone billing judgment calls currently made by asking Keith), AIA-format payment application paperwork required by certain general contractors, certified payroll preparation (currently produced in Excel with recurring formula errors as described in Section 2.1), and any contractor-specific paperwork requirements that have historically lived in Betty’s memory. There is no written runbook for any of these functions; the cross-training that has occurred has been verbal and informal.</w:t>
      </w:r>
    </w:p>
    <w:p w14:paraId="21380281" w14:textId="6332FD45" w:rsidR="00462882" w:rsidRDefault="00000000">
      <w:pPr>
        <w:spacing w:after="120"/>
      </w:pPr>
      <w:r>
        <w:t>Betty’s bookkeeping responsibilities also extend beyond Excel Fire Protection itself: Betty maintains the books for Masich Properties, the entity through which Kevin Masich owns the building leased to Excel Fire (see also the Facility &amp; Lease Administration heading below). The planned mid-May 2026 retirement applies only to the Excel Fire Protection engagement; Betty intends to continue maintaining the books for Masich Properties on a going basis after stepping away from Excel Fire.</w:t>
      </w:r>
    </w:p>
    <w:p w14:paraId="7CC4E135" w14:textId="77777777" w:rsidR="00462882" w:rsidRDefault="00000000">
      <w:pPr>
        <w:pStyle w:val="Heading3"/>
      </w:pPr>
      <w:r>
        <w:t>Field Workforce Recruiting &amp; Retention</w:t>
      </w:r>
    </w:p>
    <w:p w14:paraId="28009FFF" w14:textId="77777777" w:rsidR="00462882" w:rsidRDefault="00000000">
      <w:pPr>
        <w:spacing w:after="120"/>
      </w:pPr>
      <w:r>
        <w:t xml:space="preserve">Hiring and retention on the field side has been challenging. Two recent examples illustrate the pattern. A temporary union traveler placed with the Company through the Local 669 dispatch system created tension in the office and was perceived by the office staff as a behavioral risk in </w:t>
        <w:lastRenderedPageBreak/>
        <w:t>the workplace, but was retained because the Company had no realistic alternative for staffing the field at that time. Separately, a local applicant who repeatedly approached the owner asking for a job was eventually hired, reported for one day, worked approximately one hour, and walked off the job site without returning. These are documented here not as isolated personnel matters but as illustrative of a broader, ongoing field-workforce recruiting and retention challenge that the Company manages reactively and without the support of any formal pipeline, screening process, or onboarding workflow.</w:t>
      </w:r>
    </w:p>
    <w:p w14:paraId="3B06C923" w14:textId="77777777" w:rsidR="00462882" w:rsidRDefault="00000000">
      <w:pPr>
        <w:pStyle w:val="Heading3"/>
      </w:pPr>
      <w:r>
        <w:t>Employee Records, Files &amp; Documentation</w:t>
      </w:r>
    </w:p>
    <w:p w14:paraId="0E5F12D8" w14:textId="77777777" w:rsidR="00462882" w:rsidRDefault="00000000">
      <w:pPr>
        <w:spacing w:after="120"/>
      </w:pPr>
      <w:r>
        <w:t>Employee records are sparse and are maintained in paper form. The contents of the personnel files, where they exist, are not consistent across employees: the predominant content is physical timesheets retained from prior pay periods, with other materials present on a per-employee basis without a defined file standard. Required federal new-hire documentation is not uniformly retained — the owner reports that I-9 employment eligibility verification forms and W-4 federal withholding certificates are likely not on file for every current employee, and Michigan W-4 (MI-W4) state withholding certificates fall into the same pattern. Beyond the new-hire paperwork, the Company does not systematically retain copies of training completions, journeyman or apprentice certifications, Local 669 membership cards, mine-site safety training certificates, OSHA 10/30 cards, or NFPA continuing-education records; where such artifacts exist they live with the individual employee or in the Local 669 / NASI administrative systems rather than in an Excel Fire personnel file. The combined effect is that the Company’s on-premises personnel records are not currently sufficient on their own to demonstrate compliance with federal new-hire documentation obligations or to support a buyer’s diligence file review of workforce credentials.</w:t>
      </w:r>
    </w:p>
    <w:p w14:paraId="706294C0" w14:textId="77777777" w:rsidR="00462882" w:rsidRDefault="00000000">
      <w:pPr>
        <w:pStyle w:val="Heading3"/>
      </w:pPr>
      <w:r>
        <w:t>Hiring, Onboarding &amp; Termination Processes</w:t>
      </w:r>
    </w:p>
    <w:p w14:paraId="10F17101" w14:textId="77777777" w:rsidR="00462882" w:rsidRDefault="00000000">
      <w:pPr>
        <w:spacing w:after="120"/>
      </w:pPr>
      <w:r>
        <w:t>Hiring, onboarding, and termination processes are not formally defined or documented. For union field hires, the Company sources candidates through the Local 669 dispatch system and through informal local outreach, and the actual onboarding process is principally a back-and-forth correspondence with the Local 669 business office to register the new hire under the CBA, set up benefit fund participation, and confirm classification and rate. The owner reports that the union-side onboarding sequence routinely runs several weeks behind the new hire’s first day on the job; new field hires regularly begin working in the field before their union onboarding paperwork is fully closed out, and the in-house personnel-file workflow described above does not pick up the slack. For non-union office staff there is no documented hiring or onboarding process. Termination, when it occurs, is an unstructured event: in practice the owner instructs the departing employee not to return, and there is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No written employee handbook, separation policy, or post-termination restrictive-covenant framework is in place.</w:t>
      </w:r>
    </w:p>
    <w:p w14:paraId="1988F261" w14:textId="77777777" w:rsidR="00462882" w:rsidRDefault="00000000">
      <w:pPr>
        <w:pStyle w:val="Heading3"/>
      </w:pPr>
      <w:r>
        <w:t>Compensation Structure &amp; Benefits Administration</w:t>
      </w:r>
    </w:p>
    <w:p w14:paraId="35C743DD" w14:textId="77777777" w:rsidR="00462882" w:rsidRDefault="00000000">
      <w:pPr>
        <w:spacing w:after="120"/>
      </w:pPr>
      <w:r>
        <w:t>Compensation and benefits for union employees (four of seven staff) are highly structured under the Local 669 Collective Bargaining Agreement, which defines wage rates by classification, benefit contributions, pension obligations, and training fund requirements.</w:t>
      </w:r>
    </w:p>
    <w:p w14:paraId="388339D8" w14:textId="77777777" w:rsidR="00462882" w:rsidRDefault="00000000">
      <w:pPr>
        <w:spacing w:after="120"/>
      </w:pPr>
      <w:r>
        <w:t>Among the non-union employees, Kevin is salaried as the owner, Betty is part-time, and Krissy recently transitioned from part-time to full-time at Excel Fire. Benefits for non-union staff are very ad hoc, with no formal benefits program or documentation.</w:t>
      </w:r>
    </w:p>
    <w:p w14:paraId="1D4EF507" w14:textId="77777777" w:rsidR="00462882" w:rsidRDefault="00000000">
      <w:pPr>
        <w:pStyle w:val="Heading3"/>
      </w:pPr>
      <w:r>
        <w:t>Employee Training, Certifications &amp; Continuing Education</w:t>
      </w:r>
    </w:p>
    <w:p w14:paraId="791AD40C" w14:textId="77777777" w:rsidR="00462882" w:rsidRDefault="00000000">
      <w:pPr>
        <w:spacing w:after="120"/>
      </w:pPr>
      <w:r>
        <w:t>There is no formal tracking of employee training, certifications, or continuing education. Union apprentices receive training through the Local 669 apprenticeship program, but the Company does not maintain its own records of training completion, certification status, or continuing education requirements.</w:t>
      </w:r>
    </w:p>
    <w:p w14:paraId="1545CDA4" w14:textId="77777777" w:rsidR="00462882" w:rsidRDefault="00000000">
      <w:pPr>
        <w:pStyle w:val="Heading3"/>
      </w:pPr>
      <w:r>
        <w:t>HR Compliance</w:t>
      </w:r>
    </w:p>
    <w:p w14:paraId="31EEDB07" w14:textId="77777777" w:rsidR="00462882" w:rsidRDefault="00000000">
      <w:pPr>
        <w:spacing w:after="120"/>
      </w:pPr>
      <w:r>
        <w:t>HR compliance is not actively managed. There is no designated HR function, no HR policies or employee handbook, and no systematic compliance monitoring for federal or Michigan state employment requirements.</w:t>
      </w:r>
    </w:p>
    <w:p w14:paraId="33557C34" w14:textId="77777777" w:rsidR="00462882" w:rsidRDefault="00000000">
      <w:pPr>
        <w:pStyle w:val="Heading3"/>
      </w:pPr>
      <w:r>
        <w:t>IT Systems, Software &amp; Technology Infrastructure</w:t>
      </w:r>
    </w:p>
    <w:p w14:paraId="718A9681" w14:textId="77777777" w:rsidR="00462882" w:rsidRDefault="00000000">
      <w:pPr>
        <w:spacing w:after="120"/>
      </w:pPr>
      <w:r>
        <w:t>IT infrastructure and support are outsourced to three vendors:</w:t>
      </w:r>
    </w:p>
    <w:p w14:paraId="6CBCB4DE" w14:textId="77777777" w:rsidR="00462882" w:rsidRDefault="00000000">
      <w:pPr>
        <w:pStyle w:val="ListParagraph"/>
        <w:numPr>
          <w:ilvl w:val="0"/>
          <w:numId w:val="2"/>
        </w:numPr>
        <w:spacing w:after="60"/>
      </w:pPr>
      <w:r>
        <w:t>Lee Init — Provides on-site managed services including office computer management, on-demand desktop support, Microsoft-backed email account administration, and office network management.</w:t>
      </w:r>
    </w:p>
    <w:p w14:paraId="1E7398F8" w14:textId="77777777" w:rsidR="00462882" w:rsidRDefault="00000000">
      <w:pPr>
        <w:pStyle w:val="ListParagraph"/>
        <w:numPr>
          <w:ilvl w:val="0"/>
          <w:numId w:val="2"/>
        </w:numPr>
        <w:spacing w:after="60"/>
      </w:pPr>
      <w:r>
        <w:t>906 Technologies — Provides website hosting and maintenance.</w:t>
      </w:r>
    </w:p>
    <w:p w14:paraId="53C0205C" w14:textId="77777777" w:rsidR="00462882" w:rsidRDefault="00000000">
      <w:pPr>
        <w:pStyle w:val="ListParagraph"/>
        <w:numPr>
          <w:ilvl w:val="0"/>
          <w:numId w:val="2"/>
        </w:numPr>
        <w:spacing w:after="60"/>
      </w:pPr>
      <w:r>
        <w:t>Charter — Provides internet and phone system services.</w:t>
      </w:r>
    </w:p>
    <w:p w14:paraId="0CA64117" w14:textId="77777777" w:rsidR="00462882" w:rsidRDefault="00000000">
      <w:pPr>
        <w:spacing w:after="120"/>
      </w:pPr>
      <w:r>
        <w:t>The Company’s software inventory is minimal. The primary business application is QuickBooks Desktop Pro Plus 2024, managed by AT&amp;C; the QuickBooks Desktop annual subscription renewal falls on April 21. The only other licensed software platform identified is Microsoft 365, which provides email and basic Office productivity for the office staff and the owner. Beyond QuickBooks and Microsoft 365 there are no other business applications in active use; there is no CRM, no project management platform, no inspection-management software, no document management system, and no payroll system in-house. The inspection tracking spreadsheet maintained by Krissy in Microsoft Excel and the certified payroll workbook maintained by Betty in Microsoft Excel are the principal pieces of business logic that live outside the QuickBooks file. Multi-factor authentication is enabled on the Microsoft 365 mailboxes (the post-incident remediation described in IT Security below) but is not in place on any other Company-administered account or platform; the Company does not maintain an SSO directory, a password manager, or a centralized identity store. Mobile devices are used informally: only the owner (Kevin) and the field lead (Keith) have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w:t>
      </w:r>
    </w:p>
    <w:p w14:paraId="611BD6C3" w14:textId="46458EB3" w:rsidR="00462882" w:rsidRDefault="00000000">
      <w:pPr>
        <w:spacing w:after="120"/>
      </w:pPr>
      <w:r>
        <w:lastRenderedPageBreak/>
        <w:t>The Company’s telephone system is a legacy Avaya multi-line office phone system. Inbound caller ID is visible only while a call is active on Betty’s handset; inbound caller ID doesn’t work on Krissy’s handset; there is no persistent call log or missed-call history, and office staff handwrite callers’ numbers to retain any record of who called. The phone system does not integrate with email, CRM, or any other business application.</w:t>
      </w:r>
    </w:p>
    <w:p w14:paraId="040AD4A7" w14:textId="4948B2D7" w:rsidR="00462882" w:rsidRDefault="00000000">
      <w:pPr>
        <w:spacing w:after="120"/>
      </w:pPr>
      <w:r>
        <w:t>Office hardware includes a leased Canon large-format plotter used for printing construction plans, and a Canon multifunction device used extensively for printing, scanning, copying, and faxing. Faxing remains in occasional use at the Company.</w:t>
      </w:r>
    </w:p>
    <w:p w14:paraId="2E8CCE08" w14:textId="77777777" w:rsidR="00462882" w:rsidRDefault="00000000">
      <w:pPr>
        <w:pStyle w:val="Heading3"/>
      </w:pPr>
      <w:r>
        <w:t>IT Security &amp; Recent Security Incident</w:t>
      </w:r>
    </w:p>
    <w:p w14:paraId="6AC8C7B2" w14:textId="77777777" w:rsidR="00462882" w:rsidRDefault="00000000">
      <w:pPr>
        <w:spacing w:after="120"/>
      </w:pPr>
      <w:r>
        <w:t>In early February 2026, the owner’s business email account was compromised. During the period of compromise, a fraudulent document was generated and sent from the owner’s email account to at least one customer contact, purporting to represent a change to Excel Fire’s payment remittance information and directing payments to a Wells Fargo account not controlled by the Company. The Company has no existing banking relationship with Wells Fargo, which is how the attempt was ultimately identified. No confirmed fraudulent payment from a customer has been identified as a direct result of the incident as of the date of this report.</w:t>
      </w:r>
    </w:p>
    <w:p w14:paraId="33A1D9BF" w14:textId="77777777" w:rsidR="00462882" w:rsidRDefault="00000000">
      <w:pPr>
        <w:spacing w:after="120"/>
      </w:pPr>
      <w:r>
        <w:t>In response to the incident, Lee Init assisted the Company in enabling multi-factor authentication on the affected Microsoft 365 email account using Microsoft Authenticator. Prior to this incident, no multi-factor authentication was in place on the Company’s email accounts. There is no written incident response record, no formal post-incident report to customers, and no documented security awareness training program for staff. The incident was addressed on a one-off remediation basis. There is no written information security policy for the Company.</w:t>
      </w:r>
    </w:p>
    <w:p>
      <w:pPr>
        <w:spacing w:after="120"/>
      </w:pPr>
      <w:r>
        <w:rPr>
          <w:b/>
          <w:bCs/>
        </w:rPr>
        <w:t xml:space="preserve">IT continuity, backup, and disaster recovery. </w:t>
      </w:r>
      <w: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and not by any Company-administered backup). Because the underlying IT footprint is itself minimal — office desktops, the Microsoft 365 tenant, the QuickBooks workstation, and the leased Canon plotter and multifunction device — the absence of a backup or DR program reflects the absence of any infrastructure to which a backup or DR program could meaningfully attach, rather than a failure to operate an existing program.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14:paraId="632B4562" w14:textId="77777777" w:rsidR="00462882" w:rsidRDefault="00000000">
      <w:pPr>
        <w:pStyle w:val="Heading3"/>
      </w:pPr>
      <w:r>
        <w:t>Document Management, Filing &amp; Records Retention</w:t>
      </w:r>
    </w:p>
    <w:p w14:paraId="0E11A802" w14:textId="77777777" w:rsidR="00462882" w:rsidRDefault="00000000">
      <w:pPr>
        <w:spacing w:after="120"/>
      </w:pPr>
      <w:r>
        <w:t>All document management, filing, and records retention are paper-based. The Company’s office contains approximately 16 filing cabinets in active use plus additional bankers boxes stored on shelving in the warehouse bay. The oldest files identified during this engagement date back approximately 26 years, consistent with the Company’s long operating history. There are no digital records, no shared drives, no cloud storage, and no digital document management system of any kind. There is no documented records retention policy.</w:t>
      </w:r>
    </w:p>
    <w:p w14:paraId="5666FB50" w14:textId="77777777" w:rsidR="00462882" w:rsidRDefault="00000000">
      <w:pPr>
        <w:spacing w:after="120"/>
      </w:pPr>
      <w:r>
        <w:t>The office organizes its most actively-used records across a small number of physical filing cabinets that each serve a distinct purpose in the billing and project lifecycle:</w:t>
      </w:r>
    </w:p>
    <w:p w14:paraId="47C41ACE" w14:textId="09B0B646" w:rsidR="00462882" w:rsidRDefault="009667FA">
      <w:pPr>
        <w:pStyle w:val="ListParagraph"/>
        <w:numPr>
          <w:ilvl w:val="0"/>
          <w:numId w:val="2"/>
        </w:numPr>
        <w:spacing w:after="60"/>
      </w:pPr>
      <w:r>
        <w:t>Four-drawer tall filing cabinet behind Betty’s desk — houses open invoices awaiting payment, divided into two internal sections: one section for open service and inspection invoices, and a separate section for open larger-project invoices.</w:t>
      </w:r>
    </w:p>
    <w:p w14:paraId="49453C82" w14:textId="73583149" w:rsidR="00462882" w:rsidRDefault="009667FA">
      <w:pPr>
        <w:pStyle w:val="ListParagraph"/>
        <w:numPr>
          <w:ilvl w:val="0"/>
          <w:numId w:val="2"/>
        </w:numPr>
        <w:spacing w:after="60"/>
      </w:pPr>
      <w:r>
        <w:t>Two-drawer tall filing cabinet underneath the drafting table — houses larger jobs in progress, including signed contracts on work that has not yet begun. This cabinet effectively functions as the Company’s active-and-imminent backlog.</w:t>
      </w:r>
    </w:p>
    <w:p w14:paraId="002F21BF" w14:textId="77777777" w:rsidR="00462882" w:rsidRDefault="00000000">
      <w:pPr>
        <w:pStyle w:val="ListParagraph"/>
        <w:numPr>
          <w:ilvl w:val="0"/>
          <w:numId w:val="2"/>
        </w:numPr>
        <w:spacing w:after="60"/>
      </w:pPr>
      <w:r>
        <w:t>“Proposals sent, no answer” drawer (the third drawer in the four-drawer tall filing cabinet behind Betty’s desk) — houses outbound proposals that have been delivered to general contractors or customers but for which no response has yet been received. Betty reviews this drawer every few months and uses it to prompt the owner to follow up on outstanding bids.</w:t>
      </w:r>
    </w:p>
    <w:p w14:paraId="2B2E39AF" w14:textId="77777777" w:rsidR="00462882" w:rsidRDefault="00000000">
      <w:pPr>
        <w:pStyle w:val="ListParagraph"/>
        <w:numPr>
          <w:ilvl w:val="0"/>
          <w:numId w:val="2"/>
        </w:numPr>
        <w:spacing w:after="60"/>
      </w:pPr>
      <w:r>
        <w:t xml:space="preserve">“Jobs in Progress” box — a bankers-box-style plastic bin sitting on top of the desk behind Betty’s desk, used as the working container for paperwork on jobs actively in </w:t>
        <w:lastRenderedPageBreak/>
        <w:t>flight. It operates alongside the right-hand (drafting-table) cabinet and collects the loose paperwork associated with open jobs before that paperwork is ultimately filed.</w:t>
      </w:r>
    </w:p>
    <w:p w14:paraId="53A00924" w14:textId="77777777" w:rsidR="00462882" w:rsidRDefault="00000000">
      <w:pPr>
        <w:spacing w:after="120"/>
      </w:pPr>
      <w:r>
        <w:t>There is no naming convention, indexing system, or cross-reference log across these cabinets. Locating any specific record depends on Betty or Krissy knowing which cabinet and which drawer to look in. Beyond the active cabinets, the Company maintains dozens of bankers boxes of historical records in storage with no published retention schedule.</w:t>
      </w:r>
    </w:p>
    <w:p w14:paraId="3D8B9E11" w14:textId="77777777" w:rsidR="00462882" w:rsidRDefault="00000000">
      <w:pPr>
        <w:pStyle w:val="Heading3"/>
      </w:pPr>
      <w:r>
        <w:t>Facility &amp; Lease Administration</w:t>
      </w:r>
    </w:p>
    <w:p w14:paraId="303BD2E9" w14:textId="77777777" w:rsidR="00462882" w:rsidRDefault="00000000">
      <w:pPr>
        <w:spacing w:after="120"/>
      </w:pPr>
      <w:r>
        <w:t>The Company’s facility is owned by the current owner of Excel Fire Protection, Kevin Masich, through a separate property-holding entity referred to as Masich Properties. The property is leased to the business. Historically, there has been no written lease agreement and no formal accounting of lease payments between the property entity and the Company. Bookkeeping for Masich Properties has been handled by Betty in parallel with her bookkeeping for Excel Fire Protection itself, which means that the same individual has historically maintained the books on both sides of the related-party landlord/tenant arrangement. Betty’s planned retirement (see Planned Office Succession above) applies only to her Excel Fire Protection engagement; she intends to continue maintaining the books for Masich Properties on a going basis. The effect on the landlord/tenant arrangement, therefore, is that the same-bookkeeper overlap will end at mid-May 2026, after which Masich Properties will continue under Betty while Excel Fire will need a replacement bookkeeping arrangement.</w:t>
      </w:r>
    </w:p>
    <w:p w14:paraId="0216FB3B" w14:textId="77777777" w:rsidR="00462882" w:rsidRDefault="00000000">
      <w:pPr>
        <w:pStyle w:val="Heading2"/>
      </w:pPr>
      <w:r>
        <w:t>2.5 Institutional Knowledge &amp; Key Relationships</w:t>
      </w:r>
    </w:p>
    <w:p w14:paraId="46B0BDF5" w14:textId="77777777" w:rsidR="00462882" w:rsidRDefault="00000000">
      <w:pPr>
        <w:pStyle w:val="Heading3"/>
      </w:pPr>
      <w:r>
        <w:t>Key Customer Relationships &amp; History</w:t>
      </w:r>
    </w:p>
    <w:p w14:paraId="05742A57" w14:textId="77777777" w:rsidR="00462882" w:rsidRDefault="00000000">
      <w:pPr>
        <w:spacing w:after="120"/>
      </w:pPr>
      <w:r>
        <w:t>The Company’s customer base was analyzed using three full fiscal years of QuickBooks invoice history (fiscal years 2023, 2024, 2025, plus FY2026 year-to-date). Total invoiced activity across the window is approximately $6.2 million. The analysis required manual consolidation of customer name variants, as documented in the Data Quality Observation in Section 2.1; figures below reflect grouped activity by relationship rather than raw QuickBooks customer totals.</w:t>
      </w:r>
    </w:p>
    <w:p w14:paraId="5488F6EA" w14:textId="77777777" w:rsidR="00462882" w:rsidRDefault="00000000">
      <w:pPr>
        <w:spacing w:after="120"/>
      </w:pPr>
      <w:r>
        <w:t>The customer base is best understood in three groups: (a) recurring general contractor and national account intermediary relationships that direct work to the Company year after year; (b) major single-project end customers that periodically drive a large share of annual revenue through one-time, multi-hundred-thousand-dollar installations; and (c) recurring small-to-mid end customers with steady annual inspection or service work.</w:t>
      </w:r>
    </w:p>
    <w:p w14:paraId="25754866" w14:textId="77777777" w:rsidR="00462882" w:rsidRDefault="00000000">
      <w:pPr>
        <w:spacing w:after="120"/>
      </w:pPr>
      <w:r>
        <w:t>All of these relationships are informal and reputation-based. None are supported by written master service agreements, preferred-vendor contracts, or standing purchase orders. None are visible in any system outside of QuickBooks invoice history and the owner’s memory.</w:t>
      </w:r>
    </w:p>
    <w:p w14:paraId="1F673F48" w14:textId="77777777" w:rsidR="00462882" w:rsidRDefault="00000000">
      <w:pPr>
        <w:pStyle w:val="Heading3"/>
      </w:pPr>
      <w:r>
        <w:t>Recurring General Contractors &amp; National Account Intermediaries</w:t>
      </w:r>
    </w:p>
    <w:p w14:paraId="56F378E8" w14:textId="77777777" w:rsidR="00462882" w:rsidRDefault="00000000">
      <w:pPr>
        <w:spacing w:after="120"/>
      </w:pPr>
      <w:r>
        <w:t>The following general contractor and intermediary relationships have directed work to the Company across multiple fiscal years. Cross Construction is the single most important recurring GC relationship by dollar volume, followed by the Siemens national account and Miron Construction. Cintas represents a distinct pattern: very high job frequency at very low dollar values, consistent with recurring inspection and service work under a national account.</w:t>
      </w:r>
    </w:p>
    <w:p w14:paraId="55724E9F"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300"/>
        <w:gridCol w:w="1400"/>
        <w:gridCol w:w="900"/>
        <w:gridCol w:w="4760"/>
      </w:tblGrid>
      <w:tr w:rsidR="00462882" w14:paraId="7A884A1C" w14:textId="77777777">
        <w:trPr>
          <w:tblHeader/>
        </w:trPr>
        <w:tc>
          <w:tcPr>
            <w:tcW w:w="2300" w:type="dxa"/>
            <w:shd w:val="clear" w:color="auto" w:fill="D9E2F3"/>
            <w:tcMar>
              <w:top w:w="80" w:type="dxa"/>
              <w:left w:w="100" w:type="dxa"/>
              <w:bottom w:w="80" w:type="dxa"/>
              <w:right w:w="100" w:type="dxa"/>
            </w:tcMar>
          </w:tcPr>
          <w:p w14:paraId="1D3F0AA5" w14:textId="77777777" w:rsidR="00462882" w:rsidRDefault="00000000">
            <w:r>
              <w:rPr>
                <w:b/>
                <w:bCs/>
                <w:sz w:val="20"/>
                <w:szCs w:val="20"/>
              </w:rPr>
              <w:lastRenderedPageBreak/>
              <w:t>Relationship</w:t>
            </w:r>
          </w:p>
        </w:tc>
        <w:tc>
          <w:tcPr>
            <w:tcW w:w="1400" w:type="dxa"/>
            <w:shd w:val="clear" w:color="auto" w:fill="D9E2F3"/>
            <w:tcMar>
              <w:top w:w="80" w:type="dxa"/>
              <w:left w:w="100" w:type="dxa"/>
              <w:bottom w:w="80" w:type="dxa"/>
              <w:right w:w="100" w:type="dxa"/>
            </w:tcMar>
          </w:tcPr>
          <w:p w14:paraId="16883077" w14:textId="77777777" w:rsidR="00462882" w:rsidRDefault="00000000">
            <w:r>
              <w:rPr>
                <w:b/>
                <w:bCs/>
                <w:sz w:val="20"/>
                <w:szCs w:val="20"/>
              </w:rPr>
              <w:t>3-Yr Invoiced</w:t>
            </w:r>
          </w:p>
        </w:tc>
        <w:tc>
          <w:tcPr>
            <w:tcW w:w="900" w:type="dxa"/>
            <w:shd w:val="clear" w:color="auto" w:fill="D9E2F3"/>
            <w:tcMar>
              <w:top w:w="80" w:type="dxa"/>
              <w:left w:w="100" w:type="dxa"/>
              <w:bottom w:w="80" w:type="dxa"/>
              <w:right w:w="100" w:type="dxa"/>
            </w:tcMar>
          </w:tcPr>
          <w:p w14:paraId="01B7F484" w14:textId="77777777" w:rsidR="00462882" w:rsidRDefault="00000000">
            <w:r>
              <w:rPr>
                <w:b/>
                <w:bCs/>
                <w:sz w:val="20"/>
                <w:szCs w:val="20"/>
              </w:rPr>
              <w:t>Jobs</w:t>
            </w:r>
          </w:p>
        </w:tc>
        <w:tc>
          <w:tcPr>
            <w:tcW w:w="4760" w:type="dxa"/>
            <w:shd w:val="clear" w:color="auto" w:fill="D9E2F3"/>
            <w:tcMar>
              <w:top w:w="80" w:type="dxa"/>
              <w:left w:w="100" w:type="dxa"/>
              <w:bottom w:w="80" w:type="dxa"/>
              <w:right w:w="100" w:type="dxa"/>
            </w:tcMar>
          </w:tcPr>
          <w:p w14:paraId="092C10AC" w14:textId="77777777" w:rsidR="00462882" w:rsidRDefault="00000000">
            <w:r>
              <w:rPr>
                <w:b/>
                <w:bCs/>
                <w:sz w:val="20"/>
                <w:szCs w:val="20"/>
              </w:rPr>
              <w:t>Notes</w:t>
            </w:r>
          </w:p>
        </w:tc>
      </w:tr>
      <w:tr w:rsidR="00462882" w14:paraId="53F7790C" w14:textId="77777777">
        <w:tc>
          <w:tcPr>
            <w:tcW w:w="2300" w:type="dxa"/>
            <w:tcMar>
              <w:top w:w="80" w:type="dxa"/>
              <w:left w:w="100" w:type="dxa"/>
              <w:bottom w:w="80" w:type="dxa"/>
              <w:right w:w="100" w:type="dxa"/>
            </w:tcMar>
          </w:tcPr>
          <w:p w14:paraId="59900AC6" w14:textId="77777777" w:rsidR="00462882" w:rsidRDefault="00000000">
            <w:r>
              <w:rPr>
                <w:b/>
                <w:bCs/>
                <w:sz w:val="20"/>
                <w:szCs w:val="20"/>
              </w:rPr>
              <w:t>Cross Construction</w:t>
            </w:r>
          </w:p>
        </w:tc>
        <w:tc>
          <w:tcPr>
            <w:tcW w:w="1400" w:type="dxa"/>
            <w:tcMar>
              <w:top w:w="80" w:type="dxa"/>
              <w:left w:w="100" w:type="dxa"/>
              <w:bottom w:w="80" w:type="dxa"/>
              <w:right w:w="100" w:type="dxa"/>
            </w:tcMar>
          </w:tcPr>
          <w:p w14:paraId="05FA2D2B" w14:textId="77777777" w:rsidR="00462882" w:rsidRDefault="00000000">
            <w:r>
              <w:rPr>
                <w:sz w:val="20"/>
                <w:szCs w:val="20"/>
              </w:rPr>
              <w:t>~$831K</w:t>
            </w:r>
          </w:p>
        </w:tc>
        <w:tc>
          <w:tcPr>
            <w:tcW w:w="900" w:type="dxa"/>
            <w:tcMar>
              <w:top w:w="80" w:type="dxa"/>
              <w:left w:w="100" w:type="dxa"/>
              <w:bottom w:w="80" w:type="dxa"/>
              <w:right w:w="100" w:type="dxa"/>
            </w:tcMar>
          </w:tcPr>
          <w:p w14:paraId="69A378ED" w14:textId="77777777" w:rsidR="00462882" w:rsidRDefault="00000000">
            <w:r>
              <w:rPr>
                <w:sz w:val="20"/>
                <w:szCs w:val="20"/>
              </w:rPr>
              <w:t>44</w:t>
            </w:r>
          </w:p>
        </w:tc>
        <w:tc>
          <w:tcPr>
            <w:tcW w:w="4760" w:type="dxa"/>
            <w:tcMar>
              <w:top w:w="80" w:type="dxa"/>
              <w:left w:w="100" w:type="dxa"/>
              <w:bottom w:w="80" w:type="dxa"/>
              <w:right w:w="100" w:type="dxa"/>
            </w:tcMar>
          </w:tcPr>
          <w:p w14:paraId="3F62FFAD" w14:textId="77777777" w:rsidR="00462882" w:rsidRDefault="00000000">
            <w:r>
              <w:rPr>
                <w:sz w:val="20"/>
                <w:szCs w:val="20"/>
              </w:rPr>
              <w:t>Dominant GC partner; active in every fiscal year reviewed. Work is spread across at least five recurring project streams: The Residences (~$247K), First Bank (~$157K), Nice Schools / Aspen Ridge (~$146K), 710 Chippewa Square (~$94K), and Cross - Able Medical (~$87K).</w:t>
            </w:r>
          </w:p>
        </w:tc>
      </w:tr>
      <w:tr w:rsidR="00462882" w14:paraId="4A89A0C3" w14:textId="77777777">
        <w:tc>
          <w:tcPr>
            <w:tcW w:w="2300" w:type="dxa"/>
            <w:tcMar>
              <w:top w:w="80" w:type="dxa"/>
              <w:left w:w="100" w:type="dxa"/>
              <w:bottom w:w="80" w:type="dxa"/>
              <w:right w:w="100" w:type="dxa"/>
            </w:tcMar>
          </w:tcPr>
          <w:p w14:paraId="57EB9C19" w14:textId="77777777" w:rsidR="00462882" w:rsidRDefault="00000000">
            <w:r>
              <w:rPr>
                <w:b/>
                <w:bCs/>
                <w:sz w:val="20"/>
                <w:szCs w:val="20"/>
              </w:rPr>
              <w:t>Miron Construction</w:t>
            </w:r>
          </w:p>
        </w:tc>
        <w:tc>
          <w:tcPr>
            <w:tcW w:w="1400" w:type="dxa"/>
            <w:tcMar>
              <w:top w:w="80" w:type="dxa"/>
              <w:left w:w="100" w:type="dxa"/>
              <w:bottom w:w="80" w:type="dxa"/>
              <w:right w:w="100" w:type="dxa"/>
            </w:tcMar>
          </w:tcPr>
          <w:p w14:paraId="04D043A7" w14:textId="77777777" w:rsidR="00462882" w:rsidRDefault="00000000">
            <w:r>
              <w:rPr>
                <w:sz w:val="20"/>
                <w:szCs w:val="20"/>
              </w:rPr>
              <w:t>~$217K</w:t>
            </w:r>
          </w:p>
        </w:tc>
        <w:tc>
          <w:tcPr>
            <w:tcW w:w="900" w:type="dxa"/>
            <w:tcMar>
              <w:top w:w="80" w:type="dxa"/>
              <w:left w:w="100" w:type="dxa"/>
              <w:bottom w:w="80" w:type="dxa"/>
              <w:right w:w="100" w:type="dxa"/>
            </w:tcMar>
          </w:tcPr>
          <w:p w14:paraId="44C0059B" w14:textId="77777777" w:rsidR="00462882" w:rsidRDefault="00000000">
            <w:r>
              <w:rPr>
                <w:sz w:val="20"/>
                <w:szCs w:val="20"/>
              </w:rPr>
              <w:t>—</w:t>
            </w:r>
          </w:p>
        </w:tc>
        <w:tc>
          <w:tcPr>
            <w:tcW w:w="4760" w:type="dxa"/>
            <w:tcMar>
              <w:top w:w="80" w:type="dxa"/>
              <w:left w:w="100" w:type="dxa"/>
              <w:bottom w:w="80" w:type="dxa"/>
              <w:right w:w="100" w:type="dxa"/>
            </w:tcMar>
          </w:tcPr>
          <w:p w14:paraId="15A3DE08" w14:textId="77777777" w:rsidR="00462882" w:rsidRDefault="00000000">
            <w:r>
              <w:rPr>
                <w:sz w:val="20"/>
                <w:szCs w:val="20"/>
              </w:rPr>
              <w:t>Confirmed active general contractor relationship. Most recent visible project is the NMU CETF installation. Owner email history shows ongoing correspondence with Miron through March 2026, indicating a live relationship that extends beyond any single project.</w:t>
            </w:r>
          </w:p>
        </w:tc>
      </w:tr>
      <w:tr w:rsidR="00462882" w14:paraId="1B0DFA49" w14:textId="77777777">
        <w:tc>
          <w:tcPr>
            <w:tcW w:w="2300" w:type="dxa"/>
            <w:tcMar>
              <w:top w:w="80" w:type="dxa"/>
              <w:left w:w="100" w:type="dxa"/>
              <w:bottom w:w="80" w:type="dxa"/>
              <w:right w:w="100" w:type="dxa"/>
            </w:tcMar>
          </w:tcPr>
          <w:p w14:paraId="1CE93A19" w14:textId="77777777" w:rsidR="00462882" w:rsidRDefault="00000000">
            <w:r>
              <w:rPr>
                <w:b/>
                <w:bCs/>
                <w:sz w:val="20"/>
                <w:szCs w:val="20"/>
              </w:rPr>
              <w:t>Hall Contracting</w:t>
            </w:r>
          </w:p>
        </w:tc>
        <w:tc>
          <w:tcPr>
            <w:tcW w:w="1400" w:type="dxa"/>
            <w:tcMar>
              <w:top w:w="80" w:type="dxa"/>
              <w:left w:w="100" w:type="dxa"/>
              <w:bottom w:w="80" w:type="dxa"/>
              <w:right w:w="100" w:type="dxa"/>
            </w:tcMar>
          </w:tcPr>
          <w:p w14:paraId="3A66A215" w14:textId="77777777" w:rsidR="00462882" w:rsidRDefault="00000000">
            <w:r>
              <w:rPr>
                <w:sz w:val="20"/>
                <w:szCs w:val="20"/>
              </w:rPr>
              <w:t>~$202K</w:t>
            </w:r>
          </w:p>
        </w:tc>
        <w:tc>
          <w:tcPr>
            <w:tcW w:w="900" w:type="dxa"/>
            <w:tcMar>
              <w:top w:w="80" w:type="dxa"/>
              <w:left w:w="100" w:type="dxa"/>
              <w:bottom w:w="80" w:type="dxa"/>
              <w:right w:w="100" w:type="dxa"/>
            </w:tcMar>
          </w:tcPr>
          <w:p w14:paraId="0E64C0AC" w14:textId="77777777" w:rsidR="00462882" w:rsidRDefault="00000000">
            <w:r>
              <w:rPr>
                <w:sz w:val="20"/>
                <w:szCs w:val="20"/>
              </w:rPr>
              <w:t>31</w:t>
            </w:r>
          </w:p>
        </w:tc>
        <w:tc>
          <w:tcPr>
            <w:tcW w:w="4760" w:type="dxa"/>
            <w:tcMar>
              <w:top w:w="80" w:type="dxa"/>
              <w:left w:w="100" w:type="dxa"/>
              <w:bottom w:w="80" w:type="dxa"/>
              <w:right w:w="100" w:type="dxa"/>
            </w:tcMar>
          </w:tcPr>
          <w:p w14:paraId="4A402D12" w14:textId="77777777" w:rsidR="00462882" w:rsidRDefault="00000000">
            <w:r>
              <w:rPr>
                <w:sz w:val="20"/>
                <w:szCs w:val="20"/>
              </w:rPr>
              <w:t>Recurring GC partner. Dominated by L&amp;M Supply — Marquette work (~$199K of the total). Other Hall Contracting billings are de minimis.</w:t>
            </w:r>
          </w:p>
        </w:tc>
      </w:tr>
      <w:tr w:rsidR="00462882" w14:paraId="117F9311" w14:textId="77777777">
        <w:tc>
          <w:tcPr>
            <w:tcW w:w="2300" w:type="dxa"/>
            <w:tcMar>
              <w:top w:w="80" w:type="dxa"/>
              <w:left w:w="100" w:type="dxa"/>
              <w:bottom w:w="80" w:type="dxa"/>
              <w:right w:w="100" w:type="dxa"/>
            </w:tcMar>
          </w:tcPr>
          <w:p w14:paraId="024787D5" w14:textId="77777777" w:rsidR="00462882" w:rsidRDefault="00000000">
            <w:r>
              <w:rPr>
                <w:b/>
                <w:bCs/>
                <w:sz w:val="20"/>
                <w:szCs w:val="20"/>
              </w:rPr>
              <w:t>Siemens (intermediary)</w:t>
            </w:r>
          </w:p>
        </w:tc>
        <w:tc>
          <w:tcPr>
            <w:tcW w:w="1400" w:type="dxa"/>
            <w:tcMar>
              <w:top w:w="80" w:type="dxa"/>
              <w:left w:w="100" w:type="dxa"/>
              <w:bottom w:w="80" w:type="dxa"/>
              <w:right w:w="100" w:type="dxa"/>
            </w:tcMar>
          </w:tcPr>
          <w:p w14:paraId="0D32AA88" w14:textId="77777777" w:rsidR="00462882" w:rsidRDefault="00000000">
            <w:r>
              <w:rPr>
                <w:sz w:val="20"/>
                <w:szCs w:val="20"/>
              </w:rPr>
              <w:t>~$278K</w:t>
            </w:r>
          </w:p>
        </w:tc>
        <w:tc>
          <w:tcPr>
            <w:tcW w:w="900" w:type="dxa"/>
            <w:tcMar>
              <w:top w:w="80" w:type="dxa"/>
              <w:left w:w="100" w:type="dxa"/>
              <w:bottom w:w="80" w:type="dxa"/>
              <w:right w:w="100" w:type="dxa"/>
            </w:tcMar>
          </w:tcPr>
          <w:p w14:paraId="6BC4E711" w14:textId="77777777" w:rsidR="00462882" w:rsidRDefault="00000000">
            <w:r>
              <w:rPr>
                <w:sz w:val="20"/>
                <w:szCs w:val="20"/>
              </w:rPr>
              <w:t>57</w:t>
            </w:r>
          </w:p>
        </w:tc>
        <w:tc>
          <w:tcPr>
            <w:tcW w:w="4760" w:type="dxa"/>
            <w:tcMar>
              <w:top w:w="80" w:type="dxa"/>
              <w:left w:w="100" w:type="dxa"/>
              <w:bottom w:w="80" w:type="dxa"/>
              <w:right w:w="100" w:type="dxa"/>
            </w:tcMar>
          </w:tcPr>
          <w:p w14:paraId="7BE168D4" w14:textId="77777777" w:rsidR="00462882" w:rsidRDefault="00000000">
            <w:r>
              <w:rPr>
                <w:sz w:val="20"/>
                <w:szCs w:val="20"/>
              </w:rPr>
              <w:t>National account intermediary. UP Health System — Baraga (16 jobs / ~$206K) is the primary revenue driver. Walmart — Houghton (30 jobs / ~$44K) is a higher-frequency, lower-dollar recurring service relationship.</w:t>
            </w:r>
          </w:p>
        </w:tc>
      </w:tr>
      <w:tr w:rsidR="00462882" w14:paraId="06000BEC" w14:textId="77777777">
        <w:tc>
          <w:tcPr>
            <w:tcW w:w="2300" w:type="dxa"/>
            <w:tcMar>
              <w:top w:w="80" w:type="dxa"/>
              <w:left w:w="100" w:type="dxa"/>
              <w:bottom w:w="80" w:type="dxa"/>
              <w:right w:w="100" w:type="dxa"/>
            </w:tcMar>
          </w:tcPr>
          <w:p w14:paraId="6639A500" w14:textId="77777777" w:rsidR="00462882" w:rsidRDefault="00000000">
            <w:r>
              <w:rPr>
                <w:b/>
                <w:bCs/>
                <w:sz w:val="20"/>
                <w:szCs w:val="20"/>
              </w:rPr>
              <w:t>Cintas (intermediary)</w:t>
            </w:r>
          </w:p>
        </w:tc>
        <w:tc>
          <w:tcPr>
            <w:tcW w:w="1400" w:type="dxa"/>
            <w:tcMar>
              <w:top w:w="80" w:type="dxa"/>
              <w:left w:w="100" w:type="dxa"/>
              <w:bottom w:w="80" w:type="dxa"/>
              <w:right w:w="100" w:type="dxa"/>
            </w:tcMar>
          </w:tcPr>
          <w:p w14:paraId="4C7BE92F" w14:textId="77777777" w:rsidR="00462882" w:rsidRDefault="00000000">
            <w:r>
              <w:rPr>
                <w:sz w:val="20"/>
                <w:szCs w:val="20"/>
              </w:rPr>
              <w:t>~$43K</w:t>
            </w:r>
          </w:p>
        </w:tc>
        <w:tc>
          <w:tcPr>
            <w:tcW w:w="900" w:type="dxa"/>
            <w:tcMar>
              <w:top w:w="80" w:type="dxa"/>
              <w:left w:w="100" w:type="dxa"/>
              <w:bottom w:w="80" w:type="dxa"/>
              <w:right w:w="100" w:type="dxa"/>
            </w:tcMar>
          </w:tcPr>
          <w:p w14:paraId="48AD9766" w14:textId="77777777" w:rsidR="00462882" w:rsidRDefault="00000000">
            <w:r>
              <w:rPr>
                <w:sz w:val="20"/>
                <w:szCs w:val="20"/>
              </w:rPr>
              <w:t>47</w:t>
            </w:r>
          </w:p>
        </w:tc>
        <w:tc>
          <w:tcPr>
            <w:tcW w:w="4760" w:type="dxa"/>
            <w:tcMar>
              <w:top w:w="80" w:type="dxa"/>
              <w:left w:w="100" w:type="dxa"/>
              <w:bottom w:w="80" w:type="dxa"/>
              <w:right w:w="100" w:type="dxa"/>
            </w:tcMar>
          </w:tcPr>
          <w:p w14:paraId="46961067" w14:textId="77777777" w:rsidR="00462882" w:rsidRDefault="00000000">
            <w:r>
              <w:rPr>
                <w:sz w:val="20"/>
                <w:szCs w:val="20"/>
              </w:rPr>
              <w:t>National account intermediary. Low dollar, high frequency. Recurring inspection and service work for FMC / Fresenius — Marquette, with smaller streams for Tractor Supply — Escanaba and Ferguson — Escanaba.</w:t>
            </w:r>
          </w:p>
        </w:tc>
      </w:tr>
      <w:tr w:rsidR="00462882" w14:paraId="13C149C3" w14:textId="77777777">
        <w:tc>
          <w:tcPr>
            <w:tcW w:w="2300" w:type="dxa"/>
            <w:tcMar>
              <w:top w:w="80" w:type="dxa"/>
              <w:left w:w="100" w:type="dxa"/>
              <w:bottom w:w="80" w:type="dxa"/>
              <w:right w:w="100" w:type="dxa"/>
            </w:tcMar>
          </w:tcPr>
          <w:p w14:paraId="4AD621AB" w14:textId="77777777" w:rsidR="00462882" w:rsidRDefault="00000000">
            <w:r>
              <w:rPr>
                <w:b/>
                <w:bCs/>
                <w:sz w:val="20"/>
                <w:szCs w:val="20"/>
              </w:rPr>
              <w:t>Century Fire Protection (intermediary)</w:t>
            </w:r>
          </w:p>
        </w:tc>
        <w:tc>
          <w:tcPr>
            <w:tcW w:w="1400" w:type="dxa"/>
            <w:tcMar>
              <w:top w:w="80" w:type="dxa"/>
              <w:left w:w="100" w:type="dxa"/>
              <w:bottom w:w="80" w:type="dxa"/>
              <w:right w:w="100" w:type="dxa"/>
            </w:tcMar>
          </w:tcPr>
          <w:p w14:paraId="13D67B29" w14:textId="77777777" w:rsidR="00462882" w:rsidRDefault="00000000">
            <w:r>
              <w:rPr>
                <w:sz w:val="20"/>
                <w:szCs w:val="20"/>
              </w:rPr>
              <w:t>(smaller)</w:t>
            </w:r>
          </w:p>
        </w:tc>
        <w:tc>
          <w:tcPr>
            <w:tcW w:w="900" w:type="dxa"/>
            <w:tcMar>
              <w:top w:w="80" w:type="dxa"/>
              <w:left w:w="100" w:type="dxa"/>
              <w:bottom w:w="80" w:type="dxa"/>
              <w:right w:w="100" w:type="dxa"/>
            </w:tcMar>
          </w:tcPr>
          <w:p w14:paraId="263F85CC" w14:textId="77777777" w:rsidR="00462882" w:rsidRDefault="00000000">
            <w:r>
              <w:rPr>
                <w:sz w:val="20"/>
                <w:szCs w:val="20"/>
              </w:rPr>
              <w:t>—</w:t>
            </w:r>
          </w:p>
        </w:tc>
        <w:tc>
          <w:tcPr>
            <w:tcW w:w="4760" w:type="dxa"/>
            <w:tcMar>
              <w:top w:w="80" w:type="dxa"/>
              <w:left w:w="100" w:type="dxa"/>
              <w:bottom w:w="80" w:type="dxa"/>
              <w:right w:w="100" w:type="dxa"/>
            </w:tcMar>
          </w:tcPr>
          <w:p w14:paraId="6DFCBBE6" w14:textId="77777777" w:rsidR="00462882" w:rsidRDefault="00000000">
            <w:r>
              <w:rPr>
                <w:sz w:val="20"/>
                <w:szCs w:val="20"/>
              </w:rPr>
              <w:t>National account intermediary for Lowe’s — Marquette. Low-frequency but recurring service-type work.</w:t>
            </w:r>
          </w:p>
        </w:tc>
      </w:tr>
    </w:tbl>
    <w:p w14:paraId="79378432" w14:textId="77777777" w:rsidR="00462882" w:rsidRDefault="00462882">
      <w:pPr>
        <w:spacing w:after="80"/>
      </w:pPr>
    </w:p>
    <w:p w14:paraId="61D76181" w14:textId="77777777" w:rsidR="00462882" w:rsidRDefault="00000000">
      <w:pPr>
        <w:pStyle w:val="Heading3"/>
      </w:pPr>
      <w:r>
        <w:t>Major Single-Project End Customers</w:t>
      </w:r>
    </w:p>
    <w:p w14:paraId="1EC48EEC" w14:textId="77777777" w:rsidR="00462882" w:rsidRDefault="00000000">
      <w:pPr>
        <w:spacing w:after="120"/>
      </w:pPr>
      <w:r>
        <w:t>A defining feature of the Company’s revenue profile is that one or two large installation projects typically drive a substantial share of invoiced revenue in any given fiscal year. These are direct end-customer relationships rather than work billed through a general contractor. The EMP / Advanced Products relationship in Escanaba is the clearest example: between FY24 and FY26, two buildings on the EMP campus account for more than $1.7 million in invoiced work — materially more than any other customer or GC relationship over the same period.</w:t>
      </w:r>
    </w:p>
    <w:p w14:paraId="75ABAD47"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5360"/>
      </w:tblGrid>
      <w:tr w:rsidR="00462882" w14:paraId="5AA91A90" w14:textId="77777777">
        <w:trPr>
          <w:tblHeader/>
        </w:trPr>
        <w:tc>
          <w:tcPr>
            <w:tcW w:w="2600" w:type="dxa"/>
            <w:shd w:val="clear" w:color="auto" w:fill="D9E2F3"/>
            <w:tcMar>
              <w:top w:w="80" w:type="dxa"/>
              <w:left w:w="100" w:type="dxa"/>
              <w:bottom w:w="80" w:type="dxa"/>
              <w:right w:w="100" w:type="dxa"/>
            </w:tcMar>
          </w:tcPr>
          <w:p w14:paraId="562369D0" w14:textId="77777777" w:rsidR="00462882" w:rsidRDefault="00000000">
            <w:r>
              <w:rPr>
                <w:b/>
                <w:bCs/>
                <w:sz w:val="20"/>
                <w:szCs w:val="20"/>
              </w:rPr>
              <w:t>End Customer</w:t>
            </w:r>
          </w:p>
        </w:tc>
        <w:tc>
          <w:tcPr>
            <w:tcW w:w="1400" w:type="dxa"/>
            <w:shd w:val="clear" w:color="auto" w:fill="D9E2F3"/>
            <w:tcMar>
              <w:top w:w="80" w:type="dxa"/>
              <w:left w:w="100" w:type="dxa"/>
              <w:bottom w:w="80" w:type="dxa"/>
              <w:right w:w="100" w:type="dxa"/>
            </w:tcMar>
          </w:tcPr>
          <w:p w14:paraId="279F357E" w14:textId="77777777" w:rsidR="00462882" w:rsidRDefault="00000000">
            <w:r>
              <w:rPr>
                <w:b/>
                <w:bCs/>
                <w:sz w:val="20"/>
                <w:szCs w:val="20"/>
              </w:rPr>
              <w:t>3-Yr Invoiced</w:t>
            </w:r>
          </w:p>
        </w:tc>
        <w:tc>
          <w:tcPr>
            <w:tcW w:w="5360" w:type="dxa"/>
            <w:shd w:val="clear" w:color="auto" w:fill="D9E2F3"/>
            <w:tcMar>
              <w:top w:w="80" w:type="dxa"/>
              <w:left w:w="100" w:type="dxa"/>
              <w:bottom w:w="80" w:type="dxa"/>
              <w:right w:w="100" w:type="dxa"/>
            </w:tcMar>
          </w:tcPr>
          <w:p w14:paraId="21D3EFF4" w14:textId="77777777" w:rsidR="00462882" w:rsidRDefault="00000000">
            <w:r>
              <w:rPr>
                <w:b/>
                <w:bCs/>
                <w:sz w:val="20"/>
                <w:szCs w:val="20"/>
              </w:rPr>
              <w:t>Notes</w:t>
            </w:r>
          </w:p>
        </w:tc>
      </w:tr>
      <w:tr w:rsidR="00462882" w14:paraId="2053F32B" w14:textId="77777777">
        <w:tc>
          <w:tcPr>
            <w:tcW w:w="2600" w:type="dxa"/>
            <w:tcMar>
              <w:top w:w="80" w:type="dxa"/>
              <w:left w:w="100" w:type="dxa"/>
              <w:bottom w:w="80" w:type="dxa"/>
              <w:right w:w="100" w:type="dxa"/>
            </w:tcMar>
          </w:tcPr>
          <w:p w14:paraId="246CE5A0" w14:textId="77777777" w:rsidR="00462882" w:rsidRDefault="00000000">
            <w:r>
              <w:rPr>
                <w:b/>
                <w:bCs/>
                <w:sz w:val="20"/>
                <w:szCs w:val="20"/>
              </w:rPr>
              <w:t>EMP / Advanced Products (Escanaba)</w:t>
            </w:r>
          </w:p>
        </w:tc>
        <w:tc>
          <w:tcPr>
            <w:tcW w:w="1400" w:type="dxa"/>
            <w:tcMar>
              <w:top w:w="80" w:type="dxa"/>
              <w:left w:w="100" w:type="dxa"/>
              <w:bottom w:w="80" w:type="dxa"/>
              <w:right w:w="100" w:type="dxa"/>
            </w:tcMar>
          </w:tcPr>
          <w:p w14:paraId="00B1E067" w14:textId="77777777" w:rsidR="00462882" w:rsidRDefault="00000000">
            <w:r>
              <w:rPr>
                <w:sz w:val="20"/>
                <w:szCs w:val="20"/>
              </w:rPr>
              <w:t>~$1.77M</w:t>
            </w:r>
          </w:p>
        </w:tc>
        <w:tc>
          <w:tcPr>
            <w:tcW w:w="5360" w:type="dxa"/>
            <w:tcMar>
              <w:top w:w="80" w:type="dxa"/>
              <w:left w:w="100" w:type="dxa"/>
              <w:bottom w:w="80" w:type="dxa"/>
              <w:right w:w="100" w:type="dxa"/>
            </w:tcMar>
          </w:tcPr>
          <w:p w14:paraId="42FA8883" w14:textId="77777777" w:rsidR="00462882" w:rsidRDefault="00000000">
            <w:r>
              <w:rPr>
                <w:sz w:val="20"/>
                <w:szCs w:val="20"/>
              </w:rPr>
              <w:t xml:space="preserve">Single largest revenue source over the three-year window. Direct end-customer relationship in which Excel Fire acted as general contractor for the life safety scope (sprinkler and fire alarm) rather than as a subcontractor to a third-party GC. Plant 1 Building installation (~$1.37M in </w:t>
              <w:lastRenderedPageBreak/>
              <w:t>FY24) and Building #2 installation (~$405K across FY25–FY26) together account for a majority of the Company’s invoiced revenue in those years. See narrative below the table for the subcontractor / mid-project change-of-control history.</w:t>
            </w:r>
          </w:p>
        </w:tc>
      </w:tr>
      <w:tr w:rsidR="00462882" w14:paraId="229ED818" w14:textId="77777777">
        <w:tc>
          <w:tcPr>
            <w:tcW w:w="2600" w:type="dxa"/>
            <w:tcMar>
              <w:top w:w="80" w:type="dxa"/>
              <w:left w:w="100" w:type="dxa"/>
              <w:bottom w:w="80" w:type="dxa"/>
              <w:right w:w="100" w:type="dxa"/>
            </w:tcMar>
          </w:tcPr>
          <w:p w14:paraId="4FA474F0" w14:textId="77777777" w:rsidR="00462882" w:rsidRDefault="00000000">
            <w:r>
              <w:rPr>
                <w:b/>
                <w:bCs/>
                <w:sz w:val="20"/>
                <w:szCs w:val="20"/>
              </w:rPr>
              <w:lastRenderedPageBreak/>
              <w:t>Superior Extrusion</w:t>
            </w:r>
          </w:p>
        </w:tc>
        <w:tc>
          <w:tcPr>
            <w:tcW w:w="1400" w:type="dxa"/>
            <w:tcMar>
              <w:top w:w="80" w:type="dxa"/>
              <w:left w:w="100" w:type="dxa"/>
              <w:bottom w:w="80" w:type="dxa"/>
              <w:right w:w="100" w:type="dxa"/>
            </w:tcMar>
          </w:tcPr>
          <w:p w14:paraId="7326FD7E" w14:textId="77777777" w:rsidR="00462882" w:rsidRDefault="00000000">
            <w:r>
              <w:rPr>
                <w:sz w:val="20"/>
                <w:szCs w:val="20"/>
              </w:rPr>
              <w:t>~$392K</w:t>
            </w:r>
          </w:p>
        </w:tc>
        <w:tc>
          <w:tcPr>
            <w:tcW w:w="5360" w:type="dxa"/>
            <w:tcMar>
              <w:top w:w="80" w:type="dxa"/>
              <w:left w:w="100" w:type="dxa"/>
              <w:bottom w:w="80" w:type="dxa"/>
              <w:right w:w="100" w:type="dxa"/>
            </w:tcMar>
          </w:tcPr>
          <w:p w14:paraId="39D7B09A" w14:textId="77777777" w:rsidR="00462882" w:rsidRDefault="00000000">
            <w:r>
              <w:rPr>
                <w:sz w:val="20"/>
                <w:szCs w:val="20"/>
              </w:rPr>
              <w:t>2022 Addition project. Industrial/manufacturing end customer. Single-project engagement within the window reviewed.</w:t>
            </w:r>
          </w:p>
        </w:tc>
      </w:tr>
      <w:tr w:rsidR="00462882" w14:paraId="4D234EC0" w14:textId="77777777">
        <w:tc>
          <w:tcPr>
            <w:tcW w:w="2600" w:type="dxa"/>
            <w:tcMar>
              <w:top w:w="80" w:type="dxa"/>
              <w:left w:w="100" w:type="dxa"/>
              <w:bottom w:w="80" w:type="dxa"/>
              <w:right w:w="100" w:type="dxa"/>
            </w:tcMar>
          </w:tcPr>
          <w:p w14:paraId="42D4C385" w14:textId="77777777" w:rsidR="00462882" w:rsidRDefault="00000000">
            <w:r>
              <w:rPr>
                <w:b/>
                <w:bCs/>
                <w:sz w:val="20"/>
                <w:szCs w:val="20"/>
              </w:rPr>
              <w:t>Marquette County Medical Care</w:t>
            </w:r>
          </w:p>
        </w:tc>
        <w:tc>
          <w:tcPr>
            <w:tcW w:w="1400" w:type="dxa"/>
            <w:tcMar>
              <w:top w:w="80" w:type="dxa"/>
              <w:left w:w="100" w:type="dxa"/>
              <w:bottom w:w="80" w:type="dxa"/>
              <w:right w:w="100" w:type="dxa"/>
            </w:tcMar>
          </w:tcPr>
          <w:p w14:paraId="775DA4FF" w14:textId="77777777" w:rsidR="00462882" w:rsidRDefault="00000000">
            <w:r>
              <w:rPr>
                <w:sz w:val="20"/>
                <w:szCs w:val="20"/>
              </w:rPr>
              <w:t>~$333K</w:t>
            </w:r>
          </w:p>
        </w:tc>
        <w:tc>
          <w:tcPr>
            <w:tcW w:w="5360" w:type="dxa"/>
            <w:tcMar>
              <w:top w:w="80" w:type="dxa"/>
              <w:left w:w="100" w:type="dxa"/>
              <w:bottom w:w="80" w:type="dxa"/>
              <w:right w:w="100" w:type="dxa"/>
            </w:tcMar>
          </w:tcPr>
          <w:p w14:paraId="5E8FC91D" w14:textId="77777777" w:rsidR="00462882" w:rsidRDefault="00000000">
            <w:r>
              <w:rPr>
                <w:sz w:val="20"/>
                <w:szCs w:val="20"/>
              </w:rPr>
              <w:t>Healthcare facility installation. Single-project engagement.</w:t>
            </w:r>
          </w:p>
        </w:tc>
      </w:tr>
      <w:tr w:rsidR="00462882" w14:paraId="75629F32" w14:textId="77777777">
        <w:tc>
          <w:tcPr>
            <w:tcW w:w="2600" w:type="dxa"/>
            <w:tcMar>
              <w:top w:w="80" w:type="dxa"/>
              <w:left w:w="100" w:type="dxa"/>
              <w:bottom w:w="80" w:type="dxa"/>
              <w:right w:w="100" w:type="dxa"/>
            </w:tcMar>
          </w:tcPr>
          <w:p w14:paraId="5E910732" w14:textId="77777777" w:rsidR="00462882" w:rsidRDefault="00000000">
            <w:r>
              <w:rPr>
                <w:b/>
                <w:bCs/>
                <w:sz w:val="20"/>
                <w:szCs w:val="20"/>
              </w:rPr>
              <w:t>Midwest Construction Group</w:t>
            </w:r>
          </w:p>
        </w:tc>
        <w:tc>
          <w:tcPr>
            <w:tcW w:w="1400" w:type="dxa"/>
            <w:tcMar>
              <w:top w:w="80" w:type="dxa"/>
              <w:left w:w="100" w:type="dxa"/>
              <w:bottom w:w="80" w:type="dxa"/>
              <w:right w:w="100" w:type="dxa"/>
            </w:tcMar>
          </w:tcPr>
          <w:p w14:paraId="7CCDF522" w14:textId="77777777" w:rsidR="00462882" w:rsidRDefault="00000000">
            <w:r>
              <w:rPr>
                <w:sz w:val="20"/>
                <w:szCs w:val="20"/>
              </w:rPr>
              <w:t>~$216K</w:t>
            </w:r>
          </w:p>
        </w:tc>
        <w:tc>
          <w:tcPr>
            <w:tcW w:w="5360" w:type="dxa"/>
            <w:tcMar>
              <w:top w:w="80" w:type="dxa"/>
              <w:left w:w="100" w:type="dxa"/>
              <w:bottom w:w="80" w:type="dxa"/>
              <w:right w:w="100" w:type="dxa"/>
            </w:tcMar>
          </w:tcPr>
          <w:p w14:paraId="04420FBE" w14:textId="77777777" w:rsidR="00462882" w:rsidRDefault="00000000">
            <w:r>
              <w:rPr>
                <w:sz w:val="20"/>
                <w:szCs w:val="20"/>
              </w:rPr>
              <w:t>FreeWheel Apartments project. Single-project engagement within the window reviewed.</w:t>
            </w:r>
          </w:p>
        </w:tc>
      </w:tr>
      <w:tr w:rsidR="00462882" w14:paraId="3981A8B9" w14:textId="77777777">
        <w:tc>
          <w:tcPr>
            <w:tcW w:w="2600" w:type="dxa"/>
            <w:tcMar>
              <w:top w:w="80" w:type="dxa"/>
              <w:left w:w="100" w:type="dxa"/>
              <w:bottom w:w="80" w:type="dxa"/>
              <w:right w:w="100" w:type="dxa"/>
            </w:tcMar>
          </w:tcPr>
          <w:p w14:paraId="638243B0" w14:textId="77777777" w:rsidR="00462882" w:rsidRDefault="00000000">
            <w:r>
              <w:rPr>
                <w:b/>
                <w:bCs/>
                <w:sz w:val="20"/>
                <w:szCs w:val="20"/>
              </w:rPr>
              <w:t>Mercer Co. R.W.</w:t>
            </w:r>
          </w:p>
        </w:tc>
        <w:tc>
          <w:tcPr>
            <w:tcW w:w="1400" w:type="dxa"/>
            <w:tcMar>
              <w:top w:w="80" w:type="dxa"/>
              <w:left w:w="100" w:type="dxa"/>
              <w:bottom w:w="80" w:type="dxa"/>
              <w:right w:w="100" w:type="dxa"/>
            </w:tcMar>
          </w:tcPr>
          <w:p w14:paraId="176BA0D0" w14:textId="77777777" w:rsidR="00462882" w:rsidRDefault="00000000">
            <w:r>
              <w:rPr>
                <w:sz w:val="20"/>
                <w:szCs w:val="20"/>
              </w:rPr>
              <w:t>~$82K</w:t>
            </w:r>
          </w:p>
        </w:tc>
        <w:tc>
          <w:tcPr>
            <w:tcW w:w="5360" w:type="dxa"/>
            <w:tcMar>
              <w:top w:w="80" w:type="dxa"/>
              <w:left w:w="100" w:type="dxa"/>
              <w:bottom w:w="80" w:type="dxa"/>
              <w:right w:w="100" w:type="dxa"/>
            </w:tcMar>
          </w:tcPr>
          <w:p w14:paraId="1705184B" w14:textId="77777777" w:rsidR="00462882" w:rsidRDefault="00000000">
            <w:r>
              <w:rPr>
                <w:sz w:val="20"/>
                <w:szCs w:val="20"/>
              </w:rPr>
              <w:t>Townplace PH2 project. Single-project engagement within the window reviewed.</w:t>
            </w:r>
          </w:p>
        </w:tc>
      </w:tr>
    </w:tbl>
    <w:p w14:paraId="3E3292E1" w14:textId="77777777" w:rsidR="00462882" w:rsidRDefault="00462882">
      <w:pPr>
        <w:spacing w:after="80"/>
      </w:pPr>
    </w:p>
    <w:p w14:paraId="35399B21" w14:textId="4AD41983" w:rsidR="00462882" w:rsidRDefault="00000000">
      <w:pPr>
        <w:spacing w:after="120"/>
      </w:pPr>
      <w:r>
        <w:t>The EMP / Advanced Products engagement is worth describing in additional detail because it is both the single largest revenue line on the table above and an instructive case in how the Company’s current operating model behaves under stress. On this engagement, Excel Fire was contracted directly by the end customer to deliver the full life safety scope on the EMP campus buildings — i.e., Excel Fire acted as the general contractor for the fire protection and fire alarm work, rather than performing as a sprinkler subcontractor under a third-party GC as is the more typical arrangement on the Cross Construction, Miron, Hall, and Closner projects elsewhere on the customer list. Excel Fire self-performed the sprinkler installation and engaged a fire alarm subcontractor, Lammi, to handle the fire alarm portion of the life safety system.</w:t>
      </w:r>
    </w:p>
    <w:p w14:paraId="7E010F36" w14:textId="77777777" w:rsidR="00462882" w:rsidRDefault="00000000">
      <w:pPr>
        <w:spacing w:after="120"/>
      </w:pPr>
      <w:r>
        <w:t>During the project, Lammi was acquired by Summit Fire Protection (a national fire protection roll-up). Following the change of control, the alarm subcontractor’s responsiveness, communication, and on-site execution materially deteriorated. Excel Fire, as the GC of record, was nevertheless responsible to the end customer for the integrated life safety system — including the alarm scope it had subcontracted out — and absorbed the resulting coordination, scheduling, callback, and customer-relationship costs.</w:t>
      </w:r>
    </w:p>
    <w:p w14:paraId="09B17CBD" w14:textId="44F7EB57" w:rsidR="00462882" w:rsidRDefault="00000000">
      <w:pPr>
        <w:spacing w:after="120"/>
      </w:pPr>
      <w:r>
        <w:t>As a current-state observation,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EMP engagement is the most material example of this dynamic in the period reviewed.</w:t>
      </w:r>
    </w:p>
    <w:p w14:paraId="790B0459" w14:textId="77777777" w:rsidR="00462882" w:rsidRDefault="00462882">
      <w:pPr>
        <w:spacing w:after="80"/>
      </w:pPr>
    </w:p>
    <w:p w14:paraId="36B2B22F" w14:textId="77777777" w:rsidR="00462882" w:rsidRDefault="00000000">
      <w:pPr>
        <w:pStyle w:val="Heading3"/>
      </w:pPr>
      <w:r>
        <w:t>Recurring Small-to-Mid End Customers</w:t>
      </w:r>
    </w:p>
    <w:p w14:paraId="006A857A" w14:textId="77777777" w:rsidR="00462882" w:rsidRDefault="00000000">
      <w:pPr>
        <w:spacing w:after="120"/>
      </w:pPr>
      <w:r>
        <w:t>In addition to the large project work and the recurring GC relationships, the Company has a set of direct end customers that provide steady, smaller-dollar annual work — typically inspections, service calls, and incremental system additions. These relationships are durable across the window reviewed and contribute to year-over-year revenue stability between major installation projects.</w:t>
      </w:r>
    </w:p>
    <w:p w14:paraId="118F48FA" w14:textId="77777777" w:rsidR="00462882" w:rsidRDefault="00462882">
      <w:pPr>
        <w:spacing w:after="8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1400"/>
        <w:gridCol w:w="1100"/>
        <w:gridCol w:w="4260"/>
      </w:tblGrid>
      <w:tr w:rsidR="00462882" w14:paraId="5F19D5B4" w14:textId="77777777">
        <w:trPr>
          <w:tblHeader/>
        </w:trPr>
        <w:tc>
          <w:tcPr>
            <w:tcW w:w="2600" w:type="dxa"/>
            <w:shd w:val="clear" w:color="auto" w:fill="D9E2F3"/>
            <w:tcMar>
              <w:top w:w="80" w:type="dxa"/>
              <w:left w:w="100" w:type="dxa"/>
              <w:bottom w:w="80" w:type="dxa"/>
              <w:right w:w="100" w:type="dxa"/>
            </w:tcMar>
          </w:tcPr>
          <w:p w14:paraId="40EF6661" w14:textId="77777777" w:rsidR="00462882" w:rsidRDefault="00000000">
            <w:r>
              <w:rPr>
                <w:b/>
                <w:bCs/>
                <w:sz w:val="20"/>
                <w:szCs w:val="20"/>
              </w:rPr>
              <w:t>End Customer</w:t>
            </w:r>
          </w:p>
        </w:tc>
        <w:tc>
          <w:tcPr>
            <w:tcW w:w="1400" w:type="dxa"/>
            <w:shd w:val="clear" w:color="auto" w:fill="D9E2F3"/>
            <w:tcMar>
              <w:top w:w="80" w:type="dxa"/>
              <w:left w:w="100" w:type="dxa"/>
              <w:bottom w:w="80" w:type="dxa"/>
              <w:right w:w="100" w:type="dxa"/>
            </w:tcMar>
          </w:tcPr>
          <w:p w14:paraId="3B376820" w14:textId="77777777" w:rsidR="00462882" w:rsidRDefault="00000000">
            <w:r>
              <w:rPr>
                <w:b/>
                <w:bCs/>
                <w:sz w:val="20"/>
                <w:szCs w:val="20"/>
              </w:rPr>
              <w:t>3-Yr Invoiced</w:t>
            </w:r>
          </w:p>
        </w:tc>
        <w:tc>
          <w:tcPr>
            <w:tcW w:w="1100" w:type="dxa"/>
            <w:shd w:val="clear" w:color="auto" w:fill="D9E2F3"/>
            <w:tcMar>
              <w:top w:w="80" w:type="dxa"/>
              <w:left w:w="100" w:type="dxa"/>
              <w:bottom w:w="80" w:type="dxa"/>
              <w:right w:w="100" w:type="dxa"/>
            </w:tcMar>
          </w:tcPr>
          <w:p w14:paraId="57A25D6E" w14:textId="77777777" w:rsidR="00462882" w:rsidRDefault="00000000">
            <w:r>
              <w:rPr>
                <w:b/>
                <w:bCs/>
                <w:sz w:val="20"/>
                <w:szCs w:val="20"/>
              </w:rPr>
              <w:t>FYs Active</w:t>
            </w:r>
          </w:p>
        </w:tc>
        <w:tc>
          <w:tcPr>
            <w:tcW w:w="4260" w:type="dxa"/>
            <w:shd w:val="clear" w:color="auto" w:fill="D9E2F3"/>
            <w:tcMar>
              <w:top w:w="80" w:type="dxa"/>
              <w:left w:w="100" w:type="dxa"/>
              <w:bottom w:w="80" w:type="dxa"/>
              <w:right w:w="100" w:type="dxa"/>
            </w:tcMar>
          </w:tcPr>
          <w:p w14:paraId="0AE71B95" w14:textId="77777777" w:rsidR="00462882" w:rsidRDefault="00000000">
            <w:r>
              <w:rPr>
                <w:b/>
                <w:bCs/>
                <w:sz w:val="20"/>
                <w:szCs w:val="20"/>
              </w:rPr>
              <w:t>Notes</w:t>
            </w:r>
          </w:p>
        </w:tc>
      </w:tr>
      <w:tr w:rsidR="00462882" w14:paraId="23B6BD84" w14:textId="77777777">
        <w:tc>
          <w:tcPr>
            <w:tcW w:w="2600" w:type="dxa"/>
            <w:tcMar>
              <w:top w:w="80" w:type="dxa"/>
              <w:left w:w="100" w:type="dxa"/>
              <w:bottom w:w="80" w:type="dxa"/>
              <w:right w:w="100" w:type="dxa"/>
            </w:tcMar>
          </w:tcPr>
          <w:p w14:paraId="7D284B87" w14:textId="77777777" w:rsidR="00462882" w:rsidRDefault="00000000">
            <w:r>
              <w:rPr>
                <w:b/>
                <w:bCs/>
                <w:sz w:val="20"/>
                <w:szCs w:val="20"/>
              </w:rPr>
              <w:t>Eagle Mine (Big Bay &amp; Humboldt Mill)</w:t>
            </w:r>
          </w:p>
        </w:tc>
        <w:tc>
          <w:tcPr>
            <w:tcW w:w="1400" w:type="dxa"/>
            <w:tcMar>
              <w:top w:w="80" w:type="dxa"/>
              <w:left w:w="100" w:type="dxa"/>
              <w:bottom w:w="80" w:type="dxa"/>
              <w:right w:w="100" w:type="dxa"/>
            </w:tcMar>
          </w:tcPr>
          <w:p w14:paraId="0DE684E3" w14:textId="77777777" w:rsidR="00462882" w:rsidRDefault="00000000">
            <w:r>
              <w:rPr>
                <w:sz w:val="20"/>
                <w:szCs w:val="20"/>
              </w:rPr>
              <w:t>~$173K</w:t>
            </w:r>
          </w:p>
        </w:tc>
        <w:tc>
          <w:tcPr>
            <w:tcW w:w="1100" w:type="dxa"/>
            <w:tcMar>
              <w:top w:w="80" w:type="dxa"/>
              <w:left w:w="100" w:type="dxa"/>
              <w:bottom w:w="80" w:type="dxa"/>
              <w:right w:w="100" w:type="dxa"/>
            </w:tcMar>
          </w:tcPr>
          <w:p w14:paraId="5F84C245" w14:textId="77777777" w:rsidR="00462882" w:rsidRDefault="00000000">
            <w:r>
              <w:rPr>
                <w:sz w:val="20"/>
                <w:szCs w:val="20"/>
              </w:rPr>
              <w:t>4</w:t>
            </w:r>
          </w:p>
        </w:tc>
        <w:tc>
          <w:tcPr>
            <w:tcW w:w="4260" w:type="dxa"/>
            <w:tcMar>
              <w:top w:w="80" w:type="dxa"/>
              <w:left w:w="100" w:type="dxa"/>
              <w:bottom w:w="80" w:type="dxa"/>
              <w:right w:w="100" w:type="dxa"/>
            </w:tcMar>
          </w:tcPr>
          <w:p w14:paraId="031DA7B0" w14:textId="77777777" w:rsidR="00462882" w:rsidRDefault="00000000">
            <w:r>
              <w:rPr>
                <w:sz w:val="20"/>
                <w:szCs w:val="20"/>
              </w:rPr>
              <w:t>Recurring industrial/mining customer. Billed through QuickBooks parent:child records (“Eagle Mine:Eagle Mine - Big Bay” and “Eagle Mine:Humboldt Mill”). Roughly $40K per year in steady annual inspection and service work.</w:t>
            </w:r>
          </w:p>
        </w:tc>
      </w:tr>
      <w:tr w:rsidR="00462882" w14:paraId="07252083" w14:textId="77777777">
        <w:tc>
          <w:tcPr>
            <w:tcW w:w="2600" w:type="dxa"/>
            <w:tcMar>
              <w:top w:w="80" w:type="dxa"/>
              <w:left w:w="100" w:type="dxa"/>
              <w:bottom w:w="80" w:type="dxa"/>
              <w:right w:w="100" w:type="dxa"/>
            </w:tcMar>
          </w:tcPr>
          <w:p w14:paraId="34913BBC" w14:textId="77777777" w:rsidR="00462882" w:rsidRDefault="00000000">
            <w:r>
              <w:rPr>
                <w:b/>
                <w:bCs/>
                <w:sz w:val="20"/>
                <w:szCs w:val="20"/>
              </w:rPr>
              <w:t>Closner Construction</w:t>
            </w:r>
          </w:p>
        </w:tc>
        <w:tc>
          <w:tcPr>
            <w:tcW w:w="1400" w:type="dxa"/>
            <w:tcMar>
              <w:top w:w="80" w:type="dxa"/>
              <w:left w:w="100" w:type="dxa"/>
              <w:bottom w:w="80" w:type="dxa"/>
              <w:right w:w="100" w:type="dxa"/>
            </w:tcMar>
          </w:tcPr>
          <w:p w14:paraId="42AD706A" w14:textId="77777777" w:rsidR="00462882" w:rsidRDefault="00000000">
            <w:r>
              <w:rPr>
                <w:sz w:val="20"/>
                <w:szCs w:val="20"/>
              </w:rPr>
              <w:t>~$197K</w:t>
            </w:r>
          </w:p>
        </w:tc>
        <w:tc>
          <w:tcPr>
            <w:tcW w:w="1100" w:type="dxa"/>
            <w:tcMar>
              <w:top w:w="80" w:type="dxa"/>
              <w:left w:w="100" w:type="dxa"/>
              <w:bottom w:w="80" w:type="dxa"/>
              <w:right w:w="100" w:type="dxa"/>
            </w:tcMar>
          </w:tcPr>
          <w:p w14:paraId="12BE798A" w14:textId="77777777" w:rsidR="00462882" w:rsidRDefault="00000000">
            <w:r>
              <w:rPr>
                <w:sz w:val="20"/>
                <w:szCs w:val="20"/>
              </w:rPr>
              <w:t>3</w:t>
            </w:r>
          </w:p>
        </w:tc>
        <w:tc>
          <w:tcPr>
            <w:tcW w:w="4260" w:type="dxa"/>
            <w:tcMar>
              <w:top w:w="80" w:type="dxa"/>
              <w:left w:w="100" w:type="dxa"/>
              <w:bottom w:w="80" w:type="dxa"/>
              <w:right w:w="100" w:type="dxa"/>
            </w:tcMar>
          </w:tcPr>
          <w:p w14:paraId="30494D3E" w14:textId="77777777" w:rsidR="00462882" w:rsidRDefault="00000000">
            <w:r>
              <w:rPr>
                <w:sz w:val="20"/>
                <w:szCs w:val="20"/>
              </w:rPr>
              <w:t>General contractor relationship, but smaller scale and less continuous than Cross. Visible projects include MOB and Ore Dock Rosewood.</w:t>
            </w:r>
          </w:p>
        </w:tc>
      </w:tr>
      <w:tr w:rsidR="00462882" w14:paraId="2F456A2D" w14:textId="77777777">
        <w:tc>
          <w:tcPr>
            <w:tcW w:w="2600" w:type="dxa"/>
            <w:tcMar>
              <w:top w:w="80" w:type="dxa"/>
              <w:left w:w="100" w:type="dxa"/>
              <w:bottom w:w="80" w:type="dxa"/>
              <w:right w:w="100" w:type="dxa"/>
            </w:tcMar>
          </w:tcPr>
          <w:p w14:paraId="365D0507" w14:textId="77777777" w:rsidR="00462882" w:rsidRDefault="00000000">
            <w:r>
              <w:rPr>
                <w:b/>
                <w:bCs/>
                <w:sz w:val="20"/>
                <w:szCs w:val="20"/>
              </w:rPr>
              <w:t>Northiron Church — L’Anse</w:t>
            </w:r>
          </w:p>
        </w:tc>
        <w:tc>
          <w:tcPr>
            <w:tcW w:w="1400" w:type="dxa"/>
            <w:tcMar>
              <w:top w:w="80" w:type="dxa"/>
              <w:left w:w="100" w:type="dxa"/>
              <w:bottom w:w="80" w:type="dxa"/>
              <w:right w:w="100" w:type="dxa"/>
            </w:tcMar>
          </w:tcPr>
          <w:p w14:paraId="2996A34E" w14:textId="77777777" w:rsidR="00462882" w:rsidRDefault="00000000">
            <w:r>
              <w:rPr>
                <w:sz w:val="20"/>
                <w:szCs w:val="20"/>
              </w:rPr>
              <w:t>~$81K</w:t>
            </w:r>
          </w:p>
        </w:tc>
        <w:tc>
          <w:tcPr>
            <w:tcW w:w="1100" w:type="dxa"/>
            <w:tcMar>
              <w:top w:w="80" w:type="dxa"/>
              <w:left w:w="100" w:type="dxa"/>
              <w:bottom w:w="80" w:type="dxa"/>
              <w:right w:w="100" w:type="dxa"/>
            </w:tcMar>
          </w:tcPr>
          <w:p w14:paraId="13039EF0" w14:textId="77777777" w:rsidR="00462882" w:rsidRDefault="00000000">
            <w:r>
              <w:rPr>
                <w:sz w:val="20"/>
                <w:szCs w:val="20"/>
              </w:rPr>
              <w:t>3</w:t>
            </w:r>
          </w:p>
        </w:tc>
        <w:tc>
          <w:tcPr>
            <w:tcW w:w="4260" w:type="dxa"/>
            <w:tcMar>
              <w:top w:w="80" w:type="dxa"/>
              <w:left w:w="100" w:type="dxa"/>
              <w:bottom w:w="80" w:type="dxa"/>
              <w:right w:w="100" w:type="dxa"/>
            </w:tcMar>
          </w:tcPr>
          <w:p w14:paraId="0CF50820" w14:textId="77777777" w:rsidR="00462882" w:rsidRDefault="00000000">
            <w:r>
              <w:rPr>
                <w:sz w:val="20"/>
                <w:szCs w:val="20"/>
              </w:rPr>
              <w:t>Church/institutional end customer with recurring service work across multiple fiscal years.</w:t>
            </w:r>
          </w:p>
        </w:tc>
      </w:tr>
      <w:tr w:rsidR="00462882" w14:paraId="5E60373D" w14:textId="77777777">
        <w:tc>
          <w:tcPr>
            <w:tcW w:w="2600" w:type="dxa"/>
            <w:tcMar>
              <w:top w:w="80" w:type="dxa"/>
              <w:left w:w="100" w:type="dxa"/>
              <w:bottom w:w="80" w:type="dxa"/>
              <w:right w:w="100" w:type="dxa"/>
            </w:tcMar>
          </w:tcPr>
          <w:p w14:paraId="1506FCD1" w14:textId="77777777" w:rsidR="00462882" w:rsidRDefault="00000000">
            <w:r>
              <w:rPr>
                <w:b/>
                <w:bCs/>
                <w:sz w:val="20"/>
                <w:szCs w:val="20"/>
              </w:rPr>
              <w:t>UP Health System — Mqt (direct)</w:t>
            </w:r>
          </w:p>
        </w:tc>
        <w:tc>
          <w:tcPr>
            <w:tcW w:w="1400" w:type="dxa"/>
            <w:tcMar>
              <w:top w:w="80" w:type="dxa"/>
              <w:left w:w="100" w:type="dxa"/>
              <w:bottom w:w="80" w:type="dxa"/>
              <w:right w:w="100" w:type="dxa"/>
            </w:tcMar>
          </w:tcPr>
          <w:p w14:paraId="481DA7CE" w14:textId="77777777" w:rsidR="00462882" w:rsidRDefault="00000000">
            <w:r>
              <w:rPr>
                <w:sz w:val="20"/>
                <w:szCs w:val="20"/>
              </w:rPr>
              <w:t>(smaller)</w:t>
            </w:r>
          </w:p>
        </w:tc>
        <w:tc>
          <w:tcPr>
            <w:tcW w:w="1100" w:type="dxa"/>
            <w:tcMar>
              <w:top w:w="80" w:type="dxa"/>
              <w:left w:w="100" w:type="dxa"/>
              <w:bottom w:w="80" w:type="dxa"/>
              <w:right w:w="100" w:type="dxa"/>
            </w:tcMar>
          </w:tcPr>
          <w:p w14:paraId="34BB676C" w14:textId="77777777" w:rsidR="00462882" w:rsidRDefault="00000000">
            <w:r>
              <w:rPr>
                <w:sz w:val="20"/>
                <w:szCs w:val="20"/>
              </w:rPr>
              <w:t>3–4</w:t>
            </w:r>
          </w:p>
        </w:tc>
        <w:tc>
          <w:tcPr>
            <w:tcW w:w="4260" w:type="dxa"/>
            <w:tcMar>
              <w:top w:w="80" w:type="dxa"/>
              <w:left w:w="100" w:type="dxa"/>
              <w:bottom w:w="80" w:type="dxa"/>
              <w:right w:w="100" w:type="dxa"/>
            </w:tcMar>
          </w:tcPr>
          <w:p w14:paraId="147B6F0E" w14:textId="77777777" w:rsidR="00462882" w:rsidRDefault="00000000">
            <w:r>
              <w:rPr>
                <w:sz w:val="20"/>
                <w:szCs w:val="20"/>
              </w:rPr>
              <w:t>Direct hospital relationship, distinct from the Siemens-intermediated UP Health Baraga work. Smaller dollar volume but recurring.</w:t>
            </w:r>
          </w:p>
        </w:tc>
      </w:tr>
      <w:tr w:rsidR="00462882" w14:paraId="35A183C1" w14:textId="77777777">
        <w:tc>
          <w:tcPr>
            <w:tcW w:w="2600" w:type="dxa"/>
            <w:tcMar>
              <w:top w:w="80" w:type="dxa"/>
              <w:left w:w="100" w:type="dxa"/>
              <w:bottom w:w="80" w:type="dxa"/>
              <w:right w:w="100" w:type="dxa"/>
            </w:tcMar>
          </w:tcPr>
          <w:p w14:paraId="2C34001E" w14:textId="77777777" w:rsidR="00462882" w:rsidRDefault="00000000">
            <w:r>
              <w:rPr>
                <w:b/>
                <w:bCs/>
                <w:sz w:val="20"/>
                <w:szCs w:val="20"/>
              </w:rPr>
              <w:t>Jilbert Dairy, Americinn of Calumet, Holiday Inn Express</w:t>
            </w:r>
          </w:p>
        </w:tc>
        <w:tc>
          <w:tcPr>
            <w:tcW w:w="1400" w:type="dxa"/>
            <w:tcMar>
              <w:top w:w="80" w:type="dxa"/>
              <w:left w:w="100" w:type="dxa"/>
              <w:bottom w:w="80" w:type="dxa"/>
              <w:right w:w="100" w:type="dxa"/>
            </w:tcMar>
          </w:tcPr>
          <w:p w14:paraId="61F55A62" w14:textId="77777777" w:rsidR="00462882" w:rsidRDefault="00000000">
            <w:r>
              <w:rPr>
                <w:sz w:val="20"/>
                <w:szCs w:val="20"/>
              </w:rPr>
              <w:t>(smaller, each)</w:t>
            </w:r>
          </w:p>
        </w:tc>
        <w:tc>
          <w:tcPr>
            <w:tcW w:w="1100" w:type="dxa"/>
            <w:tcMar>
              <w:top w:w="80" w:type="dxa"/>
              <w:left w:w="100" w:type="dxa"/>
              <w:bottom w:w="80" w:type="dxa"/>
              <w:right w:w="100" w:type="dxa"/>
            </w:tcMar>
          </w:tcPr>
          <w:p w14:paraId="1C99597D" w14:textId="77777777" w:rsidR="00462882" w:rsidRDefault="00000000">
            <w:r>
              <w:rPr>
                <w:sz w:val="20"/>
                <w:szCs w:val="20"/>
              </w:rPr>
              <w:t>3–4</w:t>
            </w:r>
          </w:p>
        </w:tc>
        <w:tc>
          <w:tcPr>
            <w:tcW w:w="4260" w:type="dxa"/>
            <w:tcMar>
              <w:top w:w="80" w:type="dxa"/>
              <w:left w:w="100" w:type="dxa"/>
              <w:bottom w:w="80" w:type="dxa"/>
              <w:right w:w="100" w:type="dxa"/>
            </w:tcMar>
          </w:tcPr>
          <w:p w14:paraId="420ADBDD" w14:textId="77777777" w:rsidR="00462882" w:rsidRDefault="00000000">
            <w:r>
              <w:rPr>
                <w:sz w:val="20"/>
                <w:szCs w:val="20"/>
              </w:rPr>
              <w:t>Industrial and hospitality end customers with recurring inspection/service work across multiple fiscal years. Low dollar per engagement but steady.</w:t>
            </w:r>
          </w:p>
        </w:tc>
      </w:tr>
    </w:tbl>
    <w:p w14:paraId="10484E1F" w14:textId="77777777" w:rsidR="00462882" w:rsidRDefault="00462882">
      <w:pPr>
        <w:spacing w:after="80"/>
      </w:pPr>
    </w:p>
    <w:p w14:paraId="40E9A7EB" w14:textId="77777777" w:rsidR="00462882" w:rsidRDefault="00000000">
      <w:pPr>
        <w:pStyle w:val="Heading3"/>
      </w:pPr>
      <w:r>
        <w:t>Customer Concentration &amp; Continuity Implications</w:t>
      </w:r>
    </w:p>
    <w:p w14:paraId="5EDBC619" w14:textId="77777777" w:rsidR="00462882" w:rsidRDefault="00000000">
      <w:pPr>
        <w:spacing w:after="120"/>
      </w:pPr>
      <w:r>
        <w:t>Across the three-year window, the Company’s revenue is meaningfully concentrated. Cross Construction alone accounts for roughly $831K of invoiced work, the EMP / Advanced Products relationship accounts for roughly $1.77M, and the combined Siemens, Miron, Hall, and Cintas relationships add another ~$740K. Taken together, a small number of GC relationships and a small number of direct end customers account for the large majority of invoiced revenue. Every one of these relationships is held personally by the owner and, in the case of recurring field work, by Keith.</w:t>
      </w:r>
    </w:p>
    <w:p w14:paraId="304BA438" w14:textId="77777777" w:rsidR="00462882" w:rsidRDefault="00000000">
      <w:pPr>
        <w:spacing w:after="120"/>
      </w:pPr>
      <w:r>
        <w:t>A separate reference list of known QuickBooks customer names encountered during this analysis is retained in the engagement working files and is available on request.</w:t>
      </w:r>
    </w:p>
    <w:p w14:paraId="60E7CAD7" w14:textId="77777777" w:rsidR="00462882" w:rsidRDefault="00000000">
      <w:pPr>
        <w:pStyle w:val="Heading3"/>
      </w:pPr>
      <w:r>
        <w:t>Key Vendor &amp; Supplier Relationships</w:t>
      </w:r>
    </w:p>
    <w:p w14:paraId="375D736C" w14:textId="77777777" w:rsidR="00462882" w:rsidRDefault="00000000">
      <w:pPr>
        <w:spacing w:after="120"/>
      </w:pPr>
      <w:r>
        <w:t>ETNA is the Company’s primary and near-exclusive supplier of direct materials for fire sprinkler work. The relationship spans decades and is very positive. There are no preferential pricing terms. The Company pays a credit card processing fee to ETNA in order to use credit cards for purchases, which provides 30-day payment float and credit card rewards.</w:t>
      </w:r>
    </w:p>
    <w:p w14:paraId="1721BD7E" w14:textId="77777777" w:rsidR="00462882" w:rsidRDefault="00000000">
      <w:pPr>
        <w:spacing w:after="120"/>
      </w:pPr>
      <w:r>
        <w:t xml:space="preserve">Craig Johnson provides all fire sprinkler design services as a subcontractor. Concerns have been raised regarding his design turnaround times over the past year. Anderson, Tackman &amp; Company (Jamie Hooper, bookkeeper; Dan Bianchi, CPA) provides a broad bundle of outsourced finance functions: biweekly payroll processing including timesheet transcription into QuickBooks, federal and state tax withholding calculations, quarterly estimated tax coupon preparation for the owner, QuickBooks bookkeeping and ledger maintenance, and tax </w:t>
        <w:lastRenderedPageBreak/>
        <w:t>preparation and filing. Jamie Hooper is the principal day-to-day point of contact and the person on whom most of the Company’s finance workflow currently depends. Gauthier Insurance brokers the Company’s insurance through Auto Owners and West Bend.</w:t>
      </w:r>
    </w:p>
    <w:p w14:paraId="046F5AA7" w14:textId="77777777" w:rsidR="00462882" w:rsidRDefault="00000000">
      <w:pPr>
        <w:pStyle w:val="Heading3"/>
      </w:pPr>
      <w:r>
        <w:t>Union Local 669 Relationship &amp; Business Agent</w:t>
      </w:r>
    </w:p>
    <w:p w14:paraId="3EF55DE8" w14:textId="77777777" w:rsidR="00462882" w:rsidRDefault="00000000">
      <w:pPr>
        <w:spacing w:after="120"/>
      </w:pPr>
      <w:r>
        <w:t>The Company’s union relationship is with United Association Local 669 (Road Sprinkler Fitters), which covers all four field employees. The day-to-day union point of contact for the Company is Nick, the Local 669 business agent assigned to the region. Routine communication with Nick is almost entirely by telephone. Topics handled through this channel include dispatches and referrals, apprentice progression, questions on CBA interpretation, and coordination around benefit funds. There is no formal cadence of meetings or written correspondence with the local; the relationship operates in the same reputation-and-phone-call mode as most of the Company’s other key external relationships.</w:t>
      </w:r>
    </w:p>
    <w:p w14:paraId="662071AF" w14:textId="77777777" w:rsidR="00462882" w:rsidRDefault="00000000">
      <w:pPr>
        <w:spacing w:after="120"/>
      </w:pPr>
      <w:r>
        <w:t>Local 669 benefit fund administration is handled through NASI (the National Automatic Sprinkler Industry benefit fund structure). NASI is the portal through which employer contributions for pension, health and welfare, training, and industry funds are calculated and remitted on a monthly cadence, as described in Section 2.1. The NASI fund structure, including pension funding status, is a separate consideration relevant to the planned ownership transition and is discussed further in Section 2.6.</w:t>
      </w:r>
    </w:p>
    <w:p w14:paraId="05B62FB4" w14:textId="77777777" w:rsidR="00462882" w:rsidRDefault="00000000">
      <w:pPr>
        <w:pStyle w:val="Heading3"/>
      </w:pPr>
      <w:r>
        <w:t>Owner Institutional Knowledge</w:t>
      </w:r>
    </w:p>
    <w:p w14:paraId="3950B9CC" w14:textId="77777777" w:rsidR="00462882" w:rsidRDefault="00000000">
      <w:pPr>
        <w:spacing w:after="120"/>
      </w:pPr>
      <w:r>
        <w:t>There is extensive institutional knowledge held by the owner that is not reflected in any written records. This includes estimating rates and cost buildup methodology, customer relationship history and informal understandings, vendor relationships, project history, and operational practices. The owner is cooperative and forthcoming. No structured knowledge transfer process had been undertaken prior to this engagement. Knowledge extraction is ongoing as part of the current assessment.</w:t>
      </w:r>
    </w:p>
    <w:p w14:paraId="68F4A3CB" w14:textId="77777777" w:rsidR="00462882" w:rsidRDefault="00000000">
      <w:pPr>
        <w:pStyle w:val="Heading3"/>
      </w:pPr>
      <w:r>
        <w:t>Stated Retirement Intent of Field Lead (Keith Lefebvre)</w:t>
      </w:r>
    </w:p>
    <w:p w14:paraId="0C3C970A" w14:textId="77777777" w:rsidR="00462882" w:rsidRDefault="00000000">
      <w:pPr>
        <w:spacing w:after="120"/>
      </w:pPr>
      <w:r>
        <w:t>Keith Lefebvre, the Company’s sole field lead, de facto project manager, inspector, and primary in-house design coordinator, has expressed an intent to retire or step back from his current role. This intent has been voiced informally to other members of the Company over a period of approximately the past four years. To date, no firm timeline has been set, and no successor has been identified or trained for any of the four functional roles Keith currently fills. As described in the Org Structure section of this report, Keith’s functions — inspections, project management/scheduling, design coordination with the subcontracted designer, and field oversight — would in a more conventionally staffed shop be split across multiple individuals; consolidating them in a single person is what makes Keith’s eventual departure a high-impact event for the Company’s operating capacity. This is documented here as a current-state fact relevant to business continuity, and not as a recommendation.</w:t>
      </w:r>
    </w:p>
    <w:p w14:paraId="0B7B0A84" w14:textId="35C84704" w:rsidR="00462882" w:rsidRDefault="00000000">
      <w:pPr>
        <w:pStyle w:val="Heading3"/>
      </w:pPr>
      <w:r>
        <w:t>Processes &amp; Practices Material to Business Continuity</w:t>
      </w:r>
    </w:p>
    <w:p w14:paraId="0A4F200E" w14:textId="77777777" w:rsidR="00462882" w:rsidRDefault="00000000">
      <w:pPr>
        <w:spacing w:after="120"/>
      </w:pPr>
      <w:r>
        <w:t>No informal processes, practices, or arrangements material to business continuity have been identified beyond those documented in the preceding workstream sections.</w:t>
      </w:r>
    </w:p>
    <w:p w14:paraId="188D721C" w14:textId="77777777" w:rsidR="00462882" w:rsidRDefault="00000000">
      <w:pPr>
        <w:pStyle w:val="Heading3"/>
      </w:pPr>
      <w:r>
        <w:t>Current Backlog, Pipeline &amp; Pending Bids/Proposals</w:t>
      </w:r>
    </w:p>
    <w:p w14:paraId="055F586B" w14:textId="77777777" w:rsidR="00462882" w:rsidRDefault="00000000">
      <w:pPr>
        <w:spacing w:after="120"/>
      </w:pPr>
      <w:r>
        <w:t xml:space="preserve">As of the date of this report, the Company’s current backlog, pipeline, and pending bid/proposal data is not available in any digital or aggregated form. The underlying records exist only as </w:t>
        <w:lastRenderedPageBreak/>
        <w:t>paper in the filing cabinets described in Section 2.4 (Document Management, Filing &amp; Records Retention): work-in-progress jobs and signed-but-not-started contracts sit in the right-hand filing cabinet underneath the drafting table and in the “Jobs in Progress” bankers box on top of the desk behind Betty’s desk, and outstanding proposals sit in the “Proposals sent, no answer” drawer (third drawer in the four-drawer filing cabinet behind Betty’s desk).</w:t>
      </w:r>
    </w:p>
    <w:p w14:paraId="7C80096A" w14:textId="77777777" w:rsidR="00462882" w:rsidRDefault="00000000">
      <w:pPr>
        <w:pStyle w:val="Heading2"/>
      </w:pPr>
      <w:r>
        <w:t>2.6 Regulatory &amp; Compliance</w:t>
      </w:r>
    </w:p>
    <w:p w14:paraId="56F62191" w14:textId="77777777" w:rsidR="00462882" w:rsidRDefault="00000000">
      <w:pPr>
        <w:pStyle w:val="Heading3"/>
      </w:pPr>
      <w:r>
        <w:t>State of Michigan Fire Protection Contractor Licensing</w:t>
      </w:r>
    </w:p>
    <w:p w14:paraId="3B728D78" w14:textId="77777777" w:rsidR="00462882" w:rsidRDefault="00000000">
      <w:pPr>
        <w:spacing w:after="120"/>
      </w:pPr>
      <w:r>
        <w:t>Kevin Masich is the sole holder of the Michigan mechanical contractor license with a fire suppression specialty. This license is required for the Company to operate as a fire sprinkler contractor in the state. No other employee holds this license.</w:t>
      </w:r>
    </w:p>
    <w:p w14:paraId="34AA0D9C" w14:textId="77777777" w:rsidR="00462882" w:rsidRDefault="00000000">
      <w:pPr>
        <w:spacing w:after="120"/>
      </w:pPr>
      <w:r>
        <w:rPr>
          <w:b/>
          <w:bCs/>
          <w:i/>
          <w:iCs/>
          <w:color w:val="B45309"/>
        </w:rPr>
        <w:t xml:space="preserve">[PENDING] </w:t>
      </w:r>
      <w:r>
        <w:rPr>
          <w:i/>
          <w:iCs/>
          <w:color w:val="B45309"/>
        </w:rPr>
        <w:t>Verification of BFS (Bureau of Fire Services) Act 144 certification status is pending.</w:t>
      </w:r>
    </w:p>
    <w:p w14:paraId="7AD8EB6A" w14:textId="77777777" w:rsidR="00462882" w:rsidRDefault="00000000">
      <w:pPr>
        <w:pStyle w:val="Heading3"/>
      </w:pPr>
      <w:r>
        <w:t>NFPA Standards Compliance &amp; Inspection Protocols</w:t>
      </w:r>
    </w:p>
    <w:p w14:paraId="6ECC483A" w14:textId="77777777" w:rsidR="00462882" w:rsidRDefault="00000000">
      <w:pPr>
        <w:spacing w:after="120"/>
      </w:pPr>
      <w:r>
        <w:t>NFPA standards compliance and inspection protocols are managed by Keith Lefebvre based on his personal knowledge and experience. The primary NFPA standards applied in the Company's work are NFPA 13 (installation of sprinkler systems), NFPA 25 (inspection, testing, and maintenance of water-based fire protection systems), and the jurisdictional variants embedded in the Michigan Building Code and the Michigan Bureau of Construction Codes fire suppression permitting framework. The operational workflow by which the Company delivers NFPA-25 inspection services and coordinates AHJ rough-in and final inspections is documented in Section 2.3 under Inspection Operations and Licensing, Permitting &amp; Code Compliance.</w:t>
      </w:r>
    </w:p>
    <w:p w14:paraId="2DFBC98A" w14:textId="77777777" w:rsidR="00462882" w:rsidRDefault="00000000">
      <w:r>
        <w:t>Keith's NFPA and AHJ working knowledge has not been reduced to written procedures, checklists, reference guides, or training materials. The field apprentices who accompany Keith on inspection work perform supporting tasks (drain tests, inspector tests, flow and tamper verification, valve exercising) but do not conduct independent NFPA-25 inspections and have not advanced through NICET certification levels. The Company's ability to deliver NFPA-compliant inspection services and to pass AHJ rough-in and final inspections is therefore concentrated in a single individual in the current state.</w:t>
      </w:r>
    </w:p>
    <w:p w14:paraId="376DEC9F" w14:textId="77777777" w:rsidR="00462882" w:rsidRDefault="00000000">
      <w:pPr>
        <w:pStyle w:val="Heading3"/>
      </w:pPr>
      <w:r>
        <w:t>Local Fire Marshal Relationships &amp; Jurisdictional Requirements</w:t>
      </w:r>
    </w:p>
    <w:p w14:paraId="2F6F7F56" w14:textId="77777777" w:rsidR="00462882" w:rsidRDefault="00000000">
      <w:pPr>
        <w:spacing w:after="120"/>
      </w:pPr>
      <w:r>
        <w:t>With the transition of fire suppression plan review and code inspection authority from county-level AHJs to the Michigan Bureau of Construction Codes, the Company's primary jurisdictional inspector contact for fire suppression scope is Phil Myron, the state inspector covering the Upper Peninsula (see Section 2.3, Inspection Operations and Licensing, Permitting &amp; Code Compliance). County-level fire marshal relationships continue to apply to occupancy, life safety, and non-suppression matters outside the scope of the Bureau of Construction Codes transition. No master register of county fire marshal contacts, jurisdictional variations, or AHJ-specific procedural requirements is maintained; the working knowledge resides with Keith and, on certain accounts, with the owner.</w:t>
      </w:r>
    </w:p>
    <w:p w14:paraId="6374D5AA" w14:textId="77777777" w:rsidR="00462882" w:rsidRDefault="00000000">
      <w:pPr>
        <w:pStyle w:val="Heading3"/>
      </w:pPr>
      <w:r>
        <w:t>OSHA Compliance, Safety Program &amp; Recordkeeping</w:t>
      </w:r>
    </w:p>
    <w:p w14:paraId="1435C948" w14:textId="77777777" w:rsidR="00462882" w:rsidRDefault="00000000">
      <w:pPr>
        <w:spacing w:after="120"/>
      </w:pPr>
      <w:r>
        <w:t xml:space="preserve">As described in Section 2.3, the operational safety program is reactive rather than proactive. There is no standing safety training program, and OSHA 300 logs are prepared when required by customers for project qualification purposes rather than as a standing compliance practice. That said, the Company’s safety outcomes over the period reviewed are clean: the owner reports no reportable workplace injuries or OSHA violations in recent memory, and none were </w:t>
        <w:lastRenderedPageBreak/>
        <w:t>identified during this engagement. The absence of incidents is consistent with the owner’s description of a long-standing clean safety record.</w:t>
      </w:r>
    </w:p>
    <w:p w14:paraId="6E777F8F" w14:textId="77777777" w:rsidR="00462882" w:rsidRDefault="00000000">
      <w:pPr>
        <w:spacing w:after="120"/>
      </w:pPr>
      <w:r>
        <w:t>OSHA recordkeeping retention for the Company is effectively governed by the 30-year OSHA requirement for employee exposure and medical records, which is understood to run 30 years from the date of each employee’s last day of employment. This establishes a long-tail retention obligation that extends well past the planned ownership transition and that currently has no written records retention policy wrapped around it.</w:t>
      </w:r>
    </w:p>
    <w:p w14:paraId="796577D3" w14:textId="77777777" w:rsidR="00462882" w:rsidRDefault="00000000">
      <w:pPr>
        <w:pStyle w:val="Heading3"/>
      </w:pPr>
      <w:r>
        <w:t>ISN / ISNetworld Contractor Prequalification</w:t>
      </w:r>
    </w:p>
    <w:p w14:paraId="44B2C2A0" w14:textId="77777777" w:rsidR="00462882" w:rsidRDefault="00000000">
      <w:pPr>
        <w:spacing w:after="120"/>
      </w:pPr>
      <w:r>
        <w:t>The Company is an active member of ISNetworld (“ISN”), the third-party contractor prequalification and compliance management platform operated by ISN Software Corporation. ISN membership is not voluntary for the Company; it is a contractual requirement imposed by two of its industrial end customers — PotlatchDeltic Corporation and Cleveland-Cliffs — in order for Excel Fire to be qualified to perform work on their sites. The annual ISN membership cost is reported by the owner at approximately $1,500 per year. This cost is treated as a cost of maintaining eligibility on those accounts and is factored into bids for work at those customers.</w:t>
      </w:r>
    </w:p>
    <w:p w14:paraId="18E16066" w14:textId="77777777" w:rsidR="00462882" w:rsidRDefault="00000000">
      <w:pPr>
        <w:spacing w:after="120"/>
      </w:pPr>
      <w:r>
        <w:t>The Company’s ISN obligations include an annual upload of OSHA 300 and 300A summary data reflecting the prior calendar year’s recordable injury experience and total hours worked. Total hours worked for the OSHA 300A submission are derived by pulling payroll data for each period and counting employees, with Kevin’s 2,080 salaried hours added to the union field total. As a calibration point, 2024 reported approximately 8,000 total hours and 2025 reported approximately 14,000 total hours, reflecting the larger field workload in 2025. Betty holds the administrative login for the ISN portal and is the person who performs the annual upload. There is no documented runbook for the ISN submission; the process operates from Betty’s institutional knowledge.</w:t>
      </w:r>
    </w:p>
    <w:p w14:paraId="0F1B67BB" w14:textId="77777777" w:rsidR="00462882" w:rsidRDefault="00000000">
      <w:r>
        <w:t>The annual OSHA reporting process, as observed during this engagement, begins with a manual review of payroll data in QuickBooks. Betty runs a Payroll Summary report for each of the approximately 26 biweekly pay periods in the calendar year, counts the number of employees on payroll for each period, and logs the count. This per-period employee counting is the most time-consuming step in the process. The employee counts across all periods are then summed and divided by the number of pay periods to produce the annual average employee count required on the OSHA 300A summary form. Total hours worked must also be calculated, including both hourly field employees (from timecard data in QuickBooks) and salaried employees (estimated at 2,080 hours for a standard full-time year). The completed OSHA 300, 300A, and supporting worksheet are uploaded to the ISN portal by Betty, who holds administrative access to the Company’s ISN account.</w:t>
      </w:r>
    </w:p>
    <w:p w14:paraId="29672DDA" w14:textId="77777777" w:rsidR="00462882" w:rsidRDefault="00000000">
      <w:pPr>
        <w:pStyle w:val="Heading3"/>
      </w:pPr>
      <w:r>
        <w:t>Customer-Specific Compliance &amp; Training Requirements</w:t>
      </w:r>
    </w:p>
    <w:p w14:paraId="7656D185" w14:textId="77777777" w:rsidR="00462882" w:rsidRDefault="00000000">
      <w:r>
        <w:t>Certain customers impose compliance and training requirements on the Company as a condition of performing work at their facilities. These requirements are managed reactively and on a per-customer basis; there is no centralized compliance calendar, no tracking system for certification expiration dates, and no structured process for ensuring that all required training and reporting obligations are completed on time.</w:t>
      </w:r>
    </w:p>
    <w:p w14:paraId="7BB0C689" w14:textId="77777777" w:rsidR="00462882" w:rsidRDefault="00000000">
      <w:r>
        <w:t xml:space="preserve">Eagle Mine (Cleveland Cliffs) is the most operationally significant example. The mine requires site-specific safety training for any contractor personnel who will be present on mine property. The training program has two tiers: a one-day refresher course and a full three-day course, with the three-day course required periodically. Keith recently completed his recertification. Other field crew members — including Bud (Branden McCormick) and Konner Lefebvre — may need </w:t>
        <w:lastRenderedPageBreak/>
        <w:t>to complete mine safety training before they can be deployed to the mine site. While on mine property, all contractor personnel must be accompanied by mine personnel at all times.</w:t>
      </w:r>
    </w:p>
    <w:p w14:paraId="47BD7346" w14:textId="77777777" w:rsidR="00462882" w:rsidRDefault="00000000">
      <w:r>
        <w:t>The Eagle Mine relationship involves two separate facilities — the mine itself at the Big Bay location and the mill in the Champion/Humboldt area — each of which receives its own purchase orders and has different on-site managers. Mike Zinovsky issues purchase orders for both facilities. Proposals must include the name of the on-site person who requested the work, and on-site personnel must submit formal internal requests to Zinovsky before he can issue a PO. The Company currently operates under a three-year contract with Eagle Mine running through 2027. Eagle Mine is exempt from Michigan sales tax under the metallic minerals extraction severance tax.</w:t>
      </w:r>
    </w:p>
    <w:p w14:paraId="49FC27DC" w14:textId="77777777" w:rsidR="00462882" w:rsidRDefault="00000000">
      <w:r>
        <w:t>PotlatchDeltic and Cleveland Cliffs (Eagle Mine’s parent company) both require ISN membership as a condition of performing work. The Company includes the approximately $1,500 annual ISN membership cost in its quotes and invoices for these customers. Loss of ISN compliance — for example, failure to upload OSHA reporting on time — would directly jeopardize the Company’s ability to perform work for these customers.</w:t>
      </w:r>
    </w:p>
    <w:p w14:paraId="6991FE2F" w14:textId="77777777" w:rsidR="00462882" w:rsidRDefault="00000000">
      <w:r>
        <w:t>Certain projects also require certified payroll reporting. The ore dock project is a recent example: the general contractor initially required weekly certified payroll submissions, which was later relaxed to biweekly after several months of work. Certified payroll is particularly labor-intensive under the current workflow because the Company does not process payroll in-house, requiring manual reconstruction of per-employee, per-project hours data from AT&amp;C’s payroll records and the field crews’ timesheets.</w:t>
      </w:r>
    </w:p>
    <w:p w14:paraId="193BEE97" w14:textId="77777777" w:rsidR="00462882" w:rsidRDefault="00000000">
      <w:pPr>
        <w:pStyle w:val="Heading3"/>
      </w:pPr>
      <w:r>
        <w:t>Michigan Unemployment Insurance Compliance</w:t>
      </w:r>
    </w:p>
    <w:p w14:paraId="2B3CDFEA" w14:textId="77777777" w:rsidR="00462882" w:rsidRDefault="00000000">
      <w:pPr>
        <w:spacing w:after="120"/>
      </w:pPr>
      <w:r>
        <w:t>Excel Fire Protection Co., Inc. was established on July 18, 1988 and holds federal employer identification number 46-0372828. The Company is a long-standing Michigan employer subject to Michigan unemployment insurance reporting under the Michigan Unemployment Insurance Agency (UIA).</w:t>
      </w:r>
    </w:p>
    <w:p w14:paraId="5966CB4E" w14:textId="3790290E" w:rsidR="00462882" w:rsidRDefault="00000000">
      <w:pPr>
        <w:spacing w:after="120"/>
      </w:pPr>
      <w:r>
        <w:t>The Company has not filed a Michigan unemployment insurance report since the onset of the COVID-19 pandemic, and the normal quarterly UIA filing cadence has not been maintained since that time. The proximate cause appears to be a combination of a pandemic-era pause in filings that was never restarted, the state’s transition from the legacy MiWAM interface to the new “MyUI” platform (go-live on or around February 23, 2026), and a MiLogin / MiWAM / MyUI login and account-recovery issue that repeatedly blocked the Company from getting back into its own account to resume filings.</w:t>
      </w:r>
    </w:p>
    <w:p w14:paraId="2258D1A9" w14:textId="66179AE3" w:rsidR="00462882" w:rsidRDefault="00DD3C8D">
      <w:pPr>
        <w:spacing w:after="120"/>
      </w:pPr>
      <w:r>
        <w:t>Access to the Company’s Michigan UIA account has been successfully restored, and the requisite Third Party Administrator (TPA) roles have been assigned to AT&amp;C so that AT&amp;C can assist with the ongoing work of reconstructing and filing the missing periods. Reconstruction of the unfiled periods and re-establishment of the normal quarterly filing cadence remains an open, in-progress task at the date of this report, but the circular MiLogin / MiWAM / MyUI access issue that previously blocked any progress has been resolved, and the Company now has a credentialed external party in a position to work the remediation alongside internal staff.</w:t>
      </w:r>
    </w:p>
    <w:p w14:paraId="446FFB5D" w14:textId="77777777" w:rsidR="00462882" w:rsidRDefault="00000000">
      <w:pPr>
        <w:pStyle w:val="Heading3"/>
      </w:pPr>
      <w:r>
        <w:t>Union Local 669 Successor-Employer &amp; CBA Transfer Considerations</w:t>
      </w:r>
    </w:p>
    <w:p w14:paraId="170AF6C1" w14:textId="77777777" w:rsidR="00462882" w:rsidRDefault="00000000">
      <w:pPr>
        <w:spacing w:after="120"/>
      </w:pPr>
      <w:r>
        <w:t xml:space="preserve">The Company’s field workforce is covered under the United Association Local 669 Collective Bargaining Agreement. As a current-state matter relevant to the planned ownership transition, the following mechanics have been confirmed with the Local 669 business agent: (a) the CBA auto-transfers to a successor employer upon a change of ownership, subject to the successor executing the standard signatory page effective the transfer date; (b) any past benefit-fund, withdrawal-liability, or contribution-period liabilities incurred prior to the transfer date remain with </w:t>
        <w:lastRenderedPageBreak/>
        <w:t>the seller rather than automatically attaching to the buyer; and (c) the Local 669-administered pension fund is currently reported as being funded at 110% or better, which places it in the “green zone” under federal multiemployer pension funding standards and reduces the typical withdrawal liability exposure associated with multiemployer pensions.</w:t>
      </w:r>
    </w:p>
    <w:p w14:paraId="1AA90708" w14:textId="691CBEAA" w:rsidR="00462882" w:rsidRDefault="00000000">
      <w:pPr>
        <w:spacing w:after="120"/>
      </w:pPr>
      <w:r>
        <w:t>Subsequent to the verbal representations described above, a written opinion has been obtained from Fund counsel. By letter dated January 28, 2026, addressed to Justin Miller at Excel Fire Protection, Charles W. Gilligan of O’Donoghue &amp; O’Donoghue LLP — counsel to the National Automatic Sprinkler Industry Pension Fund (“NASI Pension Fund”), the multiemployer pension plan in which Local 669 members participate — addressed the withdrawal-liability concerns raised by Local 669 representatives in connection with the sale of Excel Fire Protection.</w:t>
      </w:r>
    </w:p>
    <w:p w14:paraId="617F8B3B" w14:textId="0ECB7E64" w:rsidR="00462882" w:rsidRDefault="00000000">
      <w:pPr>
        <w:spacing w:after="120"/>
      </w:pPr>
      <w:r>
        <w:t>The letter makes two substantive points relevant to this section. First, the NASI Pension Fund is a pension plan that primarily covers employees in the “building and construction industry” and is therefore subject to the special ERISA rules known as the Building and Construction Industry Exception. Under that exception, an employer does not experience a withdrawal from the Fund unless its contribution obligation permanently ceases AND the employer thereafter continues to perform work of the type for which contributions were previously required, on a non-contributory basis, within five years of the date of withdrawal.</w:t>
      </w:r>
    </w:p>
    <w:p w14:paraId="750D41A7" w14:textId="2FBC74C2" w:rsidR="00462882" w:rsidRDefault="00000000">
      <w:pPr>
        <w:spacing w:after="120"/>
      </w:pPr>
      <w:r>
        <w:t>Second, and more specifically with respect to Excel Fire Protection, the letter states that as of the date of sale of the Company, any withdrawal liability Excel would have incurred falls within what is known as the De Minimis rule under Section 4209 of ERISA, 29 U.S.C. § 1389, as it would be in an amount less than $50,000. The letter further states that if Excel had withdrawn from the Pension Fund on the date prior to the sale, it would not have incurred any withdrawal liability.</w:t>
      </w:r>
    </w:p>
    <w:p w14:paraId="189CA11A" w14:textId="6BD7F351" w:rsidR="00462882" w:rsidRDefault="00000000">
      <w:pPr>
        <w:spacing w:after="120"/>
      </w:pPr>
      <w:r>
        <w:t>The statements in the two preceding paragraphs are documented here as current-state facts drawn directly from the January 28, 2026 letter from NASI Pension Fund counsel. The underlying letter controls over the summary above. No independent withdrawal-liability estimate or actuarial calculation has been commissioned in connection with this engagement, and this section does not constitute legal or tax advice.</w:t>
      </w:r>
    </w:p>
    <w:p w14:paraId="4BDD1878" w14:textId="77777777" w:rsidR="00462882" w:rsidRDefault="00000000">
      <w:pPr>
        <w:pStyle w:val="Heading3"/>
      </w:pPr>
      <w:r>
        <w:t>Environmental Compliance</w:t>
      </w:r>
    </w:p>
    <w:p w14:paraId="7C008C01" w14:textId="77777777" w:rsidR="00462882" w:rsidRDefault="00000000">
      <w:pPr>
        <w:spacing w:after="120"/>
      </w:pPr>
      <w:r>
        <w:t>Environmental compliance requirements are not applicable to the Company’s current operations.</w:t>
      </w:r>
    </w:p>
    <w:p w14:paraId="3C080F74" w14:textId="77777777" w:rsidR="00462882" w:rsidRDefault="00000000">
      <w:pPr>
        <w:pStyle w:val="Heading3"/>
      </w:pPr>
      <w:r>
        <w:t>Resolved Legal Matters — Eastwood Nursing Center</w:t>
      </w:r>
    </w:p>
    <w:p w14:paraId="1C45B02E" w14:textId="77777777" w:rsidR="00462882" w:rsidRDefault="00000000">
      <w:pPr>
        <w:spacing w:after="120"/>
      </w:pPr>
      <w:r>
        <w:t>One known legal matter involving the Company has been resolved through mediation and is documented here for completeness and to establish the current-state record.</w:t>
      </w:r>
    </w:p>
    <w:p w14:paraId="3884A2C9" w14:textId="138215DD" w:rsidR="00462882" w:rsidRDefault="00000000">
      <w:pPr>
        <w:spacing w:after="120"/>
      </w:pPr>
      <w:r>
        <w:t>The matter is captioned Eastwood Nursing Center of Negaunee, Inc. v. Excel Fire Protection Company, Inc., Case No. 25-65242-CK, pending in the State of Michigan 25th Judicial Circuit Court, Marquette County, before the Hon. Andrew G. Griffin. The Company was defended by West Bend Mutual Insurance Company under its general liability policy (brokered through Gauthier Insurance, as described in Section 2.1), subject to a full reservation of rights. West Bend’s coverage counsel identified multiple potential coverage exclusions based on the fraud allegations in the complaint, and defense was provided without waiver of West Bend’s right to deny or contest coverage.</w:t>
      </w:r>
    </w:p>
    <w:p w14:paraId="5365DD33" w14:textId="4E0B0DEA" w:rsidR="00462882" w:rsidRDefault="00000000">
      <w:pPr>
        <w:spacing w:after="120"/>
      </w:pPr>
      <w:r>
        <w:t>The complaint was filed on or about September 29, 2025 and asserts claims for breach of contract, unjust enrichment, fraudulent misrepresentation, and fraudulent concealment. The underlying dispute centers on a 2015 contract under which Excel was engaged to replace the 3-</w:t>
        <w:lastRenderedPageBreak/>
        <w:t>inch and 4-inch mains on the facility’s attic dry sprinkler system for $149,700. The plaintiff alleges that the contracted scope encompassed all attic piping, that Excel certified the work complete and represented the system as operational across multiple annual inspections, and that an independent inspection in October 2024 revealed the work had not been fully performed and the dry main had been capped. The plaintiff claims damages including the cost of remediation by a third-party contractor ($26,013.55), increased insurance premiums resulting from a state regulatory citation, and other consequential damages. Excel’s position, as communicated to defense counsel, is that the 2015 contract was limited to the 3- and 4-inch mains and that the smaller-diameter piping was expressly excluded at the time due to the facility’s funding constraints.</w:t>
      </w:r>
    </w:p>
    <w:p w14:paraId="05E3C1C0" w14:textId="3D85D737" w:rsidR="00462882" w:rsidRDefault="00000000">
      <w:pPr>
        <w:spacing w:after="120"/>
      </w:pPr>
      <w:r>
        <w:t>Mediation was conducted on March 24, 2026 before mediator Thomas L. Cooper with participation from the plaintiff and plaintiff’s counsel, the Company’s defense counsel (Glenn Smith), a West Bend claims representative, and Kevin Masich. The mediator’s MC 280 Mediation Status Report, filed with the court, confirms that the case was settled at mediation and that final documents are to be filed on or before April 24, 2026. A copy of the signed MC 280 is retained in the engagement working files.</w:t>
      </w:r>
    </w:p>
    <w:p w14:paraId="0D8C9C86" w14:textId="529E28EE" w:rsidR="00462882" w:rsidRDefault="00000000">
      <w:pPr>
        <w:spacing w:after="120"/>
      </w:pPr>
      <w:r>
        <w:t>With the matter settled, the earlier working assumption that an escrow against this specific claim might be requested at closing is no longer applicable. No admissions or findings on the merits are made or implied by this summary.</w:t>
      </w:r>
    </w:p>
    <w:p w14:paraId="665D75E0" w14:textId="77777777" w:rsidR="00462882" w:rsidRDefault="00000000">
      <w:pPr>
        <w:pStyle w:val="Heading3"/>
      </w:pPr>
      <w:r>
        <w:t>Other Pending or Threatened Legal &amp; Regulatory Matters</w:t>
      </w:r>
    </w:p>
    <w:p w14:paraId="2A80113B" w14:textId="77777777" w:rsidR="00462882" w:rsidRDefault="00000000">
      <w:pPr>
        <w:spacing w:after="120"/>
      </w:pPr>
      <w:r>
        <w:t>No other pending or threatened legal actions, regulatory actions, violations, or audits have been identified through this engagement, other than the Michigan UIA filing gap documented above.</w:t>
      </w:r>
    </w:p>
    <w:p w14:paraId="0E21CBC5" w14:textId="77777777" w:rsidR="00462882" w:rsidRDefault="00000000">
      <w:pPr>
        <w:pStyle w:val="Heading1"/>
      </w:pPr>
      <w:r>
        <w:t>3. Summary of Current State</w:t>
      </w:r>
    </w:p>
    <w:p w14:paraId="4192F50C" w14:textId="77777777" w:rsidR="00462882" w:rsidRDefault="00000000">
      <w:pPr>
        <w:spacing w:after="120"/>
      </w:pPr>
      <w:r>
        <w:t>The following summarizes the key characteristics of Excel Fire Protection’s current operational state as documented in this assessment.</w:t>
      </w:r>
    </w:p>
    <w:p w14:paraId="3DCF94D7" w14:textId="77777777" w:rsidR="00462882" w:rsidRDefault="00000000">
      <w:pPr>
        <w:pStyle w:val="Heading3"/>
      </w:pPr>
      <w:r>
        <w:t>Documented &amp; Structured Processes</w:t>
      </w:r>
    </w:p>
    <w:p w14:paraId="5F8DE0E2" w14:textId="77777777" w:rsidR="00462882" w:rsidRDefault="00000000">
      <w:pPr>
        <w:pStyle w:val="ListParagraph"/>
        <w:numPr>
          <w:ilvl w:val="0"/>
          <w:numId w:val="2"/>
        </w:numPr>
        <w:spacing w:after="60"/>
      </w:pPr>
      <w:r>
        <w:t>Union employee compensation, benefits, and classification under the Local 669 CBA</w:t>
      </w:r>
    </w:p>
    <w:p w14:paraId="60F923B4" w14:textId="77777777" w:rsidR="00462882" w:rsidRDefault="00000000">
      <w:pPr>
        <w:pStyle w:val="ListParagraph"/>
        <w:numPr>
          <w:ilvl w:val="0"/>
          <w:numId w:val="2"/>
        </w:numPr>
        <w:spacing w:after="60"/>
      </w:pPr>
      <w:r>
        <w:t>Payroll processing workflow through AT&amp;C, including tax withholding and union benefit remittances</w:t>
      </w:r>
    </w:p>
    <w:p w14:paraId="50DB95EB" w14:textId="77777777" w:rsidR="00462882" w:rsidRDefault="00000000">
      <w:pPr>
        <w:pStyle w:val="ListParagraph"/>
        <w:numPr>
          <w:ilvl w:val="0"/>
          <w:numId w:val="2"/>
        </w:numPr>
        <w:spacing w:after="60"/>
      </w:pPr>
      <w:r>
        <w:t>Credit card-based accounts payable process with intentional 30-day float</w:t>
      </w:r>
    </w:p>
    <w:p w14:paraId="131336EF" w14:textId="77777777" w:rsidR="00462882" w:rsidRDefault="00000000">
      <w:pPr>
        <w:pStyle w:val="ListParagraph"/>
        <w:numPr>
          <w:ilvl w:val="0"/>
          <w:numId w:val="2"/>
        </w:numPr>
        <w:spacing w:after="60"/>
      </w:pPr>
      <w:r>
        <w:t>Insurance brokerage through Gauthier Insurance</w:t>
      </w:r>
    </w:p>
    <w:p w14:paraId="632F2B24" w14:textId="77777777" w:rsidR="00462882" w:rsidRDefault="00000000">
      <w:pPr>
        <w:pStyle w:val="ListParagraph"/>
        <w:numPr>
          <w:ilvl w:val="0"/>
          <w:numId w:val="2"/>
        </w:numPr>
        <w:spacing w:after="60"/>
      </w:pPr>
      <w:r>
        <w:t>Standard inspection forms for fire protection system inspections</w:t>
      </w:r>
    </w:p>
    <w:p w14:paraId="2396E663" w14:textId="77777777" w:rsidR="00462882" w:rsidRDefault="00000000">
      <w:pPr>
        <w:pStyle w:val="Heading3"/>
      </w:pPr>
      <w:r>
        <w:t>Informal or Ad Hoc Processes</w:t>
      </w:r>
    </w:p>
    <w:p w14:paraId="6F11236D" w14:textId="77777777" w:rsidR="00462882" w:rsidRDefault="00000000">
      <w:pPr>
        <w:pStyle w:val="ListParagraph"/>
        <w:numPr>
          <w:ilvl w:val="0"/>
          <w:numId w:val="2"/>
        </w:numPr>
        <w:spacing w:after="60"/>
      </w:pPr>
      <w:r>
        <w:t>Accounts receivable follow-up and collections</w:t>
      </w:r>
    </w:p>
    <w:p w14:paraId="7F890707" w14:textId="77777777" w:rsidR="00462882" w:rsidRDefault="00000000">
      <w:pPr>
        <w:pStyle w:val="ListParagraph"/>
        <w:numPr>
          <w:ilvl w:val="0"/>
          <w:numId w:val="2"/>
        </w:numPr>
        <w:spacing w:after="60"/>
      </w:pPr>
      <w:r>
        <w:t>Estimating and bidding (capable practitioners, undocumented methodology)</w:t>
      </w:r>
    </w:p>
    <w:p w14:paraId="46DF901A" w14:textId="77777777" w:rsidR="00462882" w:rsidRDefault="00000000">
      <w:pPr>
        <w:pStyle w:val="ListParagraph"/>
        <w:numPr>
          <w:ilvl w:val="0"/>
          <w:numId w:val="2"/>
        </w:numPr>
        <w:spacing w:after="60"/>
      </w:pPr>
      <w:r>
        <w:t>Proposal preparation (consistent pattern, no template)</w:t>
      </w:r>
    </w:p>
    <w:p w14:paraId="09A81954" w14:textId="77777777" w:rsidR="00462882" w:rsidRDefault="00000000">
      <w:pPr>
        <w:pStyle w:val="ListParagraph"/>
        <w:numPr>
          <w:ilvl w:val="0"/>
          <w:numId w:val="2"/>
        </w:numPr>
        <w:spacing w:after="60"/>
      </w:pPr>
      <w:r>
        <w:t>Project management and job tracking</w:t>
      </w:r>
    </w:p>
    <w:p w14:paraId="10E063DD" w14:textId="77777777" w:rsidR="00462882" w:rsidRDefault="00000000">
      <w:pPr>
        <w:pStyle w:val="ListParagraph"/>
        <w:numPr>
          <w:ilvl w:val="0"/>
          <w:numId w:val="2"/>
        </w:numPr>
        <w:spacing w:after="60"/>
      </w:pPr>
      <w:r>
        <w:t>Daily scheduling and resource allocation</w:t>
      </w:r>
    </w:p>
    <w:p w14:paraId="0B63DF8B" w14:textId="77777777" w:rsidR="00462882" w:rsidRDefault="00000000">
      <w:pPr>
        <w:pStyle w:val="ListParagraph"/>
        <w:numPr>
          <w:ilvl w:val="0"/>
          <w:numId w:val="2"/>
        </w:numPr>
        <w:spacing w:after="60"/>
      </w:pPr>
      <w:r>
        <w:t>Callback and service request management (paper-based physical pile)</w:t>
      </w:r>
    </w:p>
    <w:p w14:paraId="11838B33" w14:textId="77777777" w:rsidR="00462882" w:rsidRDefault="00000000">
      <w:pPr>
        <w:pStyle w:val="ListParagraph"/>
        <w:numPr>
          <w:ilvl w:val="0"/>
          <w:numId w:val="2"/>
        </w:numPr>
        <w:spacing w:after="60"/>
      </w:pPr>
      <w:r>
        <w:t>Licensing, permitting, and code compliance (reactive, per-job)</w:t>
      </w:r>
    </w:p>
    <w:p w14:paraId="7E7FE3BD" w14:textId="77777777" w:rsidR="00462882" w:rsidRDefault="00000000">
      <w:pPr>
        <w:pStyle w:val="ListParagraph"/>
        <w:numPr>
          <w:ilvl w:val="0"/>
          <w:numId w:val="2"/>
        </w:numPr>
        <w:spacing w:after="60"/>
      </w:pPr>
      <w:r>
        <w:lastRenderedPageBreak/>
        <w:t>Vehicle and fleet maintenance</w:t>
      </w:r>
    </w:p>
    <w:p w14:paraId="0B50BD0E" w14:textId="77777777" w:rsidR="00462882" w:rsidRDefault="00000000">
      <w:pPr>
        <w:pStyle w:val="ListParagraph"/>
        <w:numPr>
          <w:ilvl w:val="0"/>
          <w:numId w:val="2"/>
        </w:numPr>
        <w:spacing w:after="60"/>
      </w:pPr>
      <w:r>
        <w:t>OSHA compliance and safety (reactive when customer-required)</w:t>
      </w:r>
    </w:p>
    <w:p w14:paraId="33716B13" w14:textId="77777777" w:rsidR="00462882" w:rsidRDefault="00000000">
      <w:pPr>
        <w:pStyle w:val="Heading3"/>
      </w:pPr>
      <w:r>
        <w:t>Nonexistent Processes</w:t>
      </w:r>
    </w:p>
    <w:p w14:paraId="21257918" w14:textId="77777777" w:rsidR="00462882" w:rsidRDefault="00000000">
      <w:pPr>
        <w:pStyle w:val="ListParagraph"/>
        <w:numPr>
          <w:ilvl w:val="0"/>
          <w:numId w:val="2"/>
        </w:numPr>
        <w:spacing w:after="60"/>
      </w:pPr>
      <w:r>
        <w:t>Budgeting and financial forecasting</w:t>
      </w:r>
    </w:p>
    <w:p w14:paraId="35A3423F" w14:textId="77777777" w:rsidR="00462882" w:rsidRDefault="00000000">
      <w:pPr>
        <w:pStyle w:val="ListParagraph"/>
        <w:numPr>
          <w:ilvl w:val="0"/>
          <w:numId w:val="2"/>
        </w:numPr>
        <w:spacing w:after="60"/>
      </w:pPr>
      <w:r>
        <w:t>Formal CRM system or practices</w:t>
      </w:r>
    </w:p>
    <w:p w14:paraId="53312B06" w14:textId="77777777" w:rsidR="00462882" w:rsidRDefault="00000000">
      <w:pPr>
        <w:pStyle w:val="ListParagraph"/>
        <w:numPr>
          <w:ilvl w:val="0"/>
          <w:numId w:val="2"/>
        </w:numPr>
        <w:spacing w:after="60"/>
      </w:pPr>
      <w:r>
        <w:t>Marketing program or budget</w:t>
      </w:r>
    </w:p>
    <w:p w14:paraId="204C719A" w14:textId="77777777" w:rsidR="00462882" w:rsidRDefault="00000000">
      <w:pPr>
        <w:pStyle w:val="ListParagraph"/>
        <w:numPr>
          <w:ilvl w:val="0"/>
          <w:numId w:val="2"/>
        </w:numPr>
        <w:spacing w:after="60"/>
      </w:pPr>
      <w:r>
        <w:t>QA/QC program (pending verification)</w:t>
      </w:r>
    </w:p>
    <w:p w14:paraId="2FAEF46B" w14:textId="77777777" w:rsidR="00462882" w:rsidRDefault="00000000">
      <w:pPr>
        <w:pStyle w:val="ListParagraph"/>
        <w:numPr>
          <w:ilvl w:val="0"/>
          <w:numId w:val="2"/>
        </w:numPr>
        <w:spacing w:after="60"/>
      </w:pPr>
      <w:r>
        <w:t>Safety training program</w:t>
      </w:r>
    </w:p>
    <w:p w14:paraId="65E36DAF" w14:textId="77777777" w:rsidR="00462882" w:rsidRDefault="00000000">
      <w:pPr>
        <w:pStyle w:val="ListParagraph"/>
        <w:numPr>
          <w:ilvl w:val="0"/>
          <w:numId w:val="2"/>
        </w:numPr>
        <w:spacing w:after="60"/>
      </w:pPr>
      <w:r>
        <w:t>Employee training and certification tracking</w:t>
      </w:r>
    </w:p>
    <w:p w14:paraId="60F3B0FB" w14:textId="77777777" w:rsidR="00462882" w:rsidRDefault="00000000">
      <w:pPr>
        <w:pStyle w:val="ListParagraph"/>
        <w:numPr>
          <w:ilvl w:val="0"/>
          <w:numId w:val="2"/>
        </w:numPr>
        <w:spacing w:after="60"/>
      </w:pPr>
      <w:r>
        <w:t>HR compliance management</w:t>
      </w:r>
    </w:p>
    <w:p w14:paraId="7FD9884A" w14:textId="77777777" w:rsidR="00462882" w:rsidRDefault="00000000">
      <w:pPr>
        <w:pStyle w:val="ListParagraph"/>
        <w:numPr>
          <w:ilvl w:val="0"/>
          <w:numId w:val="2"/>
        </w:numPr>
        <w:spacing w:after="60"/>
      </w:pPr>
      <w:r>
        <w:t>Records retention policy</w:t>
      </w:r>
    </w:p>
    <w:p w14:paraId="574E696E" w14:textId="77777777" w:rsidR="00462882" w:rsidRDefault="00000000">
      <w:pPr>
        <w:pStyle w:val="ListParagraph"/>
        <w:numPr>
          <w:ilvl w:val="0"/>
          <w:numId w:val="2"/>
        </w:numPr>
        <w:spacing w:after="60"/>
      </w:pPr>
      <w:r>
        <w:t>Inventory management</w:t>
      </w:r>
    </w:p>
    <w:p w14:paraId="762F8609" w14:textId="77777777" w:rsidR="00462882" w:rsidRDefault="00000000">
      <w:pPr>
        <w:pStyle w:val="ListParagraph"/>
        <w:numPr>
          <w:ilvl w:val="0"/>
          <w:numId w:val="2"/>
        </w:numPr>
        <w:spacing w:after="60"/>
      </w:pPr>
      <w:r>
        <w:t>Subcontractor qualification and tracking</w:t>
      </w:r>
    </w:p>
    <w:p w14:paraId="183608C0" w14:textId="77777777" w:rsidR="00462882" w:rsidRDefault="00000000">
      <w:pPr>
        <w:pStyle w:val="ListParagraph"/>
        <w:numPr>
          <w:ilvl w:val="0"/>
          <w:numId w:val="2"/>
        </w:numPr>
        <w:spacing w:after="60"/>
      </w:pPr>
      <w:r>
        <w:t>Warranty tracking</w:t>
      </w:r>
    </w:p>
    <w:p w14:paraId="6BFA5C6E" w14:textId="77777777" w:rsidR="00462882" w:rsidRDefault="00000000">
      <w:pPr>
        <w:pStyle w:val="ListParagraph"/>
        <w:numPr>
          <w:ilvl w:val="0"/>
          <w:numId w:val="2"/>
        </w:numPr>
        <w:spacing w:after="60"/>
      </w:pPr>
      <w:r>
        <w:t>Digital document management</w:t>
      </w:r>
    </w:p>
    <w:p w14:paraId="7EB8C804" w14:textId="77777777" w:rsidR="00462882" w:rsidRDefault="00000000">
      <w:pPr>
        <w:pStyle w:val="Heading3"/>
      </w:pPr>
      <w:r>
        <w:t>Key Personnel Dependencies</w:t>
      </w:r>
    </w:p>
    <w:p w14:paraId="11DE3C6A" w14:textId="77777777" w:rsidR="00462882" w:rsidRDefault="00000000">
      <w:pPr>
        <w:pStyle w:val="ListParagraph"/>
        <w:numPr>
          <w:ilvl w:val="0"/>
          <w:numId w:val="2"/>
        </w:numPr>
        <w:spacing w:after="60"/>
      </w:pPr>
      <w:r>
        <w:t>Kevin Masich — Sole holder of the Michigan mechanical contractor license (fire suppression specialty). Primary relationship holder for customers, banking, and business development. Source of undocumented institutional knowledge including estimating methodology.</w:t>
      </w:r>
    </w:p>
    <w:p w14:paraId="15C064D5" w14:textId="77777777" w:rsidR="00462882" w:rsidRDefault="00000000">
      <w:pPr>
        <w:pStyle w:val="ListParagraph"/>
        <w:numPr>
          <w:ilvl w:val="0"/>
          <w:numId w:val="2"/>
        </w:numPr>
        <w:spacing w:after="60"/>
      </w:pPr>
      <w:r>
        <w:t>Keith Lefebvre — Sole individual managing project scheduling, resource allocation, field operations, inspections, and NFPA compliance. De facto project manager for all active work.</w:t>
      </w:r>
    </w:p>
    <w:p w14:paraId="10E90D4F" w14:textId="77777777" w:rsidR="00462882" w:rsidRDefault="00000000">
      <w:pPr>
        <w:pStyle w:val="ListParagraph"/>
        <w:numPr>
          <w:ilvl w:val="0"/>
          <w:numId w:val="2"/>
        </w:numPr>
        <w:spacing w:after="60"/>
      </w:pPr>
      <w:r>
        <w:t>Betty Laufer — Sole individual with full financial access including check signing, credit card payments, deposits, and fund transfers.</w:t>
      </w:r>
    </w:p>
    <w:p w14:paraId="57B03F94" w14:textId="77777777" w:rsidR="00462882" w:rsidRDefault="00000000">
      <w:pPr>
        <w:pStyle w:val="ListParagraph"/>
        <w:numPr>
          <w:ilvl w:val="0"/>
          <w:numId w:val="2"/>
        </w:numPr>
        <w:spacing w:after="60"/>
      </w:pPr>
      <w:r>
        <w:t>Jamie Hooper (AT&amp;C) — Sole bookkeeper managing all QuickBooks entries, payroll processing, and financial record-keeping.</w:t>
      </w:r>
    </w:p>
    <w:p w14:paraId="1F83ED3B" w14:textId="77777777" w:rsidR="00462882" w:rsidRDefault="00462882">
      <w:pPr>
        <w:spacing w:after="80"/>
      </w:pPr>
    </w:p>
    <w:p w14:paraId="2330A975" w14:textId="77777777" w:rsidR="00462882" w:rsidRDefault="00000000">
      <w:pPr>
        <w:spacing w:before="480"/>
        <w:jc w:val="center"/>
      </w:pPr>
      <w:r>
        <w:rPr>
          <w:i/>
          <w:iCs/>
          <w:color w:val="808080"/>
          <w:sz w:val="20"/>
          <w:szCs w:val="20"/>
        </w:rPr>
        <w:t>End of Document</w:t>
      </w:r>
    </w:p>
    <w:sectPr w:rsidR="0046288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ED5C6" w14:textId="77777777" w:rsidR="00B07EF4" w:rsidRDefault="00B07EF4">
      <w:r>
        <w:separator/>
      </w:r>
    </w:p>
  </w:endnote>
  <w:endnote w:type="continuationSeparator" w:id="0">
    <w:p w14:paraId="5EA986C0" w14:textId="77777777" w:rsidR="00B07EF4" w:rsidRDefault="00B07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31FBE" w14:textId="77777777" w:rsidR="00462882" w:rsidRDefault="00000000">
    <w:pPr>
      <w:tabs>
        <w:tab w:val="right" w:pos="9026"/>
      </w:tabs>
    </w:pPr>
    <w:r>
      <w:rPr>
        <w:color w:val="808080"/>
        <w:sz w:val="18"/>
        <w:szCs w:val="18"/>
      </w:rPr>
      <w:t>Confidential</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16091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9ADE8" w14:textId="77777777" w:rsidR="00B07EF4" w:rsidRDefault="00B07EF4">
      <w:r>
        <w:separator/>
      </w:r>
    </w:p>
  </w:footnote>
  <w:footnote w:type="continuationSeparator" w:id="0">
    <w:p w14:paraId="1F0C7D0F" w14:textId="77777777" w:rsidR="00B07EF4" w:rsidRDefault="00B07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2ADC3" w14:textId="77777777" w:rsidR="00462882" w:rsidRDefault="00000000">
    <w:pPr>
      <w:tabs>
        <w:tab w:val="right" w:pos="9026"/>
      </w:tabs>
    </w:pPr>
    <w:r>
      <w:rPr>
        <w:color w:val="808080"/>
        <w:sz w:val="18"/>
        <w:szCs w:val="18"/>
      </w:rPr>
      <w:t>Current-State Process Documentation</w:t>
    </w:r>
    <w:r>
      <w:tab/>
    </w:r>
    <w:r>
      <w:rPr>
        <w:color w:val="808080"/>
        <w:sz w:val="18"/>
        <w:szCs w:val="18"/>
      </w:rPr>
      <w:t>Excel Fire Protection Co.,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2011D"/>
    <w:multiLevelType w:val="hybridMultilevel"/>
    <w:tmpl w:val="C890D012"/>
    <w:lvl w:ilvl="0" w:tplc="01D22B9E">
      <w:start w:val="1"/>
      <w:numFmt w:val="bullet"/>
      <w:lvlText w:val="●"/>
      <w:lvlJc w:val="left"/>
      <w:pPr>
        <w:ind w:left="720" w:hanging="360"/>
      </w:pPr>
    </w:lvl>
    <w:lvl w:ilvl="1" w:tplc="A01E28B0">
      <w:start w:val="1"/>
      <w:numFmt w:val="bullet"/>
      <w:lvlText w:val="○"/>
      <w:lvlJc w:val="left"/>
      <w:pPr>
        <w:ind w:left="1440" w:hanging="360"/>
      </w:pPr>
    </w:lvl>
    <w:lvl w:ilvl="2" w:tplc="46768EC0">
      <w:start w:val="1"/>
      <w:numFmt w:val="bullet"/>
      <w:lvlText w:val="■"/>
      <w:lvlJc w:val="left"/>
      <w:pPr>
        <w:ind w:left="2160" w:hanging="360"/>
      </w:pPr>
    </w:lvl>
    <w:lvl w:ilvl="3" w:tplc="EF4E0B7A">
      <w:start w:val="1"/>
      <w:numFmt w:val="bullet"/>
      <w:lvlText w:val="●"/>
      <w:lvlJc w:val="left"/>
      <w:pPr>
        <w:ind w:left="2880" w:hanging="360"/>
      </w:pPr>
    </w:lvl>
    <w:lvl w:ilvl="4" w:tplc="9CFA9A36">
      <w:start w:val="1"/>
      <w:numFmt w:val="bullet"/>
      <w:lvlText w:val="○"/>
      <w:lvlJc w:val="left"/>
      <w:pPr>
        <w:ind w:left="3600" w:hanging="360"/>
      </w:pPr>
    </w:lvl>
    <w:lvl w:ilvl="5" w:tplc="BA62CAFA">
      <w:start w:val="1"/>
      <w:numFmt w:val="bullet"/>
      <w:lvlText w:val="■"/>
      <w:lvlJc w:val="left"/>
      <w:pPr>
        <w:ind w:left="4320" w:hanging="360"/>
      </w:pPr>
    </w:lvl>
    <w:lvl w:ilvl="6" w:tplc="79540B46">
      <w:start w:val="1"/>
      <w:numFmt w:val="bullet"/>
      <w:lvlText w:val="●"/>
      <w:lvlJc w:val="left"/>
      <w:pPr>
        <w:ind w:left="5040" w:hanging="360"/>
      </w:pPr>
    </w:lvl>
    <w:lvl w:ilvl="7" w:tplc="BE02FF68">
      <w:start w:val="1"/>
      <w:numFmt w:val="bullet"/>
      <w:lvlText w:val="●"/>
      <w:lvlJc w:val="left"/>
      <w:pPr>
        <w:ind w:left="5760" w:hanging="360"/>
      </w:pPr>
    </w:lvl>
    <w:lvl w:ilvl="8" w:tplc="DEBECD26">
      <w:start w:val="1"/>
      <w:numFmt w:val="bullet"/>
      <w:lvlText w:val="●"/>
      <w:lvlJc w:val="left"/>
      <w:pPr>
        <w:ind w:left="6480" w:hanging="360"/>
      </w:pPr>
    </w:lvl>
  </w:abstractNum>
  <w:abstractNum w:abstractNumId="1" w15:restartNumberingAfterBreak="0">
    <w:nsid w:val="4C3437FB"/>
    <w:multiLevelType w:val="hybridMultilevel"/>
    <w:tmpl w:val="9670DBE0"/>
    <w:lvl w:ilvl="0" w:tplc="ABD23EDA">
      <w:start w:val="1"/>
      <w:numFmt w:val="bullet"/>
      <w:lvlText w:val="•"/>
      <w:lvlJc w:val="left"/>
      <w:pPr>
        <w:ind w:left="720" w:hanging="360"/>
      </w:pPr>
    </w:lvl>
    <w:lvl w:ilvl="1" w:tplc="7D629A58">
      <w:numFmt w:val="decimal"/>
      <w:lvlText w:val=""/>
      <w:lvlJc w:val="left"/>
    </w:lvl>
    <w:lvl w:ilvl="2" w:tplc="89BEA6A8">
      <w:numFmt w:val="decimal"/>
      <w:lvlText w:val=""/>
      <w:lvlJc w:val="left"/>
    </w:lvl>
    <w:lvl w:ilvl="3" w:tplc="2220754C">
      <w:numFmt w:val="decimal"/>
      <w:lvlText w:val=""/>
      <w:lvlJc w:val="left"/>
    </w:lvl>
    <w:lvl w:ilvl="4" w:tplc="482668BE">
      <w:numFmt w:val="decimal"/>
      <w:lvlText w:val=""/>
      <w:lvlJc w:val="left"/>
    </w:lvl>
    <w:lvl w:ilvl="5" w:tplc="A5342E1A">
      <w:numFmt w:val="decimal"/>
      <w:lvlText w:val=""/>
      <w:lvlJc w:val="left"/>
    </w:lvl>
    <w:lvl w:ilvl="6" w:tplc="F53C94F2">
      <w:numFmt w:val="decimal"/>
      <w:lvlText w:val=""/>
      <w:lvlJc w:val="left"/>
    </w:lvl>
    <w:lvl w:ilvl="7" w:tplc="893C6EA0">
      <w:numFmt w:val="decimal"/>
      <w:lvlText w:val=""/>
      <w:lvlJc w:val="left"/>
    </w:lvl>
    <w:lvl w:ilvl="8" w:tplc="52D89516">
      <w:numFmt w:val="decimal"/>
      <w:lvlText w:val=""/>
      <w:lvlJc w:val="left"/>
    </w:lvl>
  </w:abstractNum>
  <w:num w:numId="1" w16cid:durableId="816723403">
    <w:abstractNumId w:val="0"/>
    <w:lvlOverride w:ilvl="0">
      <w:startOverride w:val="1"/>
    </w:lvlOverride>
  </w:num>
  <w:num w:numId="2" w16cid:durableId="1920871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882"/>
    <w:rsid w:val="00051D31"/>
    <w:rsid w:val="000B5F50"/>
    <w:rsid w:val="000F4A72"/>
    <w:rsid w:val="0016091F"/>
    <w:rsid w:val="00187C42"/>
    <w:rsid w:val="00195CAB"/>
    <w:rsid w:val="002871C3"/>
    <w:rsid w:val="003B0703"/>
    <w:rsid w:val="003B643C"/>
    <w:rsid w:val="003E0E2C"/>
    <w:rsid w:val="003E7C0E"/>
    <w:rsid w:val="00437645"/>
    <w:rsid w:val="00462882"/>
    <w:rsid w:val="00480FE3"/>
    <w:rsid w:val="00510F6A"/>
    <w:rsid w:val="005B7CD9"/>
    <w:rsid w:val="00616539"/>
    <w:rsid w:val="006C1957"/>
    <w:rsid w:val="007449D7"/>
    <w:rsid w:val="00841559"/>
    <w:rsid w:val="00866FDA"/>
    <w:rsid w:val="00883F00"/>
    <w:rsid w:val="008D4350"/>
    <w:rsid w:val="009667FA"/>
    <w:rsid w:val="009B09E6"/>
    <w:rsid w:val="009C167E"/>
    <w:rsid w:val="00B07EF4"/>
    <w:rsid w:val="00B11F3A"/>
    <w:rsid w:val="00B457BF"/>
    <w:rsid w:val="00C014B7"/>
    <w:rsid w:val="00C67C01"/>
    <w:rsid w:val="00C91D49"/>
    <w:rsid w:val="00CC506A"/>
    <w:rsid w:val="00D951F6"/>
    <w:rsid w:val="00DD3C8D"/>
    <w:rsid w:val="00E065A2"/>
    <w:rsid w:val="00E169C8"/>
    <w:rsid w:val="00F004DF"/>
    <w:rsid w:val="00F9664D"/>
    <w:rsid w:val="00FA2138"/>
    <w:rsid w:val="00FC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57F244"/>
  <w15:docId w15:val="{F524CCC0-33D3-6047-A17F-98C562612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31</Pages>
  <Words>17415</Words>
  <Characters>86732</Characters>
  <Application>Microsoft Office Word</Application>
  <DocSecurity>0</DocSecurity>
  <Lines>1470</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Miller</cp:lastModifiedBy>
  <cp:revision>12</cp:revision>
  <dcterms:created xsi:type="dcterms:W3CDTF">2026-04-09T16:53:00Z</dcterms:created>
  <dcterms:modified xsi:type="dcterms:W3CDTF">2026-05-06T15:44:00Z</dcterms:modified>
</cp:coreProperties>
</file>