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20" w:before="0"/>
        <w:jc w:val="center"/>
      </w:pPr>
      <w:r>
        <w:rPr>
          <w:rFonts w:ascii="Aptos" w:hAnsi="Aptos" w:eastAsia="Aptos"/>
          <w:b/>
          <w:color w:val="1F4E79"/>
          <w:sz w:val="36"/>
        </w:rPr>
        <w:t>Gap Analysis &amp; Risk Assessment</w:t>
      </w:r>
    </w:p>
    <w:p>
      <w:pPr>
        <w:pStyle w:val="Normal"/>
        <w:spacing w:after="40" w:before="0"/>
        <w:jc w:val="center"/>
      </w:pPr>
      <w:r>
        <w:rPr>
          <w:rFonts w:ascii="Aptos" w:hAnsi="Aptos" w:eastAsia="Aptos"/>
          <w:b w:val="0"/>
          <w:color w:val="595959"/>
          <w:sz w:val="22"/>
        </w:rPr>
        <w:t>Operational Assessment &amp; Process Documentation</w:t>
      </w:r>
    </w:p>
    <w:p>
      <w:pPr>
        <w:pStyle w:val="Normal"/>
        <w:spacing w:after="120" w:before="0"/>
        <w:jc w:val="center"/>
      </w:pPr>
      <w:r>
        <w:rPr>
          <w:rFonts w:ascii="Aptos" w:hAnsi="Aptos" w:eastAsia="Aptos"/>
          <w:b/>
          <w:color w:val="1F4E79"/>
          <w:sz w:val="24"/>
        </w:rPr>
        <w:t>Excel Fire Protection Co., Inc.</w:t>
      </w:r>
    </w:p>
    <w:p>
      <w:pPr>
        <w:pStyle w:val="Normal"/>
        <w:spacing w:after="20" w:before="0"/>
        <w:jc w:val="center"/>
      </w:pPr>
      <w:r>
        <w:rPr>
          <w:rFonts w:ascii="Aptos" w:hAnsi="Aptos" w:eastAsia="Aptos"/>
          <w:b w:val="0"/>
          <w:sz w:val="20"/>
        </w:rPr>
        <w:t>Prepared by: Predictive Lines</w:t>
      </w:r>
    </w:p>
    <w:p>
      <w:pPr>
        <w:pStyle w:val="Normal"/>
        <w:spacing w:after="20" w:before="0"/>
        <w:jc w:val="center"/>
      </w:pPr>
      <w:r>
        <w:rPr>
          <w:rFonts w:ascii="Aptos" w:hAnsi="Aptos" w:eastAsia="Aptos"/>
          <w:b w:val="0"/>
          <w:sz w:val="20"/>
        </w:rPr>
        <w:t>Prepared for: Kevin Masich / Excel Fire Protection</w:t>
      </w:r>
    </w:p>
    <w:p>
      <w:pPr>
        <w:pStyle w:val="Normal"/>
        <w:spacing w:after="20" w:before="0"/>
        <w:jc w:val="center"/>
      </w:pPr>
      <w:r>
        <w:rPr>
          <w:rFonts w:ascii="Aptos" w:hAnsi="Aptos" w:eastAsia="Aptos"/>
          <w:b w:val="0"/>
          <w:sz w:val="20"/>
        </w:rPr>
        <w:t>Date: May 2026</w:t>
      </w:r>
    </w:p>
    <w:p>
      <w:pPr>
        <w:pStyle w:val="Normal"/>
        <w:spacing w:after="160" w:before="0"/>
        <w:jc w:val="center"/>
      </w:pPr>
      <w:r>
        <w:rPr>
          <w:rFonts w:ascii="Aptos" w:hAnsi="Aptos" w:eastAsia="Aptos"/>
          <w:b/>
          <w:sz w:val="20"/>
        </w:rPr>
        <w:t>Status: Draft for Kevin review</w:t>
      </w:r>
    </w:p>
    <w:p>
      <w:pPr>
        <w:pStyle w:val="Normal"/>
      </w:pPr>
    </w:p>
    <w:p>
      <w:pPr>
        <w:pStyle w:val="Heading1"/>
      </w:pPr>
      <w:r>
        <w:rPr>
          <w:rFonts w:ascii="Aptos Display" w:hAnsi="Aptos Display" w:eastAsia="Aptos Display"/>
          <w:b/>
          <w:color w:val="1F4E79"/>
          <w:sz w:val="28"/>
        </w:rPr>
        <w:t xml:space="preserve">1. Purpose &amp; Scope</w:t>
      </w:r>
    </w:p>
    <w:p>
      <w:pPr>
        <w:pStyle w:val="Normal"/>
        <w:spacing w:after="120"/>
      </w:pPr>
      <w:r>
        <w:rPr>
          <w:rFonts w:ascii="Aptos" w:hAnsi="Aptos" w:eastAsia="Aptos"/>
          <w:b w:val="0"/>
          <w:sz w:val="20"/>
        </w:rPr>
        <w:t xml:space="preserve">This document is the Gap Analysis &amp; Risk Assessment deliverable contemplated by Section 4 of the Statement of Work dated March 30, 2026. It is the second of the three deliverables under that engagement and is intended to read alongside — not to duplicate — the Current-State Process Documentation delivered separately.</w:t>
      </w:r>
    </w:p>
    <w:p>
      <w:pPr>
        <w:pStyle w:val="Normal"/>
        <w:spacing w:after="120"/>
      </w:pPr>
      <w:r>
        <w:rPr>
          <w:rFonts w:ascii="Aptos" w:hAnsi="Aptos" w:eastAsia="Aptos"/>
          <w:b w:val="0"/>
          <w:sz w:val="20"/>
        </w:rPr>
        <w:t xml:space="preserve">The current-state document describes how Excel Fire Protection operates today, as a matter of fact. This document identifies, across the same six workstreams, the gaps, risks, compliance deficiencies, and key-person dependencies that surface from the current-state findings. Each finding carries an explicit severity, type, time-horizon, and current-state cross-reference tag (defined in Section 2 below) so that prioritization is visible on the face of the document rather than left to the reader to infer.</w:t>
      </w:r>
    </w:p>
    <w:p>
      <w:pPr>
        <w:pStyle w:val="Normal"/>
        <w:spacing w:after="120"/>
      </w:pPr>
      <w:r>
        <w:rPr>
          <w:rFonts w:ascii="Aptos" w:hAnsi="Aptos" w:eastAsia="Aptos"/>
          <w:b w:val="0"/>
          <w:sz w:val="20"/>
        </w:rPr>
        <w:t xml:space="preserve">The Modernization Plan &amp; Roadmap (Deliverable 3) will propose prioritized remediation approaches against the gaps identified here. This document deliberately stops short of prescribing solutions; its role is to identify, classify, and scope the problems.</w:t>
      </w:r>
    </w:p>
    <w:p>
      <w:pPr>
        <w:pStyle w:val="Heading1"/>
      </w:pPr>
      <w:r>
        <w:rPr>
          <w:rFonts w:ascii="Aptos Display" w:hAnsi="Aptos Display" w:eastAsia="Aptos Display"/>
          <w:b/>
          <w:color w:val="1F4E79"/>
          <w:sz w:val="28"/>
        </w:rPr>
        <w:t xml:space="preserve">2. Executive Summary</w:t>
      </w:r>
    </w:p>
    <w:p>
      <w:pPr>
        <w:pStyle w:val="Normal"/>
        <w:spacing w:after="120"/>
      </w:pPr>
      <w:r>
        <w:rPr>
          <w:rFonts w:ascii="Aptos" w:hAnsi="Aptos" w:eastAsia="Aptos"/>
          <w:b w:val="0"/>
          <w:sz w:val="20"/>
        </w:rPr>
        <w:t xml:space="preserve">Twenty-three findings rise to Critical or High severity. They are listed below in a single sortable view, ordered by severity then by current-state section. Critical items are either active legal or regulatory non-compliance, single-event business-interruption exposures, or single-individual key-person dependencies that cannot be backfilled inside the deal timeline. High items are material financial, compliance, or continuity exposures that should be in motion within the first ninety days of new ownership. The full-detail finding text for each entry is in Section 3, in its workstream subsection.</w:t>
      </w:r>
    </w:p>
    <w:p>
      <w:pPr>
        <w:pStyle w:val="Normal"/>
        <w:spacing w:after="120"/>
      </w:pPr>
      <w:r>
        <w:rPr>
          <w:rFonts w:ascii="Aptos" w:hAnsi="Aptos" w:eastAsia="Aptos"/>
          <w:b/>
          <w:bCs/>
          <w:sz w:val="20"/>
        </w:rPr>
        <w:t xml:space="preserve">Severity scale.</w:t>
      </w:r>
      <w:r>
        <w:rPr>
          <w:rFonts w:ascii="Aptos" w:hAnsi="Aptos" w:eastAsia="Aptos"/>
          <w:b w:val="0"/>
          <w:sz w:val="20"/>
        </w:rPr>
        <w:t xml:space="preserve"> </w:t>
      </w:r>
      <w:r>
        <w:rPr>
          <w:rFonts w:ascii="Aptos" w:hAnsi="Aptos" w:eastAsia="Aptos"/>
          <w:b/>
          <w:bCs/>
          <w:sz w:val="20"/>
        </w:rPr>
        <w:t xml:space="preserve">Critical</w:t>
      </w:r>
      <w:r>
        <w:rPr>
          <w:rFonts w:ascii="Aptos" w:hAnsi="Aptos" w:eastAsia="Aptos"/>
          <w:b w:val="0"/>
          <w:sz w:val="20"/>
        </w:rPr>
        <w:t xml:space="preserve"> — active legal or regulatory non-compliance, single-event business interruption, or non-deferrable key-person dependency. </w:t>
      </w:r>
      <w:r>
        <w:rPr>
          <w:rFonts w:ascii="Aptos" w:hAnsi="Aptos" w:eastAsia="Aptos"/>
          <w:b/>
          <w:bCs/>
          <w:sz w:val="20"/>
        </w:rPr>
        <w:t xml:space="preserve">High</w:t>
      </w:r>
      <w:r>
        <w:rPr>
          <w:rFonts w:ascii="Aptos" w:hAnsi="Aptos" w:eastAsia="Aptos"/>
          <w:b w:val="0"/>
          <w:sz w:val="20"/>
        </w:rPr>
        <w:t xml:space="preserve"> — material financial, compliance, or continuity exposure; should be addressed in the first ninety days of new ownership. </w:t>
      </w:r>
      <w:r>
        <w:rPr>
          <w:rFonts w:ascii="Aptos" w:hAnsi="Aptos" w:eastAsia="Aptos"/>
          <w:b/>
          <w:bCs/>
          <w:sz w:val="20"/>
        </w:rPr>
        <w:t xml:space="preserve">Medium</w:t>
      </w:r>
      <w:r>
        <w:rPr>
          <w:rFonts w:ascii="Aptos" w:hAnsi="Aptos" w:eastAsia="Aptos"/>
          <w:b w:val="0"/>
          <w:sz w:val="20"/>
        </w:rPr>
        <w:t xml:space="preserve"> — process discipline, diligence-readability, or moderate risk; should be addressed in the first year. </w:t>
      </w:r>
      <w:r>
        <w:rPr>
          <w:rFonts w:ascii="Aptos" w:hAnsi="Aptos" w:eastAsia="Aptos"/>
          <w:b/>
          <w:bCs/>
          <w:sz w:val="20"/>
        </w:rPr>
        <w:t xml:space="preserve">Low</w:t>
      </w:r>
      <w:r>
        <w:rPr>
          <w:rFonts w:ascii="Aptos" w:hAnsi="Aptos" w:eastAsia="Aptos"/>
          <w:b w:val="0"/>
          <w:sz w:val="20"/>
        </w:rPr>
        <w:t xml:space="preserve"> — polish, hygiene, or longer-horizon items.</w:t>
      </w:r>
    </w:p>
    <w:p>
      <w:pPr>
        <w:pStyle w:val="Normal"/>
        <w:spacing w:after="120"/>
      </w:pPr>
      <w:r>
        <w:rPr>
          <w:rFonts w:ascii="Aptos" w:hAnsi="Aptos" w:eastAsia="Aptos"/>
          <w:b/>
          <w:bCs/>
          <w:sz w:val="20"/>
        </w:rPr>
        <w:t xml:space="preserve">Type.</w:t>
      </w:r>
      <w:r>
        <w:rPr>
          <w:rFonts w:ascii="Aptos" w:hAnsi="Aptos" w:eastAsia="Aptos"/>
          <w:b w:val="0"/>
          <w:sz w:val="20"/>
        </w:rPr>
        <w:t xml:space="preserve"> </w:t>
      </w:r>
      <w:r>
        <w:rPr>
          <w:rFonts w:ascii="Aptos" w:hAnsi="Aptos" w:eastAsia="Aptos"/>
          <w:b/>
          <w:bCs/>
          <w:sz w:val="20"/>
        </w:rPr>
        <w:t xml:space="preserve">Legal</w:t>
      </w:r>
      <w:r>
        <w:rPr>
          <w:rFonts w:ascii="Aptos" w:hAnsi="Aptos" w:eastAsia="Aptos"/>
          <w:b w:val="0"/>
          <w:sz w:val="20"/>
        </w:rPr>
        <w:t xml:space="preserve"> — below the floor set by federal or state law (IRCA, FLSA, OSHA recordkeeping, IRS withholding). </w:t>
      </w:r>
      <w:r>
        <w:rPr>
          <w:rFonts w:ascii="Aptos" w:hAnsi="Aptos" w:eastAsia="Aptos"/>
          <w:b/>
          <w:bCs/>
          <w:sz w:val="20"/>
        </w:rPr>
        <w:t xml:space="preserve">Regulatory</w:t>
      </w:r>
      <w:r>
        <w:rPr>
          <w:rFonts w:ascii="Aptos" w:hAnsi="Aptos" w:eastAsia="Aptos"/>
          <w:b w:val="0"/>
          <w:sz w:val="20"/>
        </w:rPr>
        <w:t xml:space="preserve"> — industry-specific regulatory or qualified-vendor obligations (NFPA, AHJ, MIOSHA, ISN, customer-specific). </w:t>
      </w:r>
      <w:r>
        <w:rPr>
          <w:rFonts w:ascii="Aptos" w:hAnsi="Aptos" w:eastAsia="Aptos"/>
          <w:b/>
          <w:bCs/>
          <w:sz w:val="20"/>
        </w:rPr>
        <w:t xml:space="preserve">Internal-Controls</w:t>
      </w:r>
      <w:r>
        <w:rPr>
          <w:rFonts w:ascii="Aptos" w:hAnsi="Aptos" w:eastAsia="Aptos"/>
          <w:b w:val="0"/>
          <w:sz w:val="20"/>
        </w:rPr>
        <w:t xml:space="preserve"> — financial control environment, segregation of duties, fraud-resistance. </w:t>
      </w:r>
      <w:r>
        <w:rPr>
          <w:rFonts w:ascii="Aptos" w:hAnsi="Aptos" w:eastAsia="Aptos"/>
          <w:b/>
          <w:bCs/>
          <w:sz w:val="20"/>
        </w:rPr>
        <w:t xml:space="preserve">Operational</w:t>
      </w:r>
      <w:r>
        <w:rPr>
          <w:rFonts w:ascii="Aptos" w:hAnsi="Aptos" w:eastAsia="Aptos"/>
          <w:b w:val="0"/>
          <w:sz w:val="20"/>
        </w:rPr>
        <w:t xml:space="preserve"> — process discipline, tooling, continuity, data quality. </w:t>
      </w:r>
      <w:r>
        <w:rPr>
          <w:rFonts w:ascii="Aptos" w:hAnsi="Aptos" w:eastAsia="Aptos"/>
          <w:b/>
          <w:bCs/>
          <w:sz w:val="20"/>
        </w:rPr>
        <w:t xml:space="preserve">Strategic</w:t>
      </w:r>
      <w:r>
        <w:rPr>
          <w:rFonts w:ascii="Aptos" w:hAnsi="Aptos" w:eastAsia="Aptos"/>
          <w:b w:val="0"/>
          <w:sz w:val="20"/>
        </w:rPr>
        <w:t xml:space="preserve"> — market-position, growth-capacity, or product-line decisions. </w:t>
      </w:r>
      <w:r>
        <w:rPr>
          <w:rFonts w:ascii="Aptos" w:hAnsi="Aptos" w:eastAsia="Aptos"/>
          <w:b/>
          <w:bCs/>
          <w:sz w:val="20"/>
        </w:rPr>
        <w:t xml:space="preserve">Key-Person</w:t>
      </w:r>
      <w:r>
        <w:rPr>
          <w:rFonts w:ascii="Aptos" w:hAnsi="Aptos" w:eastAsia="Aptos"/>
          <w:b w:val="0"/>
          <w:sz w:val="20"/>
        </w:rPr>
        <w:t xml:space="preserve"> — concentration of knowledge or authority in a single individual.</w:t>
      </w:r>
    </w:p>
    <w:p>
      <w:pPr>
        <w:pStyle w:val="Normal"/>
        <w:spacing w:after="120"/>
      </w:pPr>
      <w:r>
        <w:rPr>
          <w:rFonts w:ascii="Aptos" w:hAnsi="Aptos" w:eastAsia="Aptos"/>
          <w:b/>
          <w:bCs/>
          <w:sz w:val="20"/>
        </w:rPr>
        <w:t xml:space="preserve">Time horizon.</w:t>
      </w:r>
      <w:r>
        <w:rPr>
          <w:rFonts w:ascii="Aptos" w:hAnsi="Aptos" w:eastAsia="Aptos"/>
          <w:b w:val="0"/>
          <w:sz w:val="20"/>
        </w:rPr>
        <w:t xml:space="preserve"> </w:t>
      </w:r>
      <w:r>
        <w:rPr>
          <w:rFonts w:ascii="Aptos" w:hAnsi="Aptos" w:eastAsia="Aptos"/>
          <w:b/>
          <w:bCs/>
          <w:sz w:val="20"/>
        </w:rPr>
        <w:t xml:space="preserve">Pre-close</w:t>
      </w:r>
      <w:r>
        <w:rPr>
          <w:rFonts w:ascii="Aptos" w:hAnsi="Aptos" w:eastAsia="Aptos"/>
          <w:b w:val="0"/>
          <w:sz w:val="20"/>
        </w:rPr>
        <w:t xml:space="preserve"> — should be visible-state before transaction close. </w:t>
      </w:r>
      <w:r>
        <w:rPr>
          <w:rFonts w:ascii="Aptos" w:hAnsi="Aptos" w:eastAsia="Aptos"/>
          <w:b/>
          <w:bCs/>
          <w:sz w:val="20"/>
        </w:rPr>
        <w:t xml:space="preserve">0–90 days</w:t>
      </w:r>
      <w:r>
        <w:rPr>
          <w:rFonts w:ascii="Aptos" w:hAnsi="Aptos" w:eastAsia="Aptos"/>
          <w:b w:val="0"/>
          <w:sz w:val="20"/>
        </w:rPr>
        <w:t xml:space="preserve"> — first ninety days of new ownership. </w:t>
      </w:r>
      <w:r>
        <w:rPr>
          <w:rFonts w:ascii="Aptos" w:hAnsi="Aptos" w:eastAsia="Aptos"/>
          <w:b/>
          <w:bCs/>
          <w:sz w:val="20"/>
        </w:rPr>
        <w:t xml:space="preserve">Year 1</w:t>
      </w:r>
      <w:r>
        <w:rPr>
          <w:rFonts w:ascii="Aptos" w:hAnsi="Aptos" w:eastAsia="Aptos"/>
          <w:b w:val="0"/>
          <w:sz w:val="20"/>
        </w:rPr>
        <w:t xml:space="preserve"> — first operating year. </w:t>
      </w:r>
      <w:r>
        <w:rPr>
          <w:rFonts w:ascii="Aptos" w:hAnsi="Aptos" w:eastAsia="Aptos"/>
          <w:b/>
          <w:bCs/>
          <w:sz w:val="20"/>
        </w:rPr>
        <w:t xml:space="preserve">Strategic</w:t>
      </w:r>
      <w:r>
        <w:rPr>
          <w:rFonts w:ascii="Aptos" w:hAnsi="Aptos" w:eastAsia="Aptos"/>
          <w:b w:val="0"/>
          <w:sz w:val="20"/>
        </w:rPr>
        <w:t xml:space="preserve"> — multi-year and dependent on a deliberate decision the Company has not yet made.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50"/>
        <w:gridCol w:w="1000"/>
        <w:gridCol w:w="1300"/>
        <w:gridCol w:w="1100"/>
        <w:gridCol w:w="1100"/>
        <w:gridCol w:w="3510"/>
        <w:gridCol w:w="1000"/>
      </w:tblGrid>
      <w:tr>
        <w:trPr>
          <w:tblHeader/>
        </w:trPr>
        <w:tc>
          <w:tcPr>
            <w:tcW w:w="35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w:t>
            </w:r>
          </w:p>
        </w:tc>
        <w:tc>
          <w:tcPr>
            <w:tcW w:w="100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Severity</w:t>
            </w:r>
          </w:p>
        </w:tc>
        <w:tc>
          <w:tcPr>
            <w:tcW w:w="130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Type</w:t>
            </w:r>
          </w:p>
        </w:tc>
        <w:tc>
          <w:tcPr>
            <w:tcW w:w="110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Horizon</w:t>
            </w:r>
          </w:p>
        </w:tc>
        <w:tc>
          <w:tcPr>
            <w:tcW w:w="110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Status</w:t>
            </w:r>
          </w:p>
        </w:tc>
        <w:tc>
          <w:tcPr>
            <w:tcW w:w="351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Finding</w:t>
            </w:r>
          </w:p>
        </w:tc>
        <w:tc>
          <w:tcPr>
            <w:tcW w:w="100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CSP §</w:t>
            </w:r>
          </w:p>
        </w:tc>
      </w:tr>
      <w:tr>
        <w:tc>
          <w:tcPr>
            <w:tcW w:w="350" w:type="dxa"/>
            <w:tcMar>
              <w:top w:w="60" w:type="dxa"/>
              <w:left w:w="80" w:type="dxa"/>
              <w:bottom w:w="60" w:type="dxa"/>
              <w:right w:w="80" w:type="dxa"/>
            </w:tcMar>
            <w:vAlign w:val="top"/>
          </w:tcPr>
          <w:p>
            <w:pPr>
              <w:spacing w:after="40"/>
            </w:pPr>
            <w:r>
              <w:rPr>
                <w:sz w:val="18"/>
                <w:szCs w:val="18"/>
              </w:rPr>
              <w:t xml:space="preserve">1</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Internal-Controls</w:t>
            </w:r>
          </w:p>
        </w:tc>
        <w:tc>
          <w:tcPr>
            <w:tcW w:w="1100" w:type="dxa"/>
            <w:tcMar>
              <w:top w:w="60" w:type="dxa"/>
              <w:left w:w="80" w:type="dxa"/>
              <w:bottom w:w="60" w:type="dxa"/>
              <w:right w:w="80" w:type="dxa"/>
            </w:tcMar>
            <w:vAlign w:val="top"/>
          </w:tcPr>
          <w:p>
            <w:pPr>
              <w:spacing w:after="40"/>
            </w:pPr>
            <w:r>
              <w:rPr>
                <w:sz w:val="18"/>
                <w:szCs w:val="18"/>
              </w:rPr>
              <w:t xml:space="preserve">Pre-close</w:t>
            </w:r>
          </w:p>
        </w:tc>
        <w:tc>
          <w:tcPr>
            <w:tcW w:w="1100" w:type="dxa"/>
            <w:tcMar>
              <w:top w:w="60" w:type="dxa"/>
              <w:left w:w="80" w:type="dxa"/>
              <w:bottom w:w="60" w:type="dxa"/>
              <w:right w:w="80" w:type="dxa"/>
            </w:tcMar>
            <w:vAlign w:val="top"/>
          </w:tcPr>
          <w:p>
            <w:pPr>
              <w:spacing w:after="40"/>
            </w:pPr>
            <w:r>
              <w:rPr>
                <w:sz w:val="18"/>
                <w:szCs w:val="18"/>
              </w:rPr>
              <w:t xml:space="preserve">Deal Mechanics</w:t>
            </w:r>
          </w:p>
        </w:tc>
        <w:tc>
          <w:tcPr>
            <w:tcW w:w="3510" w:type="dxa"/>
            <w:tcMar>
              <w:top w:w="60" w:type="dxa"/>
              <w:left w:w="80" w:type="dxa"/>
              <w:bottom w:w="60" w:type="dxa"/>
              <w:right w:w="80" w:type="dxa"/>
            </w:tcMar>
            <w:vAlign w:val="top"/>
          </w:tcPr>
          <w:p>
            <w:pPr>
              <w:spacing w:after="40"/>
            </w:pPr>
            <w:r>
              <w:rPr>
                <w:sz w:val="18"/>
                <w:szCs w:val="18"/>
              </w:rPr>
              <w:t xml:space="preserve">Banking signature-stamp practice; Kevin sole signature card holder; no compensating dual-control</w:t>
            </w:r>
          </w:p>
        </w:tc>
        <w:tc>
          <w:tcPr>
            <w:tcW w:w="1000" w:type="dxa"/>
            <w:tcMar>
              <w:top w:w="60" w:type="dxa"/>
              <w:left w:w="80" w:type="dxa"/>
              <w:bottom w:w="60" w:type="dxa"/>
              <w:right w:w="80" w:type="dxa"/>
            </w:tcMar>
            <w:vAlign w:val="top"/>
          </w:tcPr>
          <w:p>
            <w:pPr>
              <w:spacing w:after="40"/>
            </w:pPr>
            <w:r>
              <w:rPr>
                <w:sz w:val="18"/>
                <w:szCs w:val="18"/>
              </w:rPr>
              <w:t xml:space="preserve">2.1</w:t>
            </w:r>
          </w:p>
        </w:tc>
      </w:tr>
      <w:tr>
        <w:tc>
          <w:tcPr>
            <w:tcW w:w="350" w:type="dxa"/>
            <w:tcMar>
              <w:top w:w="60" w:type="dxa"/>
              <w:left w:w="80" w:type="dxa"/>
              <w:bottom w:w="60" w:type="dxa"/>
              <w:right w:w="80" w:type="dxa"/>
            </w:tcMar>
            <w:vAlign w:val="top"/>
          </w:tcPr>
          <w:p>
            <w:pPr>
              <w:spacing w:after="40"/>
            </w:pPr>
            <w:r>
              <w:rPr>
                <w:sz w:val="18"/>
                <w:szCs w:val="18"/>
              </w:rPr>
              <w:t xml:space="preserve">2</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Key-Person</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Sequenced</w:t>
            </w:r>
          </w:p>
        </w:tc>
        <w:tc>
          <w:tcPr>
            <w:tcW w:w="3510" w:type="dxa"/>
            <w:tcMar>
              <w:top w:w="60" w:type="dxa"/>
              <w:left w:w="80" w:type="dxa"/>
              <w:bottom w:w="60" w:type="dxa"/>
              <w:right w:w="80" w:type="dxa"/>
            </w:tcMar>
            <w:vAlign w:val="top"/>
          </w:tcPr>
          <w:p>
            <w:pPr>
              <w:spacing w:after="40"/>
            </w:pPr>
            <w:r>
              <w:rPr>
                <w:sz w:val="18"/>
                <w:szCs w:val="18"/>
              </w:rPr>
              <w:t xml:space="preserve">Inspection delivery concentration — Keith is sole NFPA-25 inspector</w:t>
            </w:r>
          </w:p>
        </w:tc>
        <w:tc>
          <w:tcPr>
            <w:tcW w:w="1000" w:type="dxa"/>
            <w:tcMar>
              <w:top w:w="60" w:type="dxa"/>
              <w:left w:w="80" w:type="dxa"/>
              <w:bottom w:w="60" w:type="dxa"/>
              <w:right w:w="80" w:type="dxa"/>
            </w:tcMar>
            <w:vAlign w:val="top"/>
          </w:tcPr>
          <w:p>
            <w:pPr>
              <w:spacing w:after="40"/>
            </w:pPr>
            <w:r>
              <w:rPr>
                <w:sz w:val="18"/>
                <w:szCs w:val="18"/>
              </w:rPr>
              <w:t xml:space="preserve">2.3</w:t>
            </w:r>
          </w:p>
        </w:tc>
      </w:tr>
      <w:tr>
        <w:tc>
          <w:tcPr>
            <w:tcW w:w="350" w:type="dxa"/>
            <w:tcMar>
              <w:top w:w="60" w:type="dxa"/>
              <w:left w:w="80" w:type="dxa"/>
              <w:bottom w:w="60" w:type="dxa"/>
              <w:right w:w="80" w:type="dxa"/>
            </w:tcMar>
            <w:vAlign w:val="top"/>
          </w:tcPr>
          <w:p>
            <w:pPr>
              <w:spacing w:after="40"/>
            </w:pPr>
            <w:r>
              <w:rPr>
                <w:sz w:val="18"/>
                <w:szCs w:val="18"/>
              </w:rPr>
              <w:t xml:space="preserve">3</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Key-Person</w:t>
            </w:r>
          </w:p>
        </w:tc>
        <w:tc>
          <w:tcPr>
            <w:tcW w:w="1100" w:type="dxa"/>
            <w:tcMar>
              <w:top w:w="60" w:type="dxa"/>
              <w:left w:w="80" w:type="dxa"/>
              <w:bottom w:w="60" w:type="dxa"/>
              <w:right w:w="80" w:type="dxa"/>
            </w:tcMar>
            <w:vAlign w:val="top"/>
          </w:tcPr>
          <w:p>
            <w:pPr>
              <w:spacing w:after="40"/>
            </w:pPr>
            <w:r>
              <w:rPr>
                <w:sz w:val="18"/>
                <w:szCs w:val="18"/>
              </w:rPr>
              <w:t xml:space="preserve">Pre-close</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Office succession — Betty mid-May 2026 retirement</w:t>
            </w:r>
          </w:p>
        </w:tc>
        <w:tc>
          <w:tcPr>
            <w:tcW w:w="1000" w:type="dxa"/>
            <w:tcMar>
              <w:top w:w="60" w:type="dxa"/>
              <w:left w:w="80" w:type="dxa"/>
              <w:bottom w:w="60" w:type="dxa"/>
              <w:right w:w="80" w:type="dxa"/>
            </w:tcMar>
            <w:vAlign w:val="top"/>
          </w:tcPr>
          <w:p>
            <w:pPr>
              <w:spacing w:after="40"/>
            </w:pPr>
            <w:r>
              <w:rPr>
                <w:sz w:val="18"/>
                <w:szCs w:val="18"/>
              </w:rPr>
              <w:t xml:space="preserve">2.4</w:t>
            </w:r>
          </w:p>
        </w:tc>
      </w:tr>
      <w:tr>
        <w:tc>
          <w:tcPr>
            <w:tcW w:w="350" w:type="dxa"/>
            <w:tcMar>
              <w:top w:w="60" w:type="dxa"/>
              <w:left w:w="80" w:type="dxa"/>
              <w:bottom w:w="60" w:type="dxa"/>
              <w:right w:w="80" w:type="dxa"/>
            </w:tcMar>
            <w:vAlign w:val="top"/>
          </w:tcPr>
          <w:p>
            <w:pPr>
              <w:spacing w:after="40"/>
            </w:pPr>
            <w:r>
              <w:rPr>
                <w:sz w:val="18"/>
                <w:szCs w:val="18"/>
              </w:rPr>
              <w:t xml:space="preserve">4</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Legal</w:t>
            </w:r>
          </w:p>
        </w:tc>
        <w:tc>
          <w:tcPr>
            <w:tcW w:w="1100" w:type="dxa"/>
            <w:tcMar>
              <w:top w:w="60" w:type="dxa"/>
              <w:left w:w="80" w:type="dxa"/>
              <w:bottom w:w="60" w:type="dxa"/>
              <w:right w:w="80" w:type="dxa"/>
            </w:tcMar>
            <w:vAlign w:val="top"/>
          </w:tcPr>
          <w:p>
            <w:pPr>
              <w:spacing w:after="40"/>
            </w:pPr>
            <w:r>
              <w:rPr>
                <w:sz w:val="18"/>
                <w:szCs w:val="18"/>
              </w:rPr>
              <w:t xml:space="preserve">Pre-close</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Missing federal &amp; state new-hire forms (Form I-9, W-4, MI-W4) for current employees — IRCA exposure</w:t>
            </w:r>
          </w:p>
        </w:tc>
        <w:tc>
          <w:tcPr>
            <w:tcW w:w="1000" w:type="dxa"/>
            <w:tcMar>
              <w:top w:w="60" w:type="dxa"/>
              <w:left w:w="80" w:type="dxa"/>
              <w:bottom w:w="60" w:type="dxa"/>
              <w:right w:w="80" w:type="dxa"/>
            </w:tcMar>
            <w:vAlign w:val="top"/>
          </w:tcPr>
          <w:p>
            <w:pPr>
              <w:spacing w:after="40"/>
            </w:pPr>
            <w:r>
              <w:rPr>
                <w:sz w:val="18"/>
                <w:szCs w:val="18"/>
              </w:rPr>
              <w:t xml:space="preserve">2.4</w:t>
            </w:r>
          </w:p>
        </w:tc>
      </w:tr>
      <w:tr>
        <w:tc>
          <w:tcPr>
            <w:tcW w:w="350" w:type="dxa"/>
            <w:tcMar>
              <w:top w:w="60" w:type="dxa"/>
              <w:left w:w="80" w:type="dxa"/>
              <w:bottom w:w="60" w:type="dxa"/>
              <w:right w:w="80" w:type="dxa"/>
            </w:tcMar>
            <w:vAlign w:val="top"/>
          </w:tcPr>
          <w:p>
            <w:pPr>
              <w:spacing w:after="40"/>
            </w:pPr>
            <w:r>
              <w:rPr>
                <w:sz w:val="18"/>
                <w:szCs w:val="18"/>
              </w:rPr>
              <w:t xml:space="preserve">5</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Key-Person</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Field leadership succession — Keith retirement signal; sole field lead/PM/inspector</w:t>
            </w:r>
          </w:p>
        </w:tc>
        <w:tc>
          <w:tcPr>
            <w:tcW w:w="1000" w:type="dxa"/>
            <w:tcMar>
              <w:top w:w="60" w:type="dxa"/>
              <w:left w:w="80" w:type="dxa"/>
              <w:bottom w:w="60" w:type="dxa"/>
              <w:right w:w="80" w:type="dxa"/>
            </w:tcMar>
            <w:vAlign w:val="top"/>
          </w:tcPr>
          <w:p>
            <w:pPr>
              <w:spacing w:after="40"/>
            </w:pPr>
            <w:r>
              <w:rPr>
                <w:sz w:val="18"/>
                <w:szCs w:val="18"/>
              </w:rPr>
              <w:t xml:space="preserve">2.4 / 2.5</w:t>
            </w:r>
          </w:p>
        </w:tc>
      </w:tr>
      <w:tr>
        <w:tc>
          <w:tcPr>
            <w:tcW w:w="350" w:type="dxa"/>
            <w:tcMar>
              <w:top w:w="60" w:type="dxa"/>
              <w:left w:w="80" w:type="dxa"/>
              <w:bottom w:w="60" w:type="dxa"/>
              <w:right w:w="80" w:type="dxa"/>
            </w:tcMar>
            <w:vAlign w:val="top"/>
          </w:tcPr>
          <w:p>
            <w:pPr>
              <w:spacing w:after="40"/>
            </w:pPr>
            <w:r>
              <w:rPr>
                <w:sz w:val="18"/>
                <w:szCs w:val="18"/>
              </w:rPr>
              <w:t xml:space="preserve">6</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Key-Person</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Undocumented owner knowledge — estimating rates, customer relationships, pricing</w:t>
            </w:r>
          </w:p>
        </w:tc>
        <w:tc>
          <w:tcPr>
            <w:tcW w:w="1000" w:type="dxa"/>
            <w:tcMar>
              <w:top w:w="60" w:type="dxa"/>
              <w:left w:w="80" w:type="dxa"/>
              <w:bottom w:w="60" w:type="dxa"/>
              <w:right w:w="80" w:type="dxa"/>
            </w:tcMar>
            <w:vAlign w:val="top"/>
          </w:tcPr>
          <w:p>
            <w:pPr>
              <w:spacing w:after="40"/>
            </w:pPr>
            <w:r>
              <w:rPr>
                <w:sz w:val="18"/>
                <w:szCs w:val="18"/>
              </w:rPr>
              <w:t xml:space="preserve">2.5</w:t>
            </w:r>
          </w:p>
        </w:tc>
      </w:tr>
      <w:tr>
        <w:tc>
          <w:tcPr>
            <w:tcW w:w="350" w:type="dxa"/>
            <w:tcMar>
              <w:top w:w="60" w:type="dxa"/>
              <w:left w:w="80" w:type="dxa"/>
              <w:bottom w:w="60" w:type="dxa"/>
              <w:right w:w="80" w:type="dxa"/>
            </w:tcMar>
            <w:vAlign w:val="top"/>
          </w:tcPr>
          <w:p>
            <w:pPr>
              <w:spacing w:after="40"/>
            </w:pPr>
            <w:r>
              <w:rPr>
                <w:sz w:val="18"/>
                <w:szCs w:val="18"/>
              </w:rPr>
              <w:t xml:space="preserve">7</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Regulatory</w:t>
            </w:r>
          </w:p>
        </w:tc>
        <w:tc>
          <w:tcPr>
            <w:tcW w:w="1100" w:type="dxa"/>
            <w:tcMar>
              <w:top w:w="60" w:type="dxa"/>
              <w:left w:w="80" w:type="dxa"/>
              <w:bottom w:w="60" w:type="dxa"/>
              <w:right w:w="80" w:type="dxa"/>
            </w:tcMar>
            <w:vAlign w:val="top"/>
          </w:tcPr>
          <w:p>
            <w:pPr>
              <w:spacing w:after="40"/>
            </w:pPr>
            <w:r>
              <w:rPr>
                <w:sz w:val="18"/>
                <w:szCs w:val="18"/>
              </w:rPr>
              <w:t xml:space="preserve">Pre-close</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Michigan UIA quarterly filing failure since onset of COVID-19 pandemic</w:t>
            </w:r>
          </w:p>
        </w:tc>
        <w:tc>
          <w:tcPr>
            <w:tcW w:w="1000" w:type="dxa"/>
            <w:tcMar>
              <w:top w:w="60" w:type="dxa"/>
              <w:left w:w="80" w:type="dxa"/>
              <w:bottom w:w="60" w:type="dxa"/>
              <w:right w:w="80" w:type="dxa"/>
            </w:tcMar>
            <w:vAlign w:val="top"/>
          </w:tcPr>
          <w:p>
            <w:pPr>
              <w:spacing w:after="40"/>
            </w:pPr>
            <w:r>
              <w:rPr>
                <w:sz w:val="18"/>
                <w:szCs w:val="18"/>
              </w:rPr>
              <w:t xml:space="preserve">2.6</w:t>
            </w:r>
          </w:p>
        </w:tc>
      </w:tr>
      <w:tr>
        <w:tc>
          <w:tcPr>
            <w:tcW w:w="350" w:type="dxa"/>
            <w:tcMar>
              <w:top w:w="60" w:type="dxa"/>
              <w:left w:w="80" w:type="dxa"/>
              <w:bottom w:w="60" w:type="dxa"/>
              <w:right w:w="80" w:type="dxa"/>
            </w:tcMar>
            <w:vAlign w:val="top"/>
          </w:tcPr>
          <w:p>
            <w:pPr>
              <w:spacing w:after="40"/>
            </w:pPr>
            <w:r>
              <w:rPr>
                <w:sz w:val="18"/>
                <w:szCs w:val="18"/>
              </w:rPr>
              <w:t xml:space="preserve">8</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Regulatory / Key-Person</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NFPA 13/25 and Michigan BCC procedural knowledge concentrated in Keith; no written procedures</w:t>
            </w:r>
          </w:p>
        </w:tc>
        <w:tc>
          <w:tcPr>
            <w:tcW w:w="1000" w:type="dxa"/>
            <w:tcMar>
              <w:top w:w="60" w:type="dxa"/>
              <w:left w:w="80" w:type="dxa"/>
              <w:bottom w:w="60" w:type="dxa"/>
              <w:right w:w="80" w:type="dxa"/>
            </w:tcMar>
            <w:vAlign w:val="top"/>
          </w:tcPr>
          <w:p>
            <w:pPr>
              <w:spacing w:after="40"/>
            </w:pPr>
            <w:r>
              <w:rPr>
                <w:sz w:val="18"/>
                <w:szCs w:val="18"/>
              </w:rPr>
              <w:t xml:space="preserve">2.6</w:t>
            </w:r>
          </w:p>
        </w:tc>
      </w:tr>
      <w:tr>
        <w:tc>
          <w:tcPr>
            <w:tcW w:w="350" w:type="dxa"/>
            <w:tcMar>
              <w:top w:w="60" w:type="dxa"/>
              <w:left w:w="80" w:type="dxa"/>
              <w:bottom w:w="60" w:type="dxa"/>
              <w:right w:w="80" w:type="dxa"/>
            </w:tcMar>
            <w:vAlign w:val="top"/>
          </w:tcPr>
          <w:p>
            <w:pPr>
              <w:spacing w:after="40"/>
            </w:pPr>
            <w:r>
              <w:rPr>
                <w:sz w:val="18"/>
                <w:szCs w:val="18"/>
              </w:rPr>
              <w:t xml:space="preserve">9</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Internal-Controls</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Deal Mechanics</w:t>
            </w:r>
          </w:p>
        </w:tc>
        <w:tc>
          <w:tcPr>
            <w:tcW w:w="3510" w:type="dxa"/>
            <w:tcMar>
              <w:top w:w="60" w:type="dxa"/>
              <w:left w:w="80" w:type="dxa"/>
              <w:bottom w:w="60" w:type="dxa"/>
              <w:right w:w="80" w:type="dxa"/>
            </w:tcMar>
            <w:vAlign w:val="top"/>
          </w:tcPr>
          <w:p>
            <w:pPr>
              <w:spacing w:after="40"/>
            </w:pPr>
            <w:r>
              <w:rPr>
                <w:sz w:val="18"/>
                <w:szCs w:val="18"/>
              </w:rPr>
              <w:t xml:space="preserve">Internal Controls &amp; Segregation of Duties — single financial-access concentration; no compensating reviews</w:t>
            </w:r>
          </w:p>
        </w:tc>
        <w:tc>
          <w:tcPr>
            <w:tcW w:w="1000" w:type="dxa"/>
            <w:tcMar>
              <w:top w:w="60" w:type="dxa"/>
              <w:left w:w="80" w:type="dxa"/>
              <w:bottom w:w="60" w:type="dxa"/>
              <w:right w:w="80" w:type="dxa"/>
            </w:tcMar>
            <w:vAlign w:val="top"/>
          </w:tcPr>
          <w:p>
            <w:pPr>
              <w:spacing w:after="40"/>
            </w:pPr>
            <w:r>
              <w:rPr>
                <w:sz w:val="18"/>
                <w:szCs w:val="18"/>
              </w:rPr>
              <w:t xml:space="preserve">2.1</w:t>
            </w:r>
          </w:p>
        </w:tc>
      </w:tr>
      <w:tr>
        <w:tc>
          <w:tcPr>
            <w:tcW w:w="350" w:type="dxa"/>
            <w:tcMar>
              <w:top w:w="60" w:type="dxa"/>
              <w:left w:w="80" w:type="dxa"/>
              <w:bottom w:w="60" w:type="dxa"/>
              <w:right w:w="80" w:type="dxa"/>
            </w:tcMar>
            <w:vAlign w:val="top"/>
          </w:tcPr>
          <w:p>
            <w:pPr>
              <w:spacing w:after="40"/>
            </w:pPr>
            <w:r>
              <w:rPr>
                <w:sz w:val="18"/>
                <w:szCs w:val="18"/>
              </w:rPr>
              <w:t xml:space="preserve">10</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Strategic</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Cyber insurance gap; commercial property carries explicit cyber-incident exclusion (CP1075)</w:t>
            </w:r>
          </w:p>
        </w:tc>
        <w:tc>
          <w:tcPr>
            <w:tcW w:w="1000" w:type="dxa"/>
            <w:tcMar>
              <w:top w:w="60" w:type="dxa"/>
              <w:left w:w="80" w:type="dxa"/>
              <w:bottom w:w="60" w:type="dxa"/>
              <w:right w:w="80" w:type="dxa"/>
            </w:tcMar>
            <w:vAlign w:val="top"/>
          </w:tcPr>
          <w:p>
            <w:pPr>
              <w:spacing w:after="40"/>
            </w:pPr>
            <w:r>
              <w:rPr>
                <w:sz w:val="18"/>
                <w:szCs w:val="18"/>
              </w:rPr>
              <w:t xml:space="preserve">2.1 / 2.4</w:t>
            </w:r>
          </w:p>
        </w:tc>
      </w:tr>
      <w:tr>
        <w:tc>
          <w:tcPr>
            <w:tcW w:w="350" w:type="dxa"/>
            <w:tcMar>
              <w:top w:w="60" w:type="dxa"/>
              <w:left w:w="80" w:type="dxa"/>
              <w:bottom w:w="60" w:type="dxa"/>
              <w:right w:w="80" w:type="dxa"/>
            </w:tcMar>
            <w:vAlign w:val="top"/>
          </w:tcPr>
          <w:p>
            <w:pPr>
              <w:spacing w:after="40"/>
            </w:pPr>
            <w:r>
              <w:rPr>
                <w:sz w:val="18"/>
                <w:szCs w:val="18"/>
              </w:rPr>
              <w:t xml:space="preserve">11</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 / Key-Person</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Estimating methodology not documented; rates and review heuristics live in Kevin/Keith memory</w:t>
            </w:r>
          </w:p>
        </w:tc>
        <w:tc>
          <w:tcPr>
            <w:tcW w:w="1000" w:type="dxa"/>
            <w:tcMar>
              <w:top w:w="60" w:type="dxa"/>
              <w:left w:w="80" w:type="dxa"/>
              <w:bottom w:w="60" w:type="dxa"/>
              <w:right w:w="80" w:type="dxa"/>
            </w:tcMar>
            <w:vAlign w:val="top"/>
          </w:tcPr>
          <w:p>
            <w:pPr>
              <w:spacing w:after="40"/>
            </w:pPr>
            <w:r>
              <w:rPr>
                <w:sz w:val="18"/>
                <w:szCs w:val="18"/>
              </w:rPr>
              <w:t xml:space="preserve">2.2</w:t>
            </w:r>
          </w:p>
        </w:tc>
      </w:tr>
      <w:tr>
        <w:tc>
          <w:tcPr>
            <w:tcW w:w="350" w:type="dxa"/>
            <w:tcMar>
              <w:top w:w="60" w:type="dxa"/>
              <w:left w:w="80" w:type="dxa"/>
              <w:bottom w:w="60" w:type="dxa"/>
              <w:right w:w="80" w:type="dxa"/>
            </w:tcMar>
            <w:vAlign w:val="top"/>
          </w:tcPr>
          <w:p>
            <w:pPr>
              <w:spacing w:after="40"/>
            </w:pPr>
            <w:r>
              <w:rPr>
                <w:sz w:val="18"/>
                <w:szCs w:val="18"/>
              </w:rPr>
              <w:t xml:space="preserve">12</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Strategic</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Sequenced</w:t>
            </w:r>
          </w:p>
        </w:tc>
        <w:tc>
          <w:tcPr>
            <w:tcW w:w="3510" w:type="dxa"/>
            <w:tcMar>
              <w:top w:w="60" w:type="dxa"/>
              <w:left w:w="80" w:type="dxa"/>
              <w:bottom w:w="60" w:type="dxa"/>
              <w:right w:w="80" w:type="dxa"/>
            </w:tcMar>
            <w:vAlign w:val="top"/>
          </w:tcPr>
          <w:p>
            <w:pPr>
              <w:spacing w:after="40"/>
            </w:pPr>
            <w:r>
              <w:rPr>
                <w:sz w:val="18"/>
                <w:szCs w:val="18"/>
              </w:rPr>
              <w:t xml:space="preserve">Inspection service agreements absent; recurring book at risk against bundled-vendor competitors (Summit/Lammi)</w:t>
            </w:r>
          </w:p>
        </w:tc>
        <w:tc>
          <w:tcPr>
            <w:tcW w:w="1000" w:type="dxa"/>
            <w:tcMar>
              <w:top w:w="60" w:type="dxa"/>
              <w:left w:w="80" w:type="dxa"/>
              <w:bottom w:w="60" w:type="dxa"/>
              <w:right w:w="80" w:type="dxa"/>
            </w:tcMar>
            <w:vAlign w:val="top"/>
          </w:tcPr>
          <w:p>
            <w:pPr>
              <w:spacing w:after="40"/>
            </w:pPr>
            <w:r>
              <w:rPr>
                <w:sz w:val="18"/>
                <w:szCs w:val="18"/>
              </w:rPr>
              <w:t xml:space="preserve">2.2 / 2.3</w:t>
            </w:r>
          </w:p>
        </w:tc>
      </w:tr>
      <w:tr>
        <w:tc>
          <w:tcPr>
            <w:tcW w:w="350" w:type="dxa"/>
            <w:tcMar>
              <w:top w:w="60" w:type="dxa"/>
              <w:left w:w="80" w:type="dxa"/>
              <w:bottom w:w="60" w:type="dxa"/>
              <w:right w:w="80" w:type="dxa"/>
            </w:tcMar>
            <w:vAlign w:val="top"/>
          </w:tcPr>
          <w:p>
            <w:pPr>
              <w:spacing w:after="40"/>
            </w:pPr>
            <w:r>
              <w:rPr>
                <w:sz w:val="18"/>
                <w:szCs w:val="18"/>
              </w:rPr>
              <w:t xml:space="preserve">13</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Field-to-office communication gap; whiteboard not a system of record; billing depends on Keith's verbal % complete</w:t>
            </w:r>
          </w:p>
        </w:tc>
        <w:tc>
          <w:tcPr>
            <w:tcW w:w="1000" w:type="dxa"/>
            <w:tcMar>
              <w:top w:w="60" w:type="dxa"/>
              <w:left w:w="80" w:type="dxa"/>
              <w:bottom w:w="60" w:type="dxa"/>
              <w:right w:w="80" w:type="dxa"/>
            </w:tcMar>
            <w:vAlign w:val="top"/>
          </w:tcPr>
          <w:p>
            <w:pPr>
              <w:spacing w:after="40"/>
            </w:pPr>
            <w:r>
              <w:rPr>
                <w:sz w:val="18"/>
                <w:szCs w:val="18"/>
              </w:rPr>
              <w:t xml:space="preserve">2.3</w:t>
            </w:r>
          </w:p>
        </w:tc>
      </w:tr>
      <w:tr>
        <w:tc>
          <w:tcPr>
            <w:tcW w:w="350" w:type="dxa"/>
            <w:tcMar>
              <w:top w:w="60" w:type="dxa"/>
              <w:left w:w="80" w:type="dxa"/>
              <w:bottom w:w="60" w:type="dxa"/>
              <w:right w:w="80" w:type="dxa"/>
            </w:tcMar>
            <w:vAlign w:val="top"/>
          </w:tcPr>
          <w:p>
            <w:pPr>
              <w:spacing w:after="40"/>
            </w:pPr>
            <w:r>
              <w:rPr>
                <w:sz w:val="18"/>
                <w:szCs w:val="18"/>
              </w:rPr>
              <w:t xml:space="preserve">14</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Open</w:t>
            </w:r>
          </w:p>
        </w:tc>
        <w:tc>
          <w:tcPr>
            <w:tcW w:w="3510" w:type="dxa"/>
            <w:tcMar>
              <w:top w:w="60" w:type="dxa"/>
              <w:left w:w="80" w:type="dxa"/>
              <w:bottom w:w="60" w:type="dxa"/>
              <w:right w:w="80" w:type="dxa"/>
            </w:tcMar>
            <w:vAlign w:val="top"/>
          </w:tcPr>
          <w:p>
            <w:pPr>
              <w:spacing w:after="40"/>
            </w:pPr>
            <w:r>
              <w:rPr>
                <w:sz w:val="18"/>
                <w:szCs w:val="18"/>
              </w:rPr>
              <w:t xml:space="preserve">QA/QC program absent across installation, repair/service, and inspection work</w:t>
            </w:r>
          </w:p>
        </w:tc>
        <w:tc>
          <w:tcPr>
            <w:tcW w:w="1000" w:type="dxa"/>
            <w:tcMar>
              <w:top w:w="60" w:type="dxa"/>
              <w:left w:w="80" w:type="dxa"/>
              <w:bottom w:w="60" w:type="dxa"/>
              <w:right w:w="80" w:type="dxa"/>
            </w:tcMar>
            <w:vAlign w:val="top"/>
          </w:tcPr>
          <w:p>
            <w:pPr>
              <w:spacing w:after="40"/>
            </w:pPr>
            <w:r>
              <w:rPr>
                <w:sz w:val="18"/>
                <w:szCs w:val="18"/>
              </w:rPr>
              <w:t xml:space="preserve">2.3</w:t>
            </w:r>
          </w:p>
        </w:tc>
      </w:tr>
      <w:tr>
        <w:tc>
          <w:tcPr>
            <w:tcW w:w="350" w:type="dxa"/>
            <w:tcMar>
              <w:top w:w="60" w:type="dxa"/>
              <w:left w:w="80" w:type="dxa"/>
              <w:bottom w:w="60" w:type="dxa"/>
              <w:right w:w="80" w:type="dxa"/>
            </w:tcMar>
            <w:vAlign w:val="top"/>
          </w:tcPr>
          <w:p>
            <w:pPr>
              <w:spacing w:after="40"/>
            </w:pPr>
            <w:r>
              <w:rPr>
                <w:sz w:val="18"/>
                <w:szCs w:val="18"/>
              </w:rPr>
              <w:t xml:space="preserve">15</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Strategic</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Open</w:t>
            </w:r>
          </w:p>
        </w:tc>
        <w:tc>
          <w:tcPr>
            <w:tcW w:w="3510" w:type="dxa"/>
            <w:tcMar>
              <w:top w:w="60" w:type="dxa"/>
              <w:left w:w="80" w:type="dxa"/>
              <w:bottom w:w="60" w:type="dxa"/>
              <w:right w:w="80" w:type="dxa"/>
            </w:tcMar>
            <w:vAlign w:val="top"/>
          </w:tcPr>
          <w:p>
            <w:pPr>
              <w:spacing w:after="40"/>
            </w:pPr>
            <w:r>
              <w:rPr>
                <w:sz w:val="18"/>
                <w:szCs w:val="18"/>
              </w:rPr>
              <w:t xml:space="preserve">Inspection-line roll-up risk; Lammi acquisition by Summit; at least one customer (Teal Lake) signaling single-vendor preference</w:t>
            </w:r>
          </w:p>
        </w:tc>
        <w:tc>
          <w:tcPr>
            <w:tcW w:w="1000" w:type="dxa"/>
            <w:tcMar>
              <w:top w:w="60" w:type="dxa"/>
              <w:left w:w="80" w:type="dxa"/>
              <w:bottom w:w="60" w:type="dxa"/>
              <w:right w:w="80" w:type="dxa"/>
            </w:tcMar>
            <w:vAlign w:val="top"/>
          </w:tcPr>
          <w:p>
            <w:pPr>
              <w:spacing w:after="40"/>
            </w:pPr>
            <w:r>
              <w:rPr>
                <w:sz w:val="18"/>
                <w:szCs w:val="18"/>
              </w:rPr>
              <w:t xml:space="preserve">2.3</w:t>
            </w:r>
          </w:p>
        </w:tc>
      </w:tr>
      <w:tr>
        <w:tc>
          <w:tcPr>
            <w:tcW w:w="350" w:type="dxa"/>
            <w:tcMar>
              <w:top w:w="60" w:type="dxa"/>
              <w:left w:w="80" w:type="dxa"/>
              <w:bottom w:w="60" w:type="dxa"/>
              <w:right w:w="80" w:type="dxa"/>
            </w:tcMar>
            <w:vAlign w:val="top"/>
          </w:tcPr>
          <w:p>
            <w:pPr>
              <w:spacing w:after="40"/>
            </w:pPr>
            <w:r>
              <w:rPr>
                <w:sz w:val="18"/>
                <w:szCs w:val="18"/>
              </w:rPr>
              <w:t xml:space="preserve">16</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PM &amp; subcontractor management framework absent on GC-seat engagements (EMP / Advanced Products case study)</w:t>
            </w:r>
          </w:p>
        </w:tc>
        <w:tc>
          <w:tcPr>
            <w:tcW w:w="1000" w:type="dxa"/>
            <w:tcMar>
              <w:top w:w="60" w:type="dxa"/>
              <w:left w:w="80" w:type="dxa"/>
              <w:bottom w:w="60" w:type="dxa"/>
              <w:right w:w="80" w:type="dxa"/>
            </w:tcMar>
            <w:vAlign w:val="top"/>
          </w:tcPr>
          <w:p>
            <w:pPr>
              <w:spacing w:after="40"/>
            </w:pPr>
            <w:r>
              <w:rPr>
                <w:sz w:val="18"/>
                <w:szCs w:val="18"/>
              </w:rPr>
              <w:t xml:space="preserve">2.3 / 2.5</w:t>
            </w:r>
          </w:p>
        </w:tc>
      </w:tr>
      <w:tr>
        <w:tc>
          <w:tcPr>
            <w:tcW w:w="350" w:type="dxa"/>
            <w:tcMar>
              <w:top w:w="60" w:type="dxa"/>
              <w:left w:w="80" w:type="dxa"/>
              <w:bottom w:w="60" w:type="dxa"/>
              <w:right w:w="80" w:type="dxa"/>
            </w:tcMar>
            <w:vAlign w:val="top"/>
          </w:tcPr>
          <w:p>
            <w:pPr>
              <w:spacing w:after="40"/>
            </w:pPr>
            <w:r>
              <w:rPr>
                <w:sz w:val="18"/>
                <w:szCs w:val="18"/>
              </w:rPr>
              <w:t xml:space="preserve">17</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Regulatory</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Safety program reactive; OSHA 300 logs prepared on demand; no standing training program; mine safety cert concentrated in Keith</w:t>
            </w:r>
          </w:p>
        </w:tc>
        <w:tc>
          <w:tcPr>
            <w:tcW w:w="1000" w:type="dxa"/>
            <w:tcMar>
              <w:top w:w="60" w:type="dxa"/>
              <w:left w:w="80" w:type="dxa"/>
              <w:bottom w:w="60" w:type="dxa"/>
              <w:right w:w="80" w:type="dxa"/>
            </w:tcMar>
            <w:vAlign w:val="top"/>
          </w:tcPr>
          <w:p>
            <w:pPr>
              <w:spacing w:after="40"/>
            </w:pPr>
            <w:r>
              <w:rPr>
                <w:sz w:val="18"/>
                <w:szCs w:val="18"/>
              </w:rPr>
              <w:t xml:space="preserve">2.3 / 2.6</w:t>
            </w:r>
          </w:p>
        </w:tc>
      </w:tr>
      <w:tr>
        <w:tc>
          <w:tcPr>
            <w:tcW w:w="350" w:type="dxa"/>
            <w:tcMar>
              <w:top w:w="60" w:type="dxa"/>
              <w:left w:w="80" w:type="dxa"/>
              <w:bottom w:w="60" w:type="dxa"/>
              <w:right w:w="80" w:type="dxa"/>
            </w:tcMar>
            <w:vAlign w:val="top"/>
          </w:tcPr>
          <w:p>
            <w:pPr>
              <w:spacing w:after="40"/>
            </w:pPr>
            <w:r>
              <w:rPr>
                <w:sz w:val="18"/>
                <w:szCs w:val="18"/>
              </w:rPr>
              <w:t xml:space="preserve">18</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No IT backup, DR, or restore-test posture across QuickBooks, M365, or working spreadsheets</w:t>
            </w:r>
          </w:p>
        </w:tc>
        <w:tc>
          <w:tcPr>
            <w:tcW w:w="1000" w:type="dxa"/>
            <w:tcMar>
              <w:top w:w="60" w:type="dxa"/>
              <w:left w:w="80" w:type="dxa"/>
              <w:bottom w:w="60" w:type="dxa"/>
              <w:right w:w="80" w:type="dxa"/>
            </w:tcMar>
            <w:vAlign w:val="top"/>
          </w:tcPr>
          <w:p>
            <w:pPr>
              <w:spacing w:after="40"/>
            </w:pPr>
            <w:r>
              <w:rPr>
                <w:sz w:val="18"/>
                <w:szCs w:val="18"/>
              </w:rPr>
              <w:t xml:space="preserve">2.4</w:t>
            </w:r>
          </w:p>
        </w:tc>
      </w:tr>
      <w:tr>
        <w:tc>
          <w:tcPr>
            <w:tcW w:w="350" w:type="dxa"/>
            <w:tcMar>
              <w:top w:w="60" w:type="dxa"/>
              <w:left w:w="80" w:type="dxa"/>
              <w:bottom w:w="60" w:type="dxa"/>
              <w:right w:w="80" w:type="dxa"/>
            </w:tcMar>
            <w:vAlign w:val="top"/>
          </w:tcPr>
          <w:p>
            <w:pPr>
              <w:spacing w:after="40"/>
            </w:pPr>
            <w:r>
              <w:rPr>
                <w:sz w:val="18"/>
                <w:szCs w:val="18"/>
              </w:rPr>
              <w:t xml:space="preserve">19</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MFA scoped only to M365 mailboxes; no MDM; identity management absent across the rest of the stack</w:t>
            </w:r>
          </w:p>
        </w:tc>
        <w:tc>
          <w:tcPr>
            <w:tcW w:w="1000" w:type="dxa"/>
            <w:tcMar>
              <w:top w:w="60" w:type="dxa"/>
              <w:left w:w="80" w:type="dxa"/>
              <w:bottom w:w="60" w:type="dxa"/>
              <w:right w:w="80" w:type="dxa"/>
            </w:tcMar>
            <w:vAlign w:val="top"/>
          </w:tcPr>
          <w:p>
            <w:pPr>
              <w:spacing w:after="40"/>
            </w:pPr>
            <w:r>
              <w:rPr>
                <w:sz w:val="18"/>
                <w:szCs w:val="18"/>
              </w:rPr>
              <w:t xml:space="preserve">2.4</w:t>
            </w:r>
          </w:p>
        </w:tc>
      </w:tr>
      <w:tr>
        <w:tc>
          <w:tcPr>
            <w:tcW w:w="350" w:type="dxa"/>
            <w:tcMar>
              <w:top w:w="60" w:type="dxa"/>
              <w:left w:w="80" w:type="dxa"/>
              <w:bottom w:w="60" w:type="dxa"/>
              <w:right w:w="80" w:type="dxa"/>
            </w:tcMar>
            <w:vAlign w:val="top"/>
          </w:tcPr>
          <w:p>
            <w:pPr>
              <w:spacing w:after="40"/>
            </w:pPr>
            <w:r>
              <w:rPr>
                <w:sz w:val="18"/>
                <w:szCs w:val="18"/>
              </w:rPr>
              <w:t xml:space="preserve">20</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 / Strategic</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Field workforce recruiting &amp; retention; no formal pipeline, screening, or onboarding workflow</w:t>
            </w:r>
          </w:p>
        </w:tc>
        <w:tc>
          <w:tcPr>
            <w:tcW w:w="1000" w:type="dxa"/>
            <w:tcMar>
              <w:top w:w="60" w:type="dxa"/>
              <w:left w:w="80" w:type="dxa"/>
              <w:bottom w:w="60" w:type="dxa"/>
              <w:right w:w="80" w:type="dxa"/>
            </w:tcMar>
            <w:vAlign w:val="top"/>
          </w:tcPr>
          <w:p>
            <w:pPr>
              <w:spacing w:after="40"/>
            </w:pPr>
            <w:r>
              <w:rPr>
                <w:sz w:val="18"/>
                <w:szCs w:val="18"/>
              </w:rPr>
              <w:t xml:space="preserve">2.4</w:t>
            </w:r>
          </w:p>
        </w:tc>
      </w:tr>
      <w:tr>
        <w:tc>
          <w:tcPr>
            <w:tcW w:w="350" w:type="dxa"/>
            <w:tcMar>
              <w:top w:w="60" w:type="dxa"/>
              <w:left w:w="80" w:type="dxa"/>
              <w:bottom w:w="60" w:type="dxa"/>
              <w:right w:w="80" w:type="dxa"/>
            </w:tcMar>
            <w:vAlign w:val="top"/>
          </w:tcPr>
          <w:p>
            <w:pPr>
              <w:spacing w:after="40"/>
            </w:pPr>
            <w:r>
              <w:rPr>
                <w:sz w:val="18"/>
                <w:szCs w:val="18"/>
              </w:rPr>
              <w:t xml:space="preserve">21</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Strategic</w:t>
            </w:r>
          </w:p>
        </w:tc>
        <w:tc>
          <w:tcPr>
            <w:tcW w:w="1100" w:type="dxa"/>
            <w:tcMar>
              <w:top w:w="60" w:type="dxa"/>
              <w:left w:w="80" w:type="dxa"/>
              <w:bottom w:w="60" w:type="dxa"/>
              <w:right w:w="80" w:type="dxa"/>
            </w:tcMar>
            <w:vAlign w:val="top"/>
          </w:tcPr>
          <w:p>
            <w:pPr>
              <w:spacing w:after="40"/>
            </w:pPr>
            <w:r>
              <w:rPr>
                <w:sz w:val="18"/>
                <w:szCs w:val="18"/>
              </w:rPr>
              <w:t xml:space="preserve">Strategic</w:t>
            </w:r>
          </w:p>
        </w:tc>
        <w:tc>
          <w:tcPr>
            <w:tcW w:w="1100" w:type="dxa"/>
            <w:tcMar>
              <w:top w:w="60" w:type="dxa"/>
              <w:left w:w="80" w:type="dxa"/>
              <w:bottom w:w="60" w:type="dxa"/>
              <w:right w:w="80" w:type="dxa"/>
            </w:tcMar>
            <w:vAlign w:val="top"/>
          </w:tcPr>
          <w:p>
            <w:pPr>
              <w:spacing w:after="40"/>
            </w:pPr>
            <w:r>
              <w:rPr>
                <w:sz w:val="18"/>
                <w:szCs w:val="18"/>
              </w:rPr>
              <w:t xml:space="preserve">Sequenced</w:t>
            </w:r>
          </w:p>
        </w:tc>
        <w:tc>
          <w:tcPr>
            <w:tcW w:w="3510" w:type="dxa"/>
            <w:tcMar>
              <w:top w:w="60" w:type="dxa"/>
              <w:left w:w="80" w:type="dxa"/>
              <w:bottom w:w="60" w:type="dxa"/>
              <w:right w:w="80" w:type="dxa"/>
            </w:tcMar>
            <w:vAlign w:val="top"/>
          </w:tcPr>
          <w:p>
            <w:pPr>
              <w:spacing w:after="40"/>
            </w:pPr>
            <w:r>
              <w:rPr>
                <w:sz w:val="18"/>
                <w:szCs w:val="18"/>
              </w:rPr>
              <w:t xml:space="preserve">Customer concentration with no master service agreements or preferred-vendor contracts</w:t>
            </w:r>
          </w:p>
        </w:tc>
        <w:tc>
          <w:tcPr>
            <w:tcW w:w="1000" w:type="dxa"/>
            <w:tcMar>
              <w:top w:w="60" w:type="dxa"/>
              <w:left w:w="80" w:type="dxa"/>
              <w:bottom w:w="60" w:type="dxa"/>
              <w:right w:w="80" w:type="dxa"/>
            </w:tcMar>
            <w:vAlign w:val="top"/>
          </w:tcPr>
          <w:p>
            <w:pPr>
              <w:spacing w:after="40"/>
            </w:pPr>
            <w:r>
              <w:rPr>
                <w:sz w:val="18"/>
                <w:szCs w:val="18"/>
              </w:rPr>
              <w:t xml:space="preserve">2.5</w:t>
            </w:r>
          </w:p>
        </w:tc>
      </w:tr>
      <w:tr>
        <w:tc>
          <w:tcPr>
            <w:tcW w:w="350" w:type="dxa"/>
            <w:tcMar>
              <w:top w:w="60" w:type="dxa"/>
              <w:left w:w="80" w:type="dxa"/>
              <w:bottom w:w="60" w:type="dxa"/>
              <w:right w:w="80" w:type="dxa"/>
            </w:tcMar>
            <w:vAlign w:val="top"/>
          </w:tcPr>
          <w:p>
            <w:pPr>
              <w:spacing w:after="40"/>
            </w:pPr>
            <w:r>
              <w:rPr>
                <w:sz w:val="18"/>
                <w:szCs w:val="18"/>
              </w:rPr>
              <w:t xml:space="preserve">22</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Regulatory</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Open</w:t>
            </w:r>
          </w:p>
        </w:tc>
        <w:tc>
          <w:tcPr>
            <w:tcW w:w="3510" w:type="dxa"/>
            <w:tcMar>
              <w:top w:w="60" w:type="dxa"/>
              <w:left w:w="80" w:type="dxa"/>
              <w:bottom w:w="60" w:type="dxa"/>
              <w:right w:w="80" w:type="dxa"/>
            </w:tcMar>
            <w:vAlign w:val="top"/>
          </w:tcPr>
          <w:p>
            <w:pPr>
              <w:spacing w:after="40"/>
            </w:pPr>
            <w:r>
              <w:rPr>
                <w:sz w:val="18"/>
                <w:szCs w:val="18"/>
              </w:rPr>
              <w:t xml:space="preserve">ISN/ISNetworld compliance carried without standing calendar; missed upload removes Excel from qualified-vendor lists</w:t>
            </w:r>
          </w:p>
        </w:tc>
        <w:tc>
          <w:tcPr>
            <w:tcW w:w="1000" w:type="dxa"/>
            <w:tcMar>
              <w:top w:w="60" w:type="dxa"/>
              <w:left w:w="80" w:type="dxa"/>
              <w:bottom w:w="60" w:type="dxa"/>
              <w:right w:w="80" w:type="dxa"/>
            </w:tcMar>
            <w:vAlign w:val="top"/>
          </w:tcPr>
          <w:p>
            <w:pPr>
              <w:spacing w:after="40"/>
            </w:pPr>
            <w:r>
              <w:rPr>
                <w:sz w:val="18"/>
                <w:szCs w:val="18"/>
              </w:rPr>
              <w:t xml:space="preserve">2.6</w:t>
            </w:r>
          </w:p>
        </w:tc>
      </w:tr>
      <w:tr>
        <w:tc>
          <w:tcPr>
            <w:tcW w:w="350" w:type="dxa"/>
            <w:tcMar>
              <w:top w:w="60" w:type="dxa"/>
              <w:left w:w="80" w:type="dxa"/>
              <w:bottom w:w="60" w:type="dxa"/>
              <w:right w:w="80" w:type="dxa"/>
            </w:tcMar>
            <w:vAlign w:val="top"/>
          </w:tcPr>
          <w:p>
            <w:pPr>
              <w:spacing w:after="40"/>
            </w:pPr>
            <w:r>
              <w:rPr>
                <w:sz w:val="18"/>
                <w:szCs w:val="18"/>
              </w:rPr>
              <w:t xml:space="preserve">23</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Regulatory</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Open</w:t>
            </w:r>
          </w:p>
        </w:tc>
        <w:tc>
          <w:tcPr>
            <w:tcW w:w="3510" w:type="dxa"/>
            <w:tcMar>
              <w:top w:w="60" w:type="dxa"/>
              <w:left w:w="80" w:type="dxa"/>
              <w:bottom w:w="60" w:type="dxa"/>
              <w:right w:w="80" w:type="dxa"/>
            </w:tcMar>
            <w:vAlign w:val="top"/>
          </w:tcPr>
          <w:p>
            <w:pPr>
              <w:spacing w:after="40"/>
            </w:pPr>
            <w:r>
              <w:rPr>
                <w:sz w:val="18"/>
                <w:szCs w:val="18"/>
              </w:rPr>
              <w:t xml:space="preserve">Customer-specific compliance tracking (Eagle Mine training, certified payroll, ISN) — no consolidated calendar; revenue-at-risk implicit</w:t>
            </w:r>
          </w:p>
        </w:tc>
        <w:tc>
          <w:tcPr>
            <w:tcW w:w="1000" w:type="dxa"/>
            <w:tcMar>
              <w:top w:w="60" w:type="dxa"/>
              <w:left w:w="80" w:type="dxa"/>
              <w:bottom w:w="60" w:type="dxa"/>
              <w:right w:w="80" w:type="dxa"/>
            </w:tcMar>
            <w:vAlign w:val="top"/>
          </w:tcPr>
          <w:p>
            <w:pPr>
              <w:spacing w:after="40"/>
            </w:pPr>
            <w:r>
              <w:rPr>
                <w:sz w:val="18"/>
                <w:szCs w:val="18"/>
              </w:rPr>
              <w:t xml:space="preserve">2.6</w:t>
            </w:r>
          </w:p>
        </w:tc>
      </w:tr>
    </w:tbl>
    <w:p>
      <w:pPr>
        <w:pStyle w:val="Normal"/>
        <w:spacing w:after="120"/>
      </w:pPr>
    </w:p>
    <w:p>
      <w:pPr>
        <w:pStyle w:val="Normal"/>
        <w:spacing w:after="120"/>
      </w:pPr>
      <w:r>
        <w:rPr>
          <w:rFonts w:ascii="Aptos" w:hAnsi="Aptos" w:eastAsia="Aptos"/>
          <w:b/>
          <w:bCs/>
          <w:sz w:val="20"/>
        </w:rPr>
        <w:t xml:space="preserve">Items already in active remediation.</w:t>
      </w:r>
      <w:r>
        <w:rPr>
          <w:rFonts w:ascii="Aptos" w:hAnsi="Aptos" w:eastAsia="Aptos"/>
          <w:b w:val="0"/>
          <w:sz w:val="20"/>
        </w:rPr>
        <w:t xml:space="preserve"> Three findings on the list have remediation work underway as of the date of this report and are noted here for completeness. The Michigan UIA filing failure has had its access restoration completed and AT&amp;C has been assigned the Third Party Administrator role to assist with reconstruction; reconstruction itself remains an open task. The February 2026 email-account compromise has had multi-factor authentication enabled on the affected mailbox by Lee Init; the broader IT-security posture beyond that single mailbox is unchanged. Krissy has moved from part-time to full-time and is actively cross-training with Betty on the office functions she will inherit at the mid-May 2026 transition; written runbooks for those functions remain unfinished. None of these in-flight items have been removed from the table; the in-flight status is reflected in the finding bodies in Section 3.</w:t>
      </w:r>
    </w:p>
    <w:p>
      <w:pPr>
        <w:pStyle w:val="Heading1"/>
      </w:pPr>
      <w:r>
        <w:rPr>
          <w:rFonts w:ascii="Aptos Display" w:hAnsi="Aptos Display" w:eastAsia="Aptos Display"/>
          <w:b/>
          <w:color w:val="1F4E79"/>
          <w:sz w:val="28"/>
        </w:rPr>
        <w:t xml:space="preserve">3. Findings by Workstream</w:t>
      </w:r>
    </w:p>
    <w:p>
      <w:pPr>
        <w:pStyle w:val="Heading2"/>
      </w:pPr>
      <w:r>
        <w:rPr>
          <w:rFonts w:ascii="Aptos Display" w:hAnsi="Aptos Display" w:eastAsia="Aptos Display"/>
          <w:b/>
          <w:color w:val="1F4E79"/>
          <w:sz w:val="24"/>
        </w:rPr>
        <w:t xml:space="preserve">3.1 Financial Operations &amp; Controls</w:t>
      </w:r>
    </w:p>
    <w:p>
      <w:pPr>
        <w:pStyle w:val="Heading3"/>
      </w:pPr>
      <w:r>
        <w:rPr>
          <w:rFonts w:ascii="Aptos Display" w:hAnsi="Aptos Display" w:eastAsia="Aptos Display"/>
          <w:b/>
          <w:color w:val="5B9BD5"/>
          <w:sz w:val="22"/>
        </w:rPr>
        <w:t xml:space="preserve">Banking Signature-Stamp Practice</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Internal-Controls │ </w:t>
      </w:r>
      <w:r>
        <w:rPr>
          <w:rFonts w:ascii="Aptos" w:hAnsi="Aptos" w:eastAsia="Aptos"/>
          <w:b/>
          <w:bCs/>
          <w:sz w:val="20"/>
        </w:rPr>
        <w:t xml:space="preserve">Horizon: </w:t>
      </w:r>
      <w:r>
        <w:rPr>
          <w:rFonts w:ascii="Aptos" w:hAnsi="Aptos" w:eastAsia="Aptos"/>
          <w:b w:val="0"/>
          <w:sz w:val="20"/>
        </w:rPr>
        <w:t xml:space="preserve">Pre-close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Deal Mechanics — Sunsets at Betty's mid-May 2026 retirement and the buy-in; spending-authority tiers and dual-control thresholds being pulled forward from the existing operating agreement into the new shareholders' agreement at close.</w:t>
      </w:r>
    </w:p>
    <w:p>
      <w:pPr>
        <w:pStyle w:val="Normal"/>
        <w:spacing w:after="120"/>
      </w:pPr>
      <w:r>
        <w:rPr>
          <w:rFonts w:ascii="Aptos" w:hAnsi="Aptos" w:eastAsia="Aptos"/>
          <w:b w:val="0"/>
          <w:sz w:val="20"/>
        </w:rPr>
        <w:t xml:space="preserve">Kevin is the only person on the bank’s official signature card for the operating account. To handle day-to-day check-signing when Kevin is away from the office, Betty maintains a physical signature stamp bearing Kevin’s signature and applies it to checks under Kevin’s name. From the bank’s perspective, every check leaving the Company carries Kevin’s signature regardless of who actually applied it. This is materially different from a delegated signing authority on the bank’s records: the bank cannot, and does not, distinguish a stamped Kevin signature from a wet Kevin signature, and any check-fraud or unauthorized-disbursement event under the current arrangement would have to be reconstructed forensically from internal Company records rather than from the bank’s signing controls.</w:t>
      </w:r>
    </w:p>
    <w:p>
      <w:pPr>
        <w:pStyle w:val="Normal"/>
        <w:spacing w:after="120"/>
      </w:pPr>
      <w:r>
        <w:rPr>
          <w:rFonts w:ascii="Aptos" w:hAnsi="Aptos" w:eastAsia="Aptos"/>
          <w:b w:val="0"/>
          <w:sz w:val="20"/>
        </w:rPr>
        <w:t xml:space="preserve">The exposure is compounded by the absence of compensating controls (dual-signature thresholds above a dollar amount, independent review of bank reconciliations, mandatory vacation, periodic surprise audits). Reconciliation of the credit card and bank accounts is itself performed by Betty manually from paper statements, so the same person who applies the signature stamp and prints the checks also reconciles the resulting bank activity. The arrangement reflects decades of trust between the owner and Betty and is common in small owner-operated businesses; it nonetheless represents the most material internal-controls observation surfaced during the engagement and warrants pre-close remediation given Betty’s mid-May 2026 retirement and the office succession to Krissy.</w:t>
      </w:r>
    </w:p>
    <w:p>
      <w:pPr>
        <w:pStyle w:val="Heading3"/>
      </w:pPr>
      <w:r>
        <w:rPr>
          <w:rFonts w:ascii="Aptos Display" w:hAnsi="Aptos Display" w:eastAsia="Aptos Display"/>
          <w:b/>
          <w:color w:val="5B9BD5"/>
          <w:sz w:val="22"/>
        </w:rPr>
        <w:t xml:space="preserve">Missing Federal &amp; State New-Hire Forms (Form I-9, W-4, MI-W4)</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Legal │ </w:t>
      </w:r>
      <w:r>
        <w:rPr>
          <w:rFonts w:ascii="Aptos" w:hAnsi="Aptos" w:eastAsia="Aptos"/>
          <w:b/>
          <w:bCs/>
          <w:sz w:val="20"/>
        </w:rPr>
        <w:t xml:space="preserve">Horizon: </w:t>
      </w:r>
      <w:r>
        <w:rPr>
          <w:rFonts w:ascii="Aptos" w:hAnsi="Aptos" w:eastAsia="Aptos"/>
          <w:b w:val="0"/>
          <w:sz w:val="20"/>
        </w:rPr>
        <w:t xml:space="preserve">Pre-close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val="0"/>
          <w:sz w:val="20"/>
        </w:rPr>
        <w:t>Remediation: Scheduled — Workforce-wide personnel-file audit and replacement-form collection; Justin plans to verify the personnel files directly on May 12. The New Employee Onboarding Checklist (Notion) is the standing process for new hires going forward.</w:t>
      </w:r>
    </w:p>
    <w:p>
      <w:pPr>
        <w:pStyle w:val="Normal"/>
        <w:spacing w:after="120"/>
      </w:pPr>
      <w:r>
        <w:rPr>
          <w:rFonts w:ascii="Aptos" w:hAnsi="Aptos" w:eastAsia="Aptos"/>
          <w:b w:val="0"/>
          <w:sz w:val="20"/>
        </w:rPr>
        <w:t>The owner has flagged that Form I-9 employment eligibility verification documents, IRS Form W-4 federal withholding certificates, and Michigan W-4 (MI-W4) state withholding certificates may not be on file for every current employee. Personnel files, where they exist, contain principally physical timesheets retained from prior pay periods, with new-hire documentation present on a per-employee basis without a defined file standard. This finding should be read as a known verification risk until the personnel-file audit confirms which forms are present and which, if any, require replacement.</w:t>
      </w:r>
    </w:p>
    <w:p>
      <w:pPr>
        <w:pStyle w:val="Normal"/>
        <w:spacing w:after="120"/>
      </w:pPr>
      <w:r>
        <w:rPr>
          <w:rFonts w:ascii="Aptos" w:hAnsi="Aptos" w:eastAsia="Aptos"/>
          <w:b w:val="0"/>
          <w:sz w:val="20"/>
        </w:rPr>
        <w:t xml:space="preserve">The Form I-9 obligation arises under the Immigration Reform and Control Act of 1986 and applies to every employee hired after November 6, 1986. The form must be completed within three business days of the employee’s start date, retained for the longer of three years from hire or one year from termination, and produced on demand to ICE in an audit. Civil penalties for missing or incomplete I-9 forms run from approximately $281 to $2,789 per form (per current 2024 inflation-adjusted ranges, subject to ongoing adjustment) and apply per-form rather than per-audit, so even a small workforce can compound into a five- or six-figure exposure if substantively non-compliant.</w:t>
      </w:r>
    </w:p>
    <w:p>
      <w:pPr>
        <w:pStyle w:val="Normal"/>
        <w:spacing w:after="120"/>
      </w:pPr>
      <w:r>
        <w:rPr>
          <w:rFonts w:ascii="Aptos" w:hAnsi="Aptos" w:eastAsia="Aptos"/>
          <w:b w:val="0"/>
          <w:sz w:val="20"/>
        </w:rPr>
        <w:t xml:space="preserve">The W-4 and MI-W4 obligations sit alongside as IRS and Michigan Department of Treasury withholding-administration items rather than IRCA items; their absence is a tax-compliance documentation gap rather than an immigration-law gap, and the practical risk attaches at the next federal or state withholding audit. AT&amp;C has been calculating and withholding federal and Michigan tax against employee paychecks correctly, so the substantive withholding outcome appears not to have been affected; the documentation that supports the withholding rates is what is missing or incomplete.</w:t>
      </w:r>
    </w:p>
    <w:p>
      <w:pPr>
        <w:pStyle w:val="Normal"/>
        <w:spacing w:after="120"/>
      </w:pPr>
      <w:r>
        <w:rPr>
          <w:rFonts w:ascii="Aptos" w:hAnsi="Aptos" w:eastAsia="Aptos"/>
          <w:b w:val="0"/>
          <w:sz w:val="20"/>
        </w:rPr>
        <w:t>Pre-close remediation should include a workforce-wide audit of personnel files, completion of replacement I-9 forms where missing (the Form I-9 instructions provide for a corrective procedure where the original form has been lost or never completed), and replacement W-4 / MI-W4 collections where missing. If the May 12 file review confirms that some or all forms are already present, this finding should be narrowed to the actual missing-document population rather than left as a blanket deficiency.</w:t>
      </w:r>
    </w:p>
    <w:p>
      <w:pPr>
        <w:pStyle w:val="Heading3"/>
      </w:pPr>
      <w:r>
        <w:rPr>
          <w:rFonts w:ascii="Aptos Display" w:hAnsi="Aptos Display" w:eastAsia="Aptos Display"/>
          <w:b/>
          <w:color w:val="5B9BD5"/>
          <w:sz w:val="22"/>
        </w:rPr>
        <w:t xml:space="preserve">Internal Controls &amp; Segregation of Duties</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Internal-Controls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Deal Mechanics — Same path as Finding #1; spending-authority tiers and dual-control thresholds formalized in the new shareholders' agreement at buy-in.</w:t>
      </w:r>
    </w:p>
    <w:p>
      <w:pPr>
        <w:pStyle w:val="Normal"/>
        <w:spacing w:after="120"/>
      </w:pPr>
      <w:r>
        <w:rPr>
          <w:rFonts w:ascii="Aptos" w:hAnsi="Aptos" w:eastAsia="Aptos"/>
          <w:b w:val="0"/>
          <w:sz w:val="20"/>
        </w:rPr>
        <w:t xml:space="preserve">Internal controls are trust-based rather than structural. Betty has check-signing authority through the signature stamp described above, credit card payment authority, deposit authority, and the ability to move funds. Kevin has similar authority by virtue of being on the bank’s signature card directly. No compensating controls (dual-signature thresholds, independent review of bank reconciliations, mandatory vacation, or periodic surprise audits) are currently in place. This is documented as a control-environment gap rather than a suggestion of wrongdoing; it becomes materially more important in the context of the office succession from Betty to Krissy and the related-party landlord/tenant arrangement with Masich Properties (where Betty maintains both sets of books, see Cash Management &amp; Banking in Section 2.1 of the current-state report).</w:t>
      </w:r>
    </w:p>
    <w:p>
      <w:pPr>
        <w:pStyle w:val="Heading3"/>
      </w:pPr>
      <w:r>
        <w:rPr>
          <w:rFonts w:ascii="Aptos Display" w:hAnsi="Aptos Display" w:eastAsia="Aptos Display"/>
          <w:b/>
          <w:color w:val="5B9BD5"/>
          <w:sz w:val="22"/>
        </w:rPr>
        <w:t xml:space="preserve">Stale Accounts Receivable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No modernization workstream yet; recommend folding into the broader chart-of-accounts and AR cleanup pass scheduled for Year 1.</w:t>
      </w:r>
    </w:p>
    <w:p>
      <w:pPr>
        <w:pStyle w:val="Normal"/>
        <w:spacing w:after="120"/>
      </w:pPr>
      <w:r>
        <w:rPr>
          <w:rFonts w:ascii="Aptos" w:hAnsi="Aptos" w:eastAsia="Aptos"/>
          <w:b w:val="0"/>
          <w:sz w:val="20"/>
        </w:rPr>
        <w:t xml:space="preserve">Old receivable balances remain on the books without being written off in accordance with standard accounting practice. There is no formal AR aging review, collections workflow, or write-off cadence. The practical effect is twofold: AR reported in QuickBooks does not reflect genuinely collectible balances (a reporting accuracy issue), and uncollected receivables that should have been written off in prior periods continue to inflate book AR without producing a corresponding bad-debt deduction (a tax-treatment timing issue worth flagging to AT&amp;C as part of the pre-close review).</w:t>
      </w:r>
    </w:p>
    <w:p>
      <w:pPr>
        <w:pStyle w:val="Heading3"/>
      </w:pPr>
      <w:r>
        <w:rPr>
          <w:rFonts w:ascii="Aptos Display" w:hAnsi="Aptos Display" w:eastAsia="Aptos Display"/>
          <w:b/>
          <w:color w:val="5B9BD5"/>
          <w:sz w:val="22"/>
        </w:rPr>
        <w:t xml:space="preserve">Chart of Accounts — Expense-Side Structure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Year-1 cleanup item; paired with the QuickBooks Desktop → QuickBooks Online migration so the expense hierarchy is restructured once rather than twice.</w:t>
      </w:r>
    </w:p>
    <w:p>
      <w:pPr>
        <w:pStyle w:val="Normal"/>
        <w:spacing w:after="120"/>
      </w:pPr>
      <w:r>
        <w:rPr>
          <w:rFonts w:ascii="Aptos" w:hAnsi="Aptos" w:eastAsia="Aptos"/>
          <w:b w:val="0"/>
          <w:sz w:val="20"/>
        </w:rPr>
        <w:t xml:space="preserve">The operating expense section of the chart of accounts does not maintain the granularity or hierarchy that would be needed to read overhead cleanly off a standard QuickBooks report. All operating expense accounts sit at a single flat level, with no parent-child grouping that would separate shop and warehouse costs, vehicle and fleet costs, selling costs, and general and administrative overhead from one another. Several account names also carry typographical errors (for example, “Canceled Sevices,” “Advertsing &amp; Promotion,” and a lowercase “gas” account that duplicates the existing “Travel &amp; Ent-Gas” account), and a handful of accounts appear to be orphaned artifacts of past payroll or benefit arrangements that continue to carry small residual balances rather than having been closed out.</w:t>
      </w:r>
    </w:p>
    <w:p>
      <w:pPr>
        <w:pStyle w:val="Normal"/>
        <w:spacing w:after="120"/>
      </w:pPr>
      <w:r>
        <w:rPr>
          <w:rFonts w:ascii="Aptos" w:hAnsi="Aptos" w:eastAsia="Aptos"/>
          <w:b w:val="0"/>
          <w:sz w:val="20"/>
        </w:rPr>
        <w:t xml:space="preserve">The expense side of the chart of accounts would benefit from a deliberate cleanup and hierarchy exercise, separate from any changes to COGS. The COGS structure is generally adequate and does not need to be reworked as part of this remediation.</w:t>
      </w:r>
    </w:p>
    <w:p>
      <w:pPr>
        <w:pStyle w:val="Heading3"/>
      </w:pPr>
      <w:r>
        <w:rPr>
          <w:rFonts w:ascii="Aptos Display" w:hAnsi="Aptos Display" w:eastAsia="Aptos Display"/>
          <w:b/>
          <w:color w:val="5B9BD5"/>
          <w:sz w:val="22"/>
        </w:rPr>
        <w:t xml:space="preserve">Revenue-Side Segmentation</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Year-1 cleanup item; paired with the QuickBooks Desktop → QuickBooks Online migration to introduce installation-vs-service and new-construction-vs-renovation revenue accounts.</w:t>
      </w:r>
    </w:p>
    <w:p>
      <w:pPr>
        <w:pStyle w:val="Normal"/>
        <w:spacing w:after="120"/>
      </w:pPr>
      <w:r>
        <w:rPr>
          <w:rFonts w:ascii="Aptos" w:hAnsi="Aptos" w:eastAsia="Aptos"/>
          <w:b w:val="0"/>
          <w:sz w:val="20"/>
        </w:rPr>
        <w:t xml:space="preserve">Revenue is not segregated in the chart of accounts by the dimensions that diligence parties and lenders typically expect: new-construction versus renovation installation, installation versus repair/service, and billing channel (direct end customer versus general contractor versus national account intermediary). Inspection revenue is the single recurring income line that can be read directly off the chart of accounts without manual reclassification. This is a reporting-view gap rather than a bookkeeping-accuracy gap.</w:t>
      </w:r>
    </w:p>
    <w:p>
      <w:pPr>
        <w:pStyle w:val="Heading3"/>
      </w:pPr>
      <w:r>
        <w:rPr>
          <w:rFonts w:ascii="Aptos Display" w:hAnsi="Aptos Display" w:eastAsia="Aptos Display"/>
          <w:b/>
          <w:color w:val="5B9BD5"/>
          <w:sz w:val="22"/>
        </w:rPr>
        <w:t xml:space="preserve">QuickBooks Customer Master Data Quality</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The Customers database in EFP Job Tracking (Notion) is the target canonical store; QuickBooks-side reconciliation in flight as part of the QB Desktop → QB Online migration.</w:t>
      </w:r>
    </w:p>
    <w:p>
      <w:pPr>
        <w:pStyle w:val="Normal"/>
        <w:spacing w:after="120"/>
      </w:pPr>
      <w:r>
        <w:rPr>
          <w:rFonts w:ascii="Aptos" w:hAnsi="Aptos" w:eastAsia="Aptos"/>
          <w:b w:val="0"/>
          <w:sz w:val="20"/>
        </w:rPr>
        <w:t xml:space="preserve">The QuickBooks customer master is not maintained under a single canonical name per entity, and the Customer:Job parent-child hierarchy is not consistently used. The same general contractor, end customer, or national account intermediary frequently appears under multiple records with varying spellings and punctuation. Standard QuickBooks reports therefore materially understate true customer concentration, and the practical remediation is a deliberate customer-master cleanup exercise rather than a report-level workaround. The Customer Type field, which would naturally carry billing-channel categorization, is also not populated on any sampled customer record.</w:t>
      </w:r>
    </w:p>
    <w:p>
      <w:pPr>
        <w:pStyle w:val="Heading3"/>
      </w:pPr>
      <w:r>
        <w:rPr>
          <w:rFonts w:ascii="Aptos Display" w:hAnsi="Aptos Display" w:eastAsia="Aptos Display"/>
          <w:b/>
          <w:color w:val="5B9BD5"/>
          <w:sz w:val="22"/>
        </w:rPr>
        <w:t xml:space="preserve">Certified Payroll — Tooling &amp; Data-Structure Gap</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Regulatory / 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Scheduled — QuickBooks Desktop → QuickBooks Online with QuickBooks Payroll migration, paired with a digital timecard system (initial form may be as simple as crews texting in photos of paper timesheets); see Notion Payroll Processing page for the target architecture.</w:t>
      </w:r>
    </w:p>
    <w:p>
      <w:pPr>
        <w:pStyle w:val="Normal"/>
        <w:spacing w:after="120"/>
      </w:pPr>
      <w:r>
        <w:rPr>
          <w:rFonts w:ascii="Aptos" w:hAnsi="Aptos" w:eastAsia="Aptos"/>
          <w:b w:val="0"/>
          <w:sz w:val="20"/>
        </w:rPr>
        <w:t xml:space="preserve">Certified payroll (WH-347) cannot currently be produced from QuickBooks and is manually assembled in Excel by the office, with recurring formula errors that complicate each submission. Two factors combine to produce this result: the Company runs QuickBooks Desktop Pro Plus 2024, which does not include the native Certified Payroll Report available only in the Contractor editions; and the customer-master structure described above would not support the native report even after an edition upgrade, because there is no canonical Customer:Job against which to aggregate prevailing-wage hours. Remediation therefore requires both an edition change (or a migration to QuickBooks Online or another platform with native certified-payroll support) and a customer-master restructuring to be solved cleanly. The compliance risk on the substantive side is low because Local 669 wage rates function as the prevailing wage for certified-payroll purposes; the compliance risk is in the manual reporting tooling rather than in the underlying wage calculation.</w:t>
      </w:r>
    </w:p>
    <w:p>
      <w:pPr>
        <w:pStyle w:val="Heading3"/>
      </w:pPr>
      <w:r>
        <w:rPr>
          <w:rFonts w:ascii="Aptos Display" w:hAnsi="Aptos Display" w:eastAsia="Aptos Display"/>
          <w:b/>
          <w:color w:val="5B9BD5"/>
          <w:sz w:val="22"/>
        </w:rPr>
        <w:t xml:space="preserve">Certificate of Insurance Tracking</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Year-1 item; candidate to fold into the consolidated compliance / training / certification calendar that the HR agent is building under Finding #23.</w:t>
      </w:r>
    </w:p>
    <w:p>
      <w:pPr>
        <w:pStyle w:val="Normal"/>
        <w:spacing w:after="120"/>
      </w:pPr>
      <w:r>
        <w:rPr>
          <w:rFonts w:ascii="Aptos" w:hAnsi="Aptos" w:eastAsia="Aptos"/>
          <w:b w:val="0"/>
          <w:sz w:val="20"/>
        </w:rPr>
        <w:t xml:space="preserve">The Company provides certificates of insurance to general contractors and project owners on a reactive basis and appears to maintain compliance with contractual insurance requirements on active projects. However, there is no formal COI tracking system, no centralized log of certificates issued or received, and no proactive process for verifying that subcontractors working under Excel Fire carry adequate coverage. In a diligence context, the inability to readily produce evidence of historical COI compliance — even where actual compliance exists — is a documentation gap that could slow or complicate a buyer’s review.</w:t>
      </w:r>
    </w:p>
    <w:p>
      <w:pPr>
        <w:pStyle w:val="Heading3"/>
      </w:pPr>
      <w:r>
        <w:rPr>
          <w:rFonts w:ascii="Aptos Display" w:hAnsi="Aptos Display" w:eastAsia="Aptos Display"/>
          <w:b/>
          <w:color w:val="5B9BD5"/>
          <w:sz w:val="22"/>
        </w:rPr>
        <w:t xml:space="preserve">Budgeting, Forecasting &amp; Management Reporting</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No modernization workstream yet; baseline forecasting exists in the three-year business plan model that informed the SBA package, but a recurring management-reporting cadence is not yet defined.</w:t>
      </w:r>
    </w:p>
    <w:p>
      <w:pPr>
        <w:pStyle w:val="Normal"/>
        <w:spacing w:after="120"/>
      </w:pPr>
      <w:r>
        <w:rPr>
          <w:rFonts w:ascii="Aptos" w:hAnsi="Aptos" w:eastAsia="Aptos"/>
          <w:b w:val="0"/>
          <w:sz w:val="20"/>
        </w:rPr>
        <w:t xml:space="preserve">There is no budget, no forecast, no management reporting cadence, and no lender reporting package. This is a complete absence rather than a quality gap, and it limits the owner’s and a prospective buyer’s ability to assess operating performance against a plan. Establishing a baseline reporting cadence is a precondition for the SBA-driven debt-service obligations that will attach at close and for the lender-reporting package that the senior facility will require post-close.</w:t>
      </w:r>
    </w:p>
    <w:p>
      <w:pPr>
        <w:pStyle w:val="Heading2"/>
      </w:pPr>
      <w:r>
        <w:rPr>
          <w:rFonts w:ascii="Aptos Display" w:hAnsi="Aptos Display" w:eastAsia="Aptos Display"/>
          <w:b/>
          <w:color w:val="1F4E79"/>
          <w:sz w:val="24"/>
        </w:rPr>
        <w:t xml:space="preserve">3.2 Revenue Generation &amp; Customer Management</w:t>
      </w:r>
    </w:p>
    <w:p>
      <w:pPr>
        <w:pStyle w:val="Heading3"/>
      </w:pPr>
      <w:r>
        <w:rPr>
          <w:rFonts w:ascii="Aptos Display" w:hAnsi="Aptos Display" w:eastAsia="Aptos Display"/>
          <w:b/>
          <w:color w:val="5B9BD5"/>
          <w:sz w:val="22"/>
        </w:rPr>
        <w:t xml:space="preserve">Estimating Methodology Not Documented</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Key-Person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§2.2</w:t>
      </w:r>
    </w:p>
    <w:p>
      <w:pPr>
        <w:pStyle w:val="Normal"/>
        <w:spacing w:after="120"/>
      </w:pPr>
      <w:r>
        <w:rPr>
          <w:rFonts w:ascii="Aptos" w:hAnsi="Aptos" w:eastAsia="Aptos"/>
          <w:b/>
          <w:bCs/>
          <w:sz w:val="20"/>
        </w:rPr>
        <w:t xml:space="preserve">Remediation: </w:t>
      </w:r>
      <w:r>
        <w:rPr>
          <w:rFonts w:ascii="Aptos" w:hAnsi="Aptos" w:eastAsia="Aptos"/>
          <w:b w:val="0"/>
          <w:sz w:val="20"/>
        </w:rPr>
        <w:t xml:space="preserve">Scheduled — Focus weeks of May 11 and May 18; success criterion is a documented process that can be followed without Kevin or Keith's assistance; benchmarked against a planned visit with Kevin's friend Scott (modern sprinkler-fitter shop in Wisconsin).</w:t>
      </w:r>
    </w:p>
    <w:p>
      <w:pPr>
        <w:pStyle w:val="Normal"/>
        <w:spacing w:after="120"/>
      </w:pPr>
      <w:r>
        <w:rPr>
          <w:rFonts w:ascii="Aptos" w:hAnsi="Aptos" w:eastAsia="Aptos"/>
          <w:b w:val="0"/>
          <w:sz w:val="20"/>
        </w:rPr>
        <w:t xml:space="preserve">The Company’s two-method cross-check estimating approach (dollars-per-square-foot and dollars-per-sprinkler-head, reconciled on a working bid sheet) is consistent and appears to be disciplined, but the underlying rates, cost buildup methodology, and review heuristics are held in Kevin and Keith’s working knowledge rather than in written documentation. This is a key-person dependency as much as it is a process gap, and is the single highest-leverage knowledge-transfer item in the engagement: estimating capability is what allows the Company to bid work, and an unbacked-up estimator is a single-event business-interruption risk under the closing timeline.</w:t>
      </w:r>
    </w:p>
    <w:p>
      <w:pPr>
        <w:pStyle w:val="Heading3"/>
      </w:pPr>
      <w:r>
        <w:rPr>
          <w:rFonts w:ascii="Aptos Display" w:hAnsi="Aptos Display" w:eastAsia="Aptos Display"/>
          <w:b/>
          <w:color w:val="5B9BD5"/>
          <w:sz w:val="22"/>
        </w:rPr>
        <w:t xml:space="preserve">Absence of Standing Inspection Service Agreements</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§2.2</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Depends on Finding #6 (inspection-delivery hire decision); MSA template development begins after the delivery model is decided.</w:t>
      </w:r>
    </w:p>
    <w:p>
      <w:pPr>
        <w:pStyle w:val="Normal"/>
        <w:spacing w:after="120"/>
      </w:pPr>
      <w:r>
        <w:rPr>
          <w:rFonts w:ascii="Aptos" w:hAnsi="Aptos" w:eastAsia="Aptos"/>
          <w:b w:val="0"/>
          <w:sz w:val="20"/>
        </w:rPr>
        <w:t xml:space="preserve">Excel Fire does not maintain written, multi-year, or auto-renewing inspection service agreements with the customers on Krissy’s inspection tracking spreadsheet. Recurring annual inspection work is treated as a discrete, individually awarded engagement each year rather than as performance under a standing contract. This creates two related risks: the customer has no contractual obligation to return to Excel Fire for the next cycle, and Excel Fire has no contractual obligation to proactively notify customers of upcoming due dates, so any cycle that is not actively pursued by office staff is at risk of quietly leaving the tracking spreadsheet entirely. Inspection revenue is one of the two revenue streams most readily valued by a prospective buyer; the absence of contractual lock-in reduces the defensibility of that line item in diligence.</w:t>
      </w:r>
    </w:p>
    <w:p>
      <w:pPr>
        <w:pStyle w:val="Heading3"/>
      </w:pPr>
      <w:r>
        <w:rPr>
          <w:rFonts w:ascii="Aptos Display" w:hAnsi="Aptos Display" w:eastAsia="Aptos Display"/>
          <w:b/>
          <w:color w:val="5B9BD5"/>
          <w:sz w:val="22"/>
        </w:rPr>
        <w:t xml:space="preserve">Declining Inspection Volume &amp; Competitive Consolidation Risk</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Strategic context exists in the UP Michigan Fire Protection Market Analysis (Notion); no defensive product offering or customer-conversion plan in motion. Trade Organization Membership Plan in Notion is an adjacent piece.</w:t>
      </w:r>
    </w:p>
    <w:p>
      <w:pPr>
        <w:pStyle w:val="Normal"/>
        <w:spacing w:after="120"/>
      </w:pPr>
      <w:r>
        <w:rPr>
          <w:rFonts w:ascii="Aptos" w:hAnsi="Aptos" w:eastAsia="Aptos"/>
          <w:b w:val="0"/>
          <w:sz w:val="20"/>
        </w:rPr>
        <w:t xml:space="preserve">The Company’s inspection-services book is exposed to two converging market developments. First, a regional competitor (Lammi Sprinkler) was acquired by Summit Fire Protection, a national fire protection roll-up, during the engagement window. Second, at least one existing customer (Teal Lake) has expressed a preference for a single-vendor model combining installation with ongoing inspection and service. The Company’s current reactive, per-request inspection delivery model — with no multi-year service agreements — leaves it structurally disadvantaged against national roll-ups that can offer bundled installation, inspection, and service on a single contract. The risk is not a single-customer loss event; it is a slow erosion of the recurring inspection book as customer-by-customer decisions drift toward bundled providers. There is currently no defensive offering and no mechanism to detect early-warning signals of at-risk inspection accounts.</w:t>
      </w:r>
    </w:p>
    <w:p>
      <w:pPr>
        <w:pStyle w:val="Heading3"/>
      </w:pPr>
      <w:r>
        <w:rPr>
          <w:rFonts w:ascii="Aptos Display" w:hAnsi="Aptos Display" w:eastAsia="Aptos Display"/>
          <w:b/>
          <w:color w:val="5B9BD5"/>
          <w:sz w:val="22"/>
        </w:rPr>
        <w:t xml:space="preserve">No CRM or Pipeline System</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§2.2</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Customers database in EFP Job Tracking provides the foundation; full CRM/pipeline functionality follows the inspection-line and PM workstream decisions.</w:t>
      </w:r>
    </w:p>
    <w:p>
      <w:pPr>
        <w:pStyle w:val="Normal"/>
        <w:spacing w:after="120"/>
      </w:pPr>
      <w:r>
        <w:rPr>
          <w:rFonts w:ascii="Aptos" w:hAnsi="Aptos" w:eastAsia="Aptos"/>
          <w:b w:val="0"/>
          <w:sz w:val="20"/>
        </w:rPr>
        <w:t xml:space="preserve">There is no CRM system, no customer communication log, no opportunity pipeline, and no structured visibility into outbound bids or open proposals beyond the physical “Proposals sent, no answer yet” filing drawer. Customer information exists in the owner’s and office staff’s working memory and in email. This is a knowledge-continuity gap that compounds the key-person dependency findings in Section 4.</w:t>
      </w:r>
    </w:p>
    <w:p>
      <w:pPr>
        <w:pStyle w:val="Heading3"/>
      </w:pPr>
      <w:r>
        <w:rPr>
          <w:rFonts w:ascii="Aptos Display" w:hAnsi="Aptos Display" w:eastAsia="Aptos Display"/>
          <w:b/>
          <w:color w:val="5B9BD5"/>
          <w:sz w:val="22"/>
        </w:rPr>
        <w:t xml:space="preserve">Declined Inspection-Adjacent Inbound Service Volume (Revenue Leakage)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§2.2 / 2.3</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Measurement gap; lightweight intake-logging at the front desk would unlock the service-line decision. Sister-company fire extinguisher service concept (agent memory) is a partial defensive move.</w:t>
      </w:r>
    </w:p>
    <w:p>
      <w:pPr>
        <w:pStyle w:val="Normal"/>
        <w:spacing w:after="120"/>
      </w:pPr>
      <w:r>
        <w:rPr>
          <w:rFonts w:ascii="Aptos" w:hAnsi="Aptos" w:eastAsia="Aptos"/>
          <w:b w:val="0"/>
          <w:sz w:val="20"/>
        </w:rPr>
        <w:t xml:space="preserve">The Company’s front desk receives regular inbound calls requesting fire extinguisher service, commercial kitchen hood system service, and other inspection-adjacent work that Excel Fire is not currently licensed or staffed to provide. These calls are declined without being logged. The Company therefore has no quantitative view of the volume or economic value of the declined demand, has no basis for evaluating whether adding ICC/NAFED-certified extinguisher service (or comparable hood-suppression capability) would be accretive, and has no mechanism to convert the inbound call into even a low-friction referral relationship with a service provider the Company trusts. This is a measurement gap first and a service-line decision gap second — the service-line decision cannot be made without the measurement.</w:t>
      </w:r>
    </w:p>
    <w:p>
      <w:pPr>
        <w:pStyle w:val="Heading2"/>
      </w:pPr>
      <w:r>
        <w:rPr>
          <w:rFonts w:ascii="Aptos Display" w:hAnsi="Aptos Display" w:eastAsia="Aptos Display"/>
          <w:b/>
          <w:color w:val="1F4E79"/>
          <w:sz w:val="24"/>
        </w:rPr>
        <w:t xml:space="preserve">3.3 Project Delivery &amp; Operations</w:t>
      </w:r>
    </w:p>
    <w:p>
      <w:pPr>
        <w:pStyle w:val="Heading3"/>
      </w:pPr>
      <w:r>
        <w:rPr>
          <w:rFonts w:ascii="Aptos Display" w:hAnsi="Aptos Display" w:eastAsia="Aptos Display"/>
          <w:b/>
          <w:color w:val="5B9BD5"/>
          <w:sz w:val="22"/>
        </w:rPr>
        <w:t xml:space="preserve">Inspection Delivery Concentration — Single Point of Failure</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Key-Person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Mitigation depends on the inspection-delivery hire decision (internal Konner promotion vs. external NFPA-25 hire); cross-training plan defined post-decision. Strategic conversation seeded on the May 11 trip.</w:t>
      </w:r>
    </w:p>
    <w:p>
      <w:pPr>
        <w:pStyle w:val="Normal"/>
        <w:spacing w:after="120"/>
      </w:pPr>
      <w:r>
        <w:rPr>
          <w:rFonts w:ascii="Aptos" w:hAnsi="Aptos" w:eastAsia="Aptos"/>
          <w:b w:val="0"/>
          <w:sz w:val="20"/>
        </w:rPr>
        <w:t xml:space="preserve">Keith Lefebvre is the Company’s sole fire protection system inspector for both NFPA-25 ITM work on existing systems and AHJ rough-in and final inspection coordination on new-construction projects. No apprentice currently performs independent NFPA-25 inspections. No cross-trained backup inspector exists. The Company’s largest inspection engagement — the annual hospital complex inspection performed jointly with Siemens, covering facility codes EP2, EP9, EP11, and EP12 — has no documented site binder, no teaming protocol, and no written coverage plan against Keith’s absence. In combination with Keith’s stated retirement intent (see Section 4), this is the most acute succession gap in the inspection workstream. The efficiency gain from 3.5 days to 1.5 days on the hospital complex is knowledge that lives in Keith and is lost on his departure unless affirmatively transferred.</w:t>
      </w:r>
    </w:p>
    <w:p>
      <w:pPr>
        <w:pStyle w:val="Heading3"/>
      </w:pPr>
      <w:r>
        <w:rPr>
          <w:rFonts w:ascii="Aptos Display" w:hAnsi="Aptos Display" w:eastAsia="Aptos Display"/>
          <w:b/>
          <w:color w:val="5B9BD5"/>
          <w:sz w:val="22"/>
        </w:rPr>
        <w:t xml:space="preserve">Field-to-Office Communication Gap</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Field Crew Communication Architecture (Quo + Notion + OpenClaw) in pilot; the four live Job Tracking databases (Installation Jobs, Inspection Jobs, Billing Log, Change Orders) provide the office-side structure.</w:t>
      </w:r>
    </w:p>
    <w:p>
      <w:pPr>
        <w:pStyle w:val="Normal"/>
        <w:spacing w:after="120"/>
      </w:pPr>
      <w:r>
        <w:rPr>
          <w:rFonts w:ascii="Aptos" w:hAnsi="Aptos" w:eastAsia="Aptos"/>
          <w:b w:val="0"/>
          <w:sz w:val="20"/>
        </w:rPr>
        <w:t xml:space="preserve">There is no formal status reporting cadence between field crews and the office. The whiteboard functions as the Company’s de facto work-in-process tracking system, but its currency is directly bounded by what the field has reported back to the office. In practice it is frequently out of date in both directions: jobs that have advanced without notification sit too low, and jobs that have been completed without notification sit unresolved. It should be treated as a directional reference rather than a system of record.</w:t>
      </w:r>
    </w:p>
    <w:p>
      <w:pPr>
        <w:pStyle w:val="Normal"/>
        <w:spacing w:after="120"/>
      </w:pPr>
      <w:r>
        <w:rPr>
          <w:rFonts w:ascii="Aptos" w:hAnsi="Aptos" w:eastAsia="Aptos"/>
          <w:b w:val="0"/>
          <w:sz w:val="20"/>
        </w:rPr>
        <w:t xml:space="preserve">The billing workflow reveals a related gap: percentage-of-completion billing on installation projects depends on Keith’s verbal assessment of job progress, which the office uses as one of two inputs (alongside payroll hours) to determine how much to bill. This creates a single point of failure in the billing cycle — if Keith is unavailable, the office cannot reliably determine a billing amount — and a potential accuracy risk, since the completion assessment is subjective and is not validated against any objective progress metric. The AIA billing documents, schedule of values, and lien-waiver verification steps are all handled competently by the office when the required inputs are available, but the dependency on Keith for the critical input is the bottleneck.</w:t>
      </w:r>
    </w:p>
    <w:p>
      <w:pPr>
        <w:pStyle w:val="Heading3"/>
      </w:pPr>
      <w:r>
        <w:rPr>
          <w:rFonts w:ascii="Aptos Display" w:hAnsi="Aptos Display" w:eastAsia="Aptos Display"/>
          <w:b/>
          <w:color w:val="5B9BD5"/>
          <w:sz w:val="22"/>
        </w:rPr>
        <w:t xml:space="preserve">Safety Program</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Regulatory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§2.3 / 2.6</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Under the HR agent in the modernization effort, including a standing safety calendar — the piece that's missing in the current state. New Employee Onboarding Checklist owns the at-hire MIOSHA orientation.</w:t>
      </w:r>
    </w:p>
    <w:p>
      <w:pPr>
        <w:pStyle w:val="Normal"/>
        <w:spacing w:after="120"/>
      </w:pPr>
      <w:r>
        <w:rPr>
          <w:rFonts w:ascii="Aptos" w:hAnsi="Aptos" w:eastAsia="Aptos"/>
          <w:b w:val="0"/>
          <w:sz w:val="20"/>
        </w:rPr>
        <w:t xml:space="preserve">The safety program is reactive rather than proactive. OSHA 300 logs are prepared when customers require them for project qualification, not on a standing calendar. There is no standing safety training program. This is both a compliance risk and a contractor-prequalification (ISN) risk.</w:t>
      </w:r>
    </w:p>
    <w:p>
      <w:pPr>
        <w:pStyle w:val="Normal"/>
        <w:spacing w:after="120"/>
      </w:pPr>
      <w:r>
        <w:rPr>
          <w:rFonts w:ascii="Aptos" w:hAnsi="Aptos" w:eastAsia="Aptos"/>
          <w:b w:val="0"/>
          <w:sz w:val="20"/>
        </w:rPr>
        <w:t xml:space="preserve">The absence of a proactive safety program also intersects with customer-specific training requirements documented in the current-state report. Eagle Mine requires site-specific safety training (one-day and three-day versions) for any contractor working on mine property, and the Company has no system for tracking which employees hold current certifications, when those certifications expire, or which upcoming jobs will require certified personnel. The training gap is not hypothetical: if Keith is unavailable and a mine inspection requires a certified technician, the Company currently has no other employee with a current mine safety certification to deploy.</w:t>
      </w:r>
    </w:p>
    <w:p>
      <w:pPr>
        <w:pStyle w:val="Heading3"/>
      </w:pPr>
      <w:r>
        <w:rPr>
          <w:rFonts w:ascii="Aptos Display" w:hAnsi="Aptos Display" w:eastAsia="Aptos Display"/>
          <w:b/>
          <w:color w:val="5B9BD5"/>
          <w:sz w:val="22"/>
        </w:rPr>
        <w:t xml:space="preserve">Project Management &amp; Subcontractor Management — GC-Seat Exposure</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 / 2.5</w:t>
      </w:r>
    </w:p>
    <w:p>
      <w:pPr>
        <w:pStyle w:val="Normal"/>
        <w:spacing w:after="120"/>
      </w:pPr>
      <w:r>
        <w:rPr>
          <w:rFonts w:ascii="Aptos" w:hAnsi="Aptos" w:eastAsia="Aptos"/>
          <w:b/>
          <w:bCs/>
          <w:sz w:val="20"/>
        </w:rPr>
        <w:t xml:space="preserve">Remediation: </w:t>
      </w:r>
      <w:r>
        <w:rPr>
          <w:rFonts w:ascii="Aptos" w:hAnsi="Aptos" w:eastAsia="Aptos"/>
          <w:b w:val="0"/>
          <w:sz w:val="20"/>
        </w:rPr>
        <w:t xml:space="preserve">Scheduled — Kevin/Justin working session on the May 11 on-site, anchored by the EMP / Advanced Products case.</w:t>
      </w:r>
    </w:p>
    <w:p>
      <w:pPr>
        <w:pStyle w:val="Normal"/>
        <w:spacing w:after="120"/>
      </w:pPr>
      <w:r>
        <w:rPr>
          <w:rFonts w:ascii="Aptos" w:hAnsi="Aptos" w:eastAsia="Aptos"/>
          <w:b w:val="0"/>
          <w:sz w:val="20"/>
        </w:rPr>
        <w:t xml:space="preserve">On engagements where Excel Fire acts as the general contractor for a life safety scope rather than as a subcontractor under a third-party GC, the Company does not maintain a formal project management process, written subcontractor management protocol, or contractual backstop framework (subcontractor performance terms, escalation paths, change-control mechanics, or hold-back provisions) of the type that is typically used by a general contractor to manage its subcontractors. The same informal, relationship-and-memory-based operating model that functions reasonably well when the Company is itself the sub under a competent GC does not have a backstop when Excel Fire is the party responsible for managing other trades. The exposure surfaces only when a subcontractor fails; on engagements where the subcontractor performs as expected, the absence of a formal PM and subcontractor-management framework is not visible.</w:t>
      </w:r>
    </w:p>
    <w:p>
      <w:pPr>
        <w:pStyle w:val="Normal"/>
        <w:spacing w:after="120"/>
      </w:pPr>
      <w:r>
        <w:rPr>
          <w:rFonts w:ascii="Aptos" w:hAnsi="Aptos" w:eastAsia="Aptos"/>
          <w:b w:val="0"/>
          <w:sz w:val="20"/>
        </w:rPr>
        <w:t xml:space="preserve">The EMP / Advanced Products engagement is the most material example of this dynamic in the period reviewed. Excel Fire absorbed the coordination, scheduling, callback, and customer-relationship costs arising from a deterioration in the alarm subcontractor’s performance following its acquisition by Summit Fire Protection, and had no contractual backstop to fall back on. EMP / Advanced Products represents approximately $1.77M of three-year invoiced revenue, so the dollar weight on the GC-seat exposure pattern is non-trivial.</w:t>
      </w:r>
    </w:p>
    <w:p>
      <w:pPr>
        <w:pStyle w:val="Heading3"/>
      </w:pPr>
      <w:r>
        <w:rPr>
          <w:rFonts w:ascii="Aptos Display" w:hAnsi="Aptos Display" w:eastAsia="Aptos Display"/>
          <w:b/>
          <w:color w:val="5B9BD5"/>
          <w:sz w:val="22"/>
        </w:rPr>
        <w:t xml:space="preserve">Absence of Written QA/QC Program</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No modernization workstream yet; ownership question to be surfaced on the May 11 trip. The most material un-anchored High finding.</w:t>
      </w:r>
    </w:p>
    <w:p>
      <w:pPr>
        <w:pStyle w:val="Normal"/>
        <w:spacing w:after="120"/>
      </w:pPr>
      <w:r>
        <w:rPr>
          <w:rFonts w:ascii="Aptos" w:hAnsi="Aptos" w:eastAsia="Aptos"/>
          <w:b w:val="0"/>
          <w:sz w:val="20"/>
        </w:rPr>
        <w:t xml:space="preserve">The Company operates without a written QA/QC program. On installation work, quality control is effectively the AHJ inspection itself — a failed inspection is the independent verification step, with the direct economic consequence of a re-trip fee. On repair and service work, post-repair verification is informal and is performed by the same crew member who did the work, with no separation between execution and verification. On NFPA-25 inspection work, the inspection report serves as its own QC record. There is no written QC checklist, no post-project punch-list sign-off document, no defined re-check step on repair work, and no independent verification path separate from the field crew that performed the work. Relative to the compliance-critical nature of life safety work, this is a material control gap.</w:t>
      </w:r>
    </w:p>
    <w:p>
      <w:pPr>
        <w:pStyle w:val="Heading3"/>
      </w:pPr>
      <w:r>
        <w:rPr>
          <w:rFonts w:ascii="Aptos Display" w:hAnsi="Aptos Display" w:eastAsia="Aptos Display"/>
          <w:b/>
          <w:color w:val="5B9BD5"/>
          <w:sz w:val="22"/>
        </w:rPr>
        <w:t xml:space="preserve">No Defined Job Intake Data Model</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Installation Jobs and Inspection Jobs databases in EFP Job Tracking define the canonical intake data model; office adoption is the remaining piece.</w:t>
      </w:r>
    </w:p>
    <w:p>
      <w:pPr>
        <w:pStyle w:val="Normal"/>
        <w:spacing w:after="120"/>
      </w:pPr>
      <w:r>
        <w:rPr>
          <w:rFonts w:ascii="Aptos" w:hAnsi="Aptos" w:eastAsia="Aptos"/>
          <w:b w:val="0"/>
          <w:sz w:val="20"/>
        </w:rPr>
        <w:t xml:space="preserve">There is no documented minimum data set that must be captured when a new job enters the office (billing contact, billing address, on-site contact, desired start date, permit requirements, pay terms). Customer information arrives in fragments and the office repeatedly chases missing pieces downstream in order to invoice, schedule, or close out work. The two-month delay on a single inspection invoice documented in the current-state report is the concrete illustration of this gap.</w:t>
      </w:r>
    </w:p>
    <w:p>
      <w:pPr>
        <w:pStyle w:val="Heading3"/>
      </w:pPr>
      <w:r>
        <w:rPr>
          <w:rFonts w:ascii="Aptos Display" w:hAnsi="Aptos Display" w:eastAsia="Aptos Display"/>
          <w:b/>
          <w:color w:val="5B9BD5"/>
          <w:sz w:val="22"/>
        </w:rPr>
        <w:t xml:space="preserve">AHJ Rough-In / Final Re-Trip Cost Exposure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val="0"/>
          <w:sz w:val="20"/>
        </w:rPr>
        <w:t>Remediation: In Flight — Permit Management Process page in Notion documents the workflow; per-trip cost exposure addressed indirectly through pre-inspection readiness improvements paired with QA/QC (Finding #20, open).</w:t>
      </w:r>
    </w:p>
    <w:p>
      <w:pPr>
        <w:pStyle w:val="Normal"/>
        <w:spacing w:after="120"/>
      </w:pPr>
      <w:r>
        <w:rPr>
          <w:rFonts w:ascii="Aptos" w:hAnsi="Aptos" w:eastAsia="Aptos"/>
          <w:b w:val="0"/>
          <w:sz w:val="20"/>
        </w:rPr>
        <w:t xml:space="preserve">State inspection fees under the Michigan Bureau of Construction Codes transition are assessed per trip (approximately $800 for a 2,000-square-foot building, scaling with facility size) and are paid by Excel Fire and billed through to the customer. Because the fee is per-trip, any rough-in or final inspection that fails requires a re-trip at the same fee. One recent project (Town Place Suites) required two rough-in inspections during the engagement window. There is no root-cause log for re-trip inspections, no defined pre-inspection walk-down checklist separate from Keith’s personal routine, and no post-mortem process to feed re-trip causes back into estimating contingency or pre-inspection quality control. The combination of per-trip fee economics, a single state inspector (Phil Myron) with four-to-six-week lead times for the entire Upper Peninsula, and the absence of a documented pre-inspection readiness process creates concentrated schedule and margin risk on new-construction projects.</w:t>
      </w:r>
    </w:p>
    <w:p>
      <w:pPr>
        <w:pStyle w:val="Heading3"/>
      </w:pPr>
      <w:r>
        <w:rPr>
          <w:rFonts w:ascii="Aptos Display" w:hAnsi="Aptos Display" w:eastAsia="Aptos Display"/>
          <w:b/>
          <w:color w:val="5B9BD5"/>
          <w:sz w:val="22"/>
        </w:rPr>
        <w:t xml:space="preserve">Rough-In Artifact Preparation &amp; Centralization Gap</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Depends on the inspection-delivery hire and the eventual choice of ITM platform (Inspect Point or alternative); document centralization follows.</w:t>
      </w:r>
    </w:p>
    <w:p>
      <w:pPr>
        <w:pStyle w:val="Normal"/>
        <w:spacing w:after="120"/>
      </w:pPr>
      <w:r>
        <w:rPr>
          <w:rFonts w:ascii="Aptos" w:hAnsi="Aptos" w:eastAsia="Aptos"/>
          <w:b w:val="0"/>
          <w:sz w:val="20"/>
        </w:rPr>
        <w:t xml:space="preserve">Rough-in inspection readiness requires specific physical artifacts on site — a hydraulic calculation sticker affixed to the riser and testing material sheets documenting installed pipe, fittings, and head models. Preparation of these artifacts is managed by Keith personally. The artifacts themselves do not live in any centralized document management system, are not cross-referenced in the job file at the office, and rely on timely deliverables from the design subcontractor (primarily Craig Johnson, with Jeff Prange on the VA hospital project). If Keith is unavailable at rough-in, the office has no independent way to verify that required artifacts are in place prior to the inspector’s visit, and there is no defined backup path for pulling the hydraulic calculations and material documentation from the design subcontractor under time pressure.</w:t>
      </w:r>
    </w:p>
    <w:p>
      <w:pPr>
        <w:pStyle w:val="Heading3"/>
      </w:pPr>
      <w:r>
        <w:rPr>
          <w:rFonts w:ascii="Aptos Display" w:hAnsi="Aptos Display" w:eastAsia="Aptos Display"/>
          <w:b/>
          <w:color w:val="5B9BD5"/>
          <w:sz w:val="22"/>
        </w:rPr>
        <w:t xml:space="preserve">Inspection Management System Absent (No ITM Platform)</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Inspection Jobs database provides interim tracking; full ITM platform adoption sequenced behind the inspection-delivery model decision.</w:t>
      </w:r>
    </w:p>
    <w:p>
      <w:pPr>
        <w:pStyle w:val="Normal"/>
        <w:spacing w:after="120"/>
      </w:pPr>
      <w:r>
        <w:rPr>
          <w:rFonts w:ascii="Aptos" w:hAnsi="Aptos" w:eastAsia="Aptos"/>
          <w:b w:val="0"/>
          <w:sz w:val="20"/>
        </w:rPr>
        <w:t xml:space="preserve">Excel Fire does not use Inspect Point or any comparable inspection, testing, and maintenance software platform. Inspection reports are produced on paper forms and archived at the office; Krissy’s tracking spreadsheet is the only cross-facility view of inspection cadences. There is no customer-facing inspection portal, no deficiency tracking database, no automated re-test scheduling, and no historical trend data on inspection findings at the facility or system level. This gap compounds the service-agreement gap in Section 3.2: the Company lacks both the contract vehicle and the software-of-record that would allow it to compete on a modern inspection-services footing against national roll-ups.</w:t>
      </w:r>
    </w:p>
    <w:p>
      <w:pPr>
        <w:pStyle w:val="Heading3"/>
      </w:pPr>
      <w:r>
        <w:rPr>
          <w:rFonts w:ascii="Aptos Display" w:hAnsi="Aptos Display" w:eastAsia="Aptos Display"/>
          <w:b/>
          <w:color w:val="5B9BD5"/>
          <w:sz w:val="22"/>
        </w:rPr>
        <w:t xml:space="preserve">Fleet Maintenance Tracking</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Year-1 item; vehicles themselves are well maintained, so this is a documentation and diligence-readability gap.</w:t>
      </w:r>
    </w:p>
    <w:p>
      <w:pPr>
        <w:pStyle w:val="Normal"/>
        <w:spacing w:after="120"/>
      </w:pPr>
      <w:r>
        <w:rPr>
          <w:rFonts w:ascii="Aptos" w:hAnsi="Aptos" w:eastAsia="Aptos"/>
          <w:b w:val="0"/>
          <w:sz w:val="20"/>
        </w:rPr>
        <w:t xml:space="preserve">The vehicles themselves are well maintained and in good condition, so this is a process and documentation gap rather than an asset-condition issue. There is no maintenance tracking system, no scheduled service calendar, no vehicle identification database, and no telematics. Maintenance records may exist in paper files but are not centralized or readily producible. In a diligence context, the inability to demonstrate a maintenance history for fleet assets — even where the assets are visibly well kept — creates an unnecessary question mark for a buyer assessing remaining useful life and deferred-maintenance exposure.</w:t>
      </w:r>
    </w:p>
    <w:p>
      <w:pPr>
        <w:pStyle w:val="Heading3"/>
      </w:pPr>
      <w:r>
        <w:rPr>
          <w:rFonts w:ascii="Aptos Display" w:hAnsi="Aptos Display" w:eastAsia="Aptos Display"/>
          <w:b/>
          <w:color w:val="5B9BD5"/>
          <w:sz w:val="22"/>
        </w:rPr>
        <w:t xml:space="preserve">Inventory Management</w:t>
      </w:r>
    </w:p>
    <w:p>
      <w:pPr>
        <w:pStyle w:val="Normal"/>
        <w:spacing w:after="60"/>
      </w:pPr>
      <w:r>
        <w:rPr>
          <w:rFonts w:ascii="Aptos" w:hAnsi="Aptos" w:eastAsia="Aptos"/>
          <w:b/>
          <w:bCs/>
          <w:sz w:val="20"/>
        </w:rPr>
        <w:t xml:space="preserve">Severity: </w:t>
      </w:r>
      <w:r>
        <w:rPr>
          <w:rFonts w:ascii="Aptos" w:hAnsi="Aptos" w:eastAsia="Aptos"/>
          <w:b w:val="0"/>
          <w:sz w:val="20"/>
        </w:rPr>
        <w:t xml:space="preserve">Low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Low-severity item; no modernization workstream attached. Defer until inventory volume or shrink justifies the management overhead.</w:t>
      </w:r>
    </w:p>
    <w:p>
      <w:pPr>
        <w:pStyle w:val="Normal"/>
        <w:spacing w:after="120"/>
      </w:pPr>
      <w:r>
        <w:rPr>
          <w:rFonts w:ascii="Aptos" w:hAnsi="Aptos" w:eastAsia="Aptos"/>
          <w:b w:val="0"/>
          <w:sz w:val="20"/>
        </w:rPr>
        <w:t xml:space="preserve">Warehouse inventory of sprinkler materials is not formally managed. No tracking system, no min/max stock levels, no replenishment process, and no periodic count. The inventory exists to support emergency repair response time, and the absence of management is not currently a service-level problem, but it is a shrink and working-capital risk that cannot be quantified under the current process.</w:t>
      </w:r>
    </w:p>
    <w:p>
      <w:pPr>
        <w:pStyle w:val="Heading2"/>
      </w:pPr>
      <w:r>
        <w:rPr>
          <w:rFonts w:ascii="Aptos Display" w:hAnsi="Aptos Display" w:eastAsia="Aptos Display"/>
          <w:b/>
          <w:color w:val="1F4E79"/>
          <w:sz w:val="24"/>
        </w:rPr>
        <w:t xml:space="preserve">3.4 People &amp; Administration</w:t>
      </w:r>
    </w:p>
    <w:p>
      <w:pPr>
        <w:pStyle w:val="Heading3"/>
      </w:pPr>
      <w:r>
        <w:rPr>
          <w:rFonts w:ascii="Aptos Display" w:hAnsi="Aptos Display" w:eastAsia="Aptos Display"/>
          <w:b/>
          <w:color w:val="5B9BD5"/>
          <w:sz w:val="22"/>
        </w:rPr>
        <w:t xml:space="preserve">Office Succession — Betty Retirement</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Key-Person │ </w:t>
      </w:r>
      <w:r>
        <w:rPr>
          <w:rFonts w:ascii="Aptos" w:hAnsi="Aptos" w:eastAsia="Aptos"/>
          <w:b/>
          <w:bCs/>
          <w:sz w:val="20"/>
        </w:rPr>
        <w:t xml:space="preserve">Horizon: </w:t>
      </w:r>
      <w:r>
        <w:rPr>
          <w:rFonts w:ascii="Aptos" w:hAnsi="Aptos" w:eastAsia="Aptos"/>
          <w:b w:val="0"/>
          <w:sz w:val="20"/>
        </w:rPr>
        <w:t xml:space="preserve">Pre-close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Krissy cross-training underway; Betty-functions runbook interview scheduled for the May 11 on-site (before the May 15 retirement).</w:t>
      </w:r>
    </w:p>
    <w:p>
      <w:pPr>
        <w:pStyle w:val="Normal"/>
        <w:spacing w:after="120"/>
      </w:pPr>
      <w:r>
        <w:rPr>
          <w:rFonts w:ascii="Aptos" w:hAnsi="Aptos" w:eastAsia="Aptos"/>
          <w:b w:val="0"/>
          <w:sz w:val="20"/>
        </w:rPr>
        <w:t xml:space="preserve">Betty’s stated mid-May 2026 retirement creates a concentrated knowledge-transfer risk. Krissy has identified her own specific gaps in advance of the transition (invoicing for larger installation projects, AIA-format payment application paperwork, certified payroll preparation in Excel, and contractor-specific paperwork requirements that have historically lived in Betty’s memory), and her move from part-time to full-time status materially strengthens continuity, but several Betty-owned functions remain without written documentation at the time of this report. The post-retirement arrangement, in which Betty continues to maintain Masich Properties books while Excel Fire bookkeeping is re-sourced, also changes the related-party reporting posture between the two entities.</w:t>
      </w:r>
    </w:p>
    <w:p>
      <w:pPr>
        <w:pStyle w:val="Heading3"/>
      </w:pPr>
      <w:r>
        <w:rPr>
          <w:rFonts w:ascii="Aptos Display" w:hAnsi="Aptos Display" w:eastAsia="Aptos Display"/>
          <w:b/>
          <w:color w:val="5B9BD5"/>
          <w:sz w:val="22"/>
        </w:rPr>
        <w:t xml:space="preserve">Field Workforce Recruiting &amp; Retention</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Strategic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pPr>
        <w:pStyle w:val="Normal"/>
        <w:spacing w:after="120"/>
      </w:pPr>
      <w:r>
        <w:rPr>
          <w:rFonts w:ascii="Aptos" w:hAnsi="Aptos" w:eastAsia="Aptos"/>
          <w:b w:val="0"/>
          <w:sz w:val="20"/>
        </w:rPr>
        <w:t xml:space="preserve">The Company has no formal pipeline, screening process, or onboarding workflow for field hires. Union onboarding through Local 669 dispatch routinely runs several weeks behind a new hire’s first day, and the in-house personnel-file workflow does not pick up the slack. The two recent examples documented in the current-state report (the Local 669 traveler and the walk-off applicant) illustrate the pattern. This is both a capacity risk and a cost risk (turnover, dispatch fees, management time).</w:t>
      </w:r>
    </w:p>
    <w:p>
      <w:pPr>
        <w:pStyle w:val="Heading3"/>
      </w:pPr>
      <w:r>
        <w:rPr>
          <w:rFonts w:ascii="Aptos Display" w:hAnsi="Aptos Display" w:eastAsia="Aptos Display"/>
          <w:b/>
          <w:color w:val="5B9BD5"/>
          <w:sz w:val="22"/>
        </w:rPr>
        <w:t xml:space="preserve">IT Backup, Disaster Recovery, and Continuity Posture</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Site Infrastructure Standard (SIS-003) in Notion is the architectural reference (S3 with Object Lock, cross-region replication, PostgreSQL daily backups, Git config repo, 4-hour recovery target); deployment in progress.</w:t>
      </w:r>
    </w:p>
    <w:p>
      <w:pPr>
        <w:pStyle w:val="Normal"/>
        <w:spacing w:after="120"/>
      </w:pPr>
      <w:r>
        <w:rPr>
          <w:rFonts w:ascii="Aptos" w:hAnsi="Aptos" w:eastAsia="Aptos"/>
          <w:b w:val="0"/>
          <w:sz w:val="20"/>
        </w:rPr>
        <w:t xml:space="preserve">There is no formal IT backup or disaster-recovery posture in place. No on-site or off-site backup process is configured for any Company system. The QuickBooks Desktop file that operates as the financial system of record is not subject to a defined backup cadence, is not replicated to an off-site location under a Company-administered process, and has not been the subject of a documented restore test. The same is true of the inspection tracking spreadsheet, the certified payroll workbook, and the office Microsoft 365 mailboxes (which are protected only by Microsoft’s own platform-level retention defaults, not by any Company-administered backup). Restoration of business operations following a destructive event affecting the QuickBooks workstation or the office Microsoft 365 tenant would, under the current state, depend on whatever recovery options Lee Init and AT&amp;C are able to assemble reactively at the time of the event.</w:t>
      </w:r>
    </w:p>
    <w:p>
      <w:pPr>
        <w:pStyle w:val="Heading3"/>
      </w:pPr>
      <w:r>
        <w:rPr>
          <w:rFonts w:ascii="Aptos Display" w:hAnsi="Aptos Display" w:eastAsia="Aptos Display"/>
          <w:b/>
          <w:color w:val="5B9BD5"/>
          <w:sz w:val="22"/>
        </w:rPr>
        <w:t xml:space="preserve">IT Security Posture Beyond the Email Account</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IT Policies (EFP-ITP-004) and M365 Email &amp; Identity Architecture pages in Notion define the target; Bitwarden/Vaultwarden mandated for all employees with system access. Implementation tracks the SIS-003 deployment.</w:t>
      </w:r>
    </w:p>
    <w:p>
      <w:pPr>
        <w:pStyle w:val="Normal"/>
        <w:spacing w:after="120"/>
      </w:pPr>
      <w:r>
        <w:rPr>
          <w:rFonts w:ascii="Aptos" w:hAnsi="Aptos" w:eastAsia="Aptos"/>
          <w:b w:val="0"/>
          <w:sz w:val="20"/>
        </w:rPr>
        <w:t xml:space="preserve">The February 2026 email compromise was remediated narrowly: multi-factor authentication was enabled on the affected Microsoft 365 mailbox by Lee Init using Microsoft Authenticator. The compromise itself, however, originated from a broader absence of baseline controls, none of which has been systematically addressed. Multi-factor authentication is in place only on the M365 mailboxes; no other Company-administered account or platform requires it. The Company maintains no SSO directory, no centralized identity store, and no enterprise password manager. There is no enforced password policy, no documented security-awareness training program, and no written information-security policy. The post-incident state therefore protects against a recurrence of the specific attack but does not protect against the next variant.</w:t>
      </w:r>
    </w:p>
    <w:p>
      <w:pPr>
        <w:pStyle w:val="Heading3"/>
      </w:pPr>
      <w:r>
        <w:rPr>
          <w:rFonts w:ascii="Aptos Display" w:hAnsi="Aptos Display" w:eastAsia="Aptos Display"/>
          <w:b/>
          <w:color w:val="5B9BD5"/>
          <w:sz w:val="22"/>
        </w:rPr>
        <w:t xml:space="preserve">Cyber Insurance Gap and Property-Form Cyber-Incident Exclusion</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§2.1 / 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Gauthier Insurance currently quoting a cyber liability line per the IT Policies page §4.3.</w:t>
      </w:r>
    </w:p>
    <w:p>
      <w:pPr>
        <w:pStyle w:val="Normal"/>
        <w:spacing w:after="120"/>
      </w:pPr>
      <w:r>
        <w:rPr>
          <w:rFonts w:ascii="Aptos" w:hAnsi="Aptos" w:eastAsia="Aptos"/>
          <w:b w:val="0"/>
          <w:sz w:val="20"/>
        </w:rPr>
        <w:t xml:space="preserve">The Company’s broker file does not include a standalone cyber liability policy and the West Bend commercial property coverage form carries an explicit Cyber Incident Exclusion (CP1075) and an Exclusion of Certain Computer-Related Losses (IL0935Z), which together remove first-party cyber loss from the package coverage. Combined with the documented February 2026 email-account compromise, the Company is currently uninsured for the claim profile most likely to recur (business email compromise, fund-transfer fraud, ransomware on the QuickBooks workstation, or a destructive event to the office network). Cyber liability is a relatively low-cost line for a small specialty contractor and is best evaluated against the existing Gauthier brokerage relationship.</w:t>
      </w:r>
    </w:p>
    <w:p>
      <w:pPr>
        <w:pStyle w:val="Heading3"/>
      </w:pPr>
      <w:r>
        <w:rPr>
          <w:rFonts w:ascii="Aptos Display" w:hAnsi="Aptos Display" w:eastAsia="Aptos Display"/>
          <w:b/>
          <w:color w:val="5B9BD5"/>
          <w:sz w:val="22"/>
        </w:rPr>
        <w:t xml:space="preserve">Mobile Device Management &amp; Endpoint Posture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Linked to broader M365 / Intune decision per IT Policies; deferred until M365 Business Premium licensing is in place. Currently only Kevin and Keith carry Company-provided phones; all others on personal devices.</w:t>
      </w:r>
    </w:p>
    <w:p>
      <w:pPr>
        <w:pStyle w:val="Normal"/>
        <w:spacing w:after="120"/>
      </w:pPr>
      <w:r>
        <w:rPr>
          <w:rFonts w:ascii="Aptos" w:hAnsi="Aptos" w:eastAsia="Aptos"/>
          <w:b w:val="0"/>
          <w:sz w:val="20"/>
        </w:rPr>
        <w:t xml:space="preserve">Only the owner (Kevin) and the field lead (Keith) carry Company-provided smartphones; all other field and office staff use personal devices for any work-related calls, texts, or email access. There is no mobile device management (MDM) platform in place, no Company policy on personal-device use for Company communications, and no remote-wipe or device-revocation capability on either Company-provided or personal devices. On any termination event, the Company has no defined path for revoking application credentials or recovering Company data from a departing employee’s personal device.</w:t>
      </w:r>
    </w:p>
    <w:p>
      <w:pPr>
        <w:pStyle w:val="Heading3"/>
      </w:pPr>
      <w:r>
        <w:rPr>
          <w:rFonts w:ascii="Aptos Display" w:hAnsi="Aptos Display" w:eastAsia="Aptos Display"/>
          <w:b/>
          <w:color w:val="5B9BD5"/>
          <w:sz w:val="22"/>
        </w:rPr>
        <w:t xml:space="preserve">Records Retention Obligations Going Unmet</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Legal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 / 2.6</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pPr>
        <w:pStyle w:val="Normal"/>
        <w:spacing w:after="120"/>
      </w:pPr>
      <w:r>
        <w:rPr>
          <w:rFonts w:ascii="Aptos" w:hAnsi="Aptos" w:eastAsia="Aptos"/>
          <w:b w:val="0"/>
          <w:sz w:val="20"/>
        </w:rPr>
        <w:t xml:space="preserve">Records retention at Excel Fire is implemented as “keep paper in cabinets indefinitely” rather than as an affirmative compliance posture against the various federal, state, industry, and customer obligations that overlap on the Company’s records. The principal obligations include OSHA recordkeeping for employee exposure and medical records (30 years from the date of each employee’s last day), I-9 retention (3 years from hire or 1 year from termination, whichever is later), tax records (typically 7 years), FLSA payroll records (3 years), the Local 669 / NASI fund records that follow the union-administered side, and any litigation-hold residuals from the Eastwood matter and other resolved disputes. The current paper-cabinet posture neither demonstrates compliance with these obligations nor provides a mechanism for orderly disposition when retention periods expire. A written records retention policy, with retention periods mapped to record class, is a prerequisite to a defensible compliance posture and to any future migration of legacy paper to a managed digital archive.</w:t>
      </w:r>
    </w:p>
    <w:p>
      <w:pPr>
        <w:pStyle w:val="Heading3"/>
      </w:pPr>
      <w:r>
        <w:rPr>
          <w:rFonts w:ascii="Aptos Display" w:hAnsi="Aptos Display" w:eastAsia="Aptos Display"/>
          <w:b/>
          <w:color w:val="5B9BD5"/>
          <w:sz w:val="22"/>
        </w:rPr>
        <w:t xml:space="preserve">Software Inventory and Identity Management</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M365 Email &amp; Identity Architecture page in Notion defines the target (named user inboxes, shared mailboxes, AI agent identity, vendor-account migration); Bitwarden as the password manager.</w:t>
      </w:r>
    </w:p>
    <w:p>
      <w:pPr>
        <w:pStyle w:val="Normal"/>
        <w:spacing w:after="120"/>
      </w:pPr>
      <w:r>
        <w:rPr>
          <w:rFonts w:ascii="Aptos" w:hAnsi="Aptos" w:eastAsia="Aptos"/>
          <w:b w:val="0"/>
          <w:sz w:val="20"/>
        </w:rPr>
        <w:t xml:space="preserve">The Company’s software footprint is QuickBooks Desktop Pro Plus 2024 (managed by AT&amp;C) and Microsoft 365 (managed by Lee Init); no other business application is in use. While a small footprint reduces complexity, it also concentrates the entire knowledge base of the business into the QuickBooks file and a small number of Excel workbooks, with no enterprise application providing inspection management, project management, CRM, or document management. The narrowness of the application stack is itself a finding because it shapes the realistic remediation set for several of the Operational findings above (CRM, ITM platform, document management, certified-payroll tooling).</w:t>
      </w:r>
    </w:p>
    <w:p>
      <w:pPr>
        <w:pStyle w:val="Heading3"/>
      </w:pPr>
      <w:r>
        <w:rPr>
          <w:rFonts w:ascii="Aptos Display" w:hAnsi="Aptos Display" w:eastAsia="Aptos Display"/>
          <w:b/>
          <w:color w:val="5B9BD5"/>
          <w:sz w:val="22"/>
        </w:rPr>
        <w:t xml:space="preserve">Hiring, Onboarding &amp; Termination Process Definition</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Legal / 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New Employee Onboarding Checklist published in Notion covers hiring/onboarding end-to-end; termination side and broader hiring pipeline still being scoped.</w:t>
      </w:r>
    </w:p>
    <w:p>
      <w:pPr>
        <w:pStyle w:val="Normal"/>
        <w:spacing w:after="120"/>
      </w:pPr>
      <w:r>
        <w:rPr>
          <w:rFonts w:ascii="Aptos" w:hAnsi="Aptos" w:eastAsia="Aptos"/>
          <w:b w:val="0"/>
          <w:sz w:val="20"/>
        </w:rPr>
        <w:t xml:space="preserve">Hiring, onboarding, and termination processes are not formally defined or documented. Union onboarding is principally a back-and-forth correspondence with the Local 669 business office. Termination is unstructured: the owner instructs the departing employee not to return, with no formal exit checklist covering final-pay calculation, benefits notification (including COBRA where applicable), recovery of company property (phones, keys, fobs, credit cards), revocation of M365 mailbox access or other application credentials, or termination paperwork to the Local 669 administrator. The absence of an exit process compounds the Mobile Device Management and IT Security findings: a personal device retains its M365 sign-in until someone explicitly revokes it, which under the current state nobody is responsible for doing.</w:t>
      </w:r>
    </w:p>
    <w:p>
      <w:pPr>
        <w:pStyle w:val="Heading3"/>
      </w:pPr>
      <w:r>
        <w:rPr>
          <w:rFonts w:ascii="Aptos Display" w:hAnsi="Aptos Display" w:eastAsia="Aptos Display"/>
          <w:b/>
          <w:color w:val="5B9BD5"/>
          <w:sz w:val="22"/>
        </w:rPr>
        <w:t xml:space="preserve">HR Compliance Posture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Legal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HR Compliance &amp; Functions Guide published in Notion covering federal, Michigan state, and Marquette local HR regulatory framework.</w:t>
      </w:r>
    </w:p>
    <w:p>
      <w:pPr>
        <w:pStyle w:val="Normal"/>
        <w:spacing w:after="120"/>
      </w:pPr>
      <w:r>
        <w:rPr>
          <w:rFonts w:ascii="Aptos" w:hAnsi="Aptos" w:eastAsia="Aptos"/>
          <w:b w:val="0"/>
          <w:sz w:val="20"/>
        </w:rPr>
        <w:t xml:space="preserve">There is no designated HR function, no employee handbook, and no systematic monitoring of federal or Michigan state employment compliance obligations. This is a latent risk rather than a currently-active issue, with two related gaps in the same posture: there is no documented anti-harassment / anti-discrimination policy, no documented complaint-intake process, and no documented compliance with federal or Michigan posting requirements. With Title VII and ADA likely applying given the 15-employee threshold (when contractors and dispatched union travelers are counted in some quarters), the absence of these baseline policies is a documented vulnerability.</w:t>
      </w:r>
    </w:p>
    <w:p>
      <w:pPr>
        <w:pStyle w:val="Heading2"/>
      </w:pPr>
      <w:r>
        <w:rPr>
          <w:rFonts w:ascii="Aptos Display" w:hAnsi="Aptos Display" w:eastAsia="Aptos Display"/>
          <w:b/>
          <w:color w:val="1F4E79"/>
          <w:sz w:val="24"/>
        </w:rPr>
        <w:t xml:space="preserve">3.5 Institutional Knowledge &amp; Key Relationships</w:t>
      </w:r>
    </w:p>
    <w:p>
      <w:pPr>
        <w:pStyle w:val="Heading3"/>
      </w:pPr>
      <w:r>
        <w:rPr>
          <w:rFonts w:ascii="Aptos Display" w:hAnsi="Aptos Display" w:eastAsia="Aptos Display"/>
          <w:b/>
          <w:color w:val="5B9BD5"/>
          <w:sz w:val="22"/>
        </w:rPr>
        <w:t xml:space="preserve">Undocumented Owner Knowledge</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Key-Person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§2.5</w:t>
      </w:r>
    </w:p>
    <w:p>
      <w:pPr>
        <w:pStyle w:val="Normal"/>
        <w:spacing w:after="120"/>
      </w:pPr>
      <w:r>
        <w:rPr>
          <w:rFonts w:ascii="Aptos" w:hAnsi="Aptos" w:eastAsia="Aptos"/>
          <w:b/>
          <w:bCs/>
          <w:sz w:val="20"/>
        </w:rPr>
        <w:t xml:space="preserve">Remediation: </w:t>
      </w:r>
      <w:r>
        <w:rPr>
          <w:rFonts w:ascii="Aptos" w:hAnsi="Aptos" w:eastAsia="Aptos"/>
          <w:b w:val="0"/>
          <w:sz w:val="20"/>
        </w:rPr>
        <w:t xml:space="preserve">Scheduled — Focus weeks of May 11 and May 18; estimating is the highest-leverage piece (see Finding #11). Other elements (customer relationships, pricing posture, vendor arrangements) are captured opportunistically through the EFP Interviews and the in-process conversations.</w:t>
      </w:r>
    </w:p>
    <w:p>
      <w:pPr>
        <w:pStyle w:val="Normal"/>
        <w:spacing w:after="120"/>
      </w:pPr>
      <w:r>
        <w:rPr>
          <w:rFonts w:ascii="Aptos" w:hAnsi="Aptos" w:eastAsia="Aptos"/>
          <w:b w:val="0"/>
          <w:sz w:val="20"/>
        </w:rPr>
        <w:t xml:space="preserve">Extensive institutional knowledge is held by Kevin and is not reflected in any written record: estimating rates and cost buildup methodology, customer relationship history, pricing posture and flex across different customer types, vendor arrangements, informal understandings with Local 669, and the operating cadence with the related-party Masich Properties entity. This is the single largest transferable-knowledge gap in the engagement, and it sits across the Estimating finding in Section 3.2, the Customer Concentration finding immediately below, and the Field Leadership Succession finding in Section 4.</w:t>
      </w:r>
    </w:p>
    <w:p>
      <w:pPr>
        <w:pStyle w:val="Heading3"/>
      </w:pPr>
      <w:r>
        <w:rPr>
          <w:rFonts w:ascii="Aptos Display" w:hAnsi="Aptos Display" w:eastAsia="Aptos Display"/>
          <w:b/>
          <w:color w:val="5B9BD5"/>
          <w:sz w:val="22"/>
        </w:rPr>
        <w:t xml:space="preserve">Customer Concentration</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Strategic │ </w:t>
      </w:r>
      <w:r>
        <w:rPr>
          <w:rFonts w:ascii="Aptos" w:hAnsi="Aptos" w:eastAsia="Aptos"/>
          <w:b/>
          <w:bCs/>
          <w:sz w:val="20"/>
        </w:rPr>
        <w:t xml:space="preserve">Current-State: </w:t>
      </w:r>
      <w:r>
        <w:rPr>
          <w:rFonts w:ascii="Aptos" w:hAnsi="Aptos" w:eastAsia="Aptos"/>
          <w:b w:val="0"/>
          <w:sz w:val="20"/>
        </w:rPr>
        <w:t xml:space="preserve">§2.5</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Pairs with Finding #12 on the inspection-customer side and Finding #16 on the GC-seat side; MSA development sequenced behind the inspection-delivery decision.</w:t>
      </w:r>
    </w:p>
    <w:p>
      <w:pPr>
        <w:pStyle w:val="Normal"/>
        <w:spacing w:after="120"/>
      </w:pPr>
      <w:r>
        <w:rPr>
          <w:rFonts w:ascii="Aptos" w:hAnsi="Aptos" w:eastAsia="Aptos"/>
          <w:b w:val="0"/>
          <w:sz w:val="20"/>
        </w:rPr>
        <w:t xml:space="preserve">The three-year customer-concentration analysis shows material concentration across a small number of relationships: Cross Construction (~$831K), EMP / Advanced Products (~$1.77M), Siemens-intermediated UP Health Baraga (~$206K), Hall Contracting / L&amp;M Supply (~$199K), and a handful of recurring GC and intermediary relationships. None of these relationships are supported by written master service agreements, preferred-vendor contracts, or standing purchase orders. A diligence party will read this as customer concentration risk compounded by relationship-capture risk, since each of the major relationships is held personally by Kevin and (in the case of recurring field work) by Keith.</w:t>
      </w:r>
    </w:p>
    <w:p>
      <w:pPr>
        <w:pStyle w:val="Heading2"/>
      </w:pPr>
      <w:r>
        <w:rPr>
          <w:rFonts w:ascii="Aptos Display" w:hAnsi="Aptos Display" w:eastAsia="Aptos Display"/>
          <w:b/>
          <w:color w:val="1F4E79"/>
          <w:sz w:val="24"/>
        </w:rPr>
        <w:t xml:space="preserve">3.6 Regulatory &amp; Compliance</w:t>
      </w:r>
    </w:p>
    <w:p>
      <w:pPr>
        <w:pStyle w:val="Heading3"/>
      </w:pPr>
      <w:r>
        <w:rPr>
          <w:rFonts w:ascii="Aptos Display" w:hAnsi="Aptos Display" w:eastAsia="Aptos Display"/>
          <w:b/>
          <w:color w:val="5B9BD5"/>
          <w:sz w:val="22"/>
        </w:rPr>
        <w:t xml:space="preserve">Michigan Unemployment Insurance Filings</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Regulatory │ </w:t>
      </w:r>
      <w:r>
        <w:rPr>
          <w:rFonts w:ascii="Aptos" w:hAnsi="Aptos" w:eastAsia="Aptos"/>
          <w:b/>
          <w:bCs/>
          <w:sz w:val="20"/>
        </w:rPr>
        <w:t xml:space="preserve">Horizon: </w:t>
      </w:r>
      <w:r>
        <w:rPr>
          <w:rFonts w:ascii="Aptos" w:hAnsi="Aptos" w:eastAsia="Aptos"/>
          <w:b w:val="0"/>
          <w:sz w:val="20"/>
        </w:rPr>
        <w:t xml:space="preserve">Pre-close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bCs/>
          <w:sz w:val="20"/>
        </w:rPr>
        <w:t xml:space="preserve">Remediation: </w:t>
      </w:r>
      <w:r>
        <w:rPr>
          <w:rFonts w:ascii="Aptos" w:hAnsi="Aptos" w:eastAsia="Aptos"/>
          <w:b w:val="0"/>
          <w:sz w:val="20"/>
        </w:rPr>
        <w:t xml:space="preserve">Scheduled — AT&amp;C TPA assignment complete; reconstruction kickoff on the May 11 on-site.</w:t>
      </w:r>
    </w:p>
    <w:p>
      <w:pPr>
        <w:pStyle w:val="Normal"/>
        <w:spacing w:after="120"/>
      </w:pPr>
      <w:r>
        <w:rPr>
          <w:rFonts w:ascii="Aptos" w:hAnsi="Aptos" w:eastAsia="Aptos"/>
          <w:b w:val="0"/>
          <w:sz w:val="20"/>
        </w:rPr>
        <w:t xml:space="preserve">The Company has not filed a Michigan unemployment insurance report since the onset of the COVID-19 pandemic. Access to the UIA account has been restored and AT&amp;C has been assigned the Third Party Administrator role to assist with remediation, but reconstruction and re-establishment of the normal quarterly filing cadence remain an open, in-progress task at the date of this report. This is the most acute open regulatory item in the engagement and should be substantially closed before transaction close to avoid carrying it as an open compliance item across the change of ownership.</w:t>
      </w:r>
    </w:p>
    <w:p>
      <w:pPr>
        <w:pStyle w:val="Heading3"/>
      </w:pPr>
      <w:r>
        <w:rPr>
          <w:rFonts w:ascii="Aptos Display" w:hAnsi="Aptos Display" w:eastAsia="Aptos Display"/>
          <w:b/>
          <w:color w:val="5B9BD5"/>
          <w:sz w:val="22"/>
        </w:rPr>
        <w:t xml:space="preserve">NFPA &amp; AHJ Knowledge Concentration</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Regulatory / Key-Person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Permit Management Process documents the AHJ piece; full NFPA-25 procedural documentation sequenced behind the inspection-delivery hire (Finding #6).</w:t>
      </w:r>
    </w:p>
    <w:p>
      <w:pPr>
        <w:pStyle w:val="Normal"/>
        <w:spacing w:after="120"/>
      </w:pPr>
      <w:r>
        <w:rPr>
          <w:rFonts w:ascii="Aptos" w:hAnsi="Aptos" w:eastAsia="Aptos"/>
          <w:b w:val="0"/>
          <w:sz w:val="20"/>
        </w:rPr>
        <w:t xml:space="preserve">NFPA 13 (installation), NFPA 25 (inspection, testing, and maintenance), and the Michigan Bureau of Construction Codes procedural framework governing fire suppression plan review and inspection are applied by Keith based on his personal working knowledge. None of this knowledge is reduced to written procedures, checklists, reference guides, or training materials inside the Company. Field apprentices accompanying Keith on inspections perform supporting tasks only and are not progressing through NICET certification levels. On a retirement or unplanned absence, the Company’s immediate capability to pass AHJ rough-in and final inspections and to deliver NFPA-25 compliant ITM work would be substantially impaired. This is the regulatory-compliance face of the inspection concentration gap called out in Section 3.3 and the key-person dependency in Section 4.</w:t>
      </w:r>
    </w:p>
    <w:p>
      <w:pPr>
        <w:pStyle w:val="Heading3"/>
      </w:pPr>
      <w:r>
        <w:rPr>
          <w:rFonts w:ascii="Aptos Display" w:hAnsi="Aptos Display" w:eastAsia="Aptos Display"/>
          <w:b/>
          <w:color w:val="5B9BD5"/>
          <w:sz w:val="22"/>
        </w:rPr>
        <w:t xml:space="preserve">ISN / ISNetworld Prequalification Obligations</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Regulatory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Recommend folding into the consolidated compliance / training / certification calendar that the HR agent is building under Finding #23 (Safety Program).</w:t>
      </w:r>
    </w:p>
    <w:p>
      <w:pPr>
        <w:pStyle w:val="Normal"/>
        <w:spacing w:after="120"/>
      </w:pPr>
      <w:r>
        <w:rPr>
          <w:rFonts w:ascii="Aptos" w:hAnsi="Aptos" w:eastAsia="Aptos"/>
          <w:b w:val="0"/>
          <w:sz w:val="20"/>
        </w:rPr>
        <w:t xml:space="preserve">The Company’s ISN obligations are carried without a standing compliance calendar. The annual OSHA 300/300A upload and related obligations are completed when prompted rather than on a prescheduled cadence. This is a low-probability but high-consequence risk because a missed ISN compliance item can remove the Company from customer-qualified vendor lists. PotlatchDeltic and Cleveland Cliffs (Eagle Mine’s parent) both require ISN membership as a condition of performing work, and the approximately $1,500 annual ISN membership fee is itself a small line item against the revenue these accounts generate — the loss of qualification is the actual exposure, not the membership cost.</w:t>
      </w:r>
    </w:p>
    <w:p>
      <w:pPr>
        <w:pStyle w:val="Heading3"/>
      </w:pPr>
      <w:r>
        <w:rPr>
          <w:rFonts w:ascii="Aptos Display" w:hAnsi="Aptos Display" w:eastAsia="Aptos Display"/>
          <w:b/>
          <w:color w:val="5B9BD5"/>
          <w:sz w:val="22"/>
        </w:rPr>
        <w:t xml:space="preserve">Customer-Specific Compliance Tracking</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Regulatory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Same consolidation recommendation as Finding #21 — fold into the HR agent compliance calendar.</w:t>
      </w:r>
    </w:p>
    <w:p>
      <w:pPr>
        <w:pStyle w:val="Normal"/>
        <w:spacing w:after="120"/>
      </w:pPr>
      <w:r>
        <w:rPr>
          <w:rFonts w:ascii="Aptos" w:hAnsi="Aptos" w:eastAsia="Aptos"/>
          <w:b w:val="0"/>
          <w:sz w:val="20"/>
        </w:rPr>
        <w:t xml:space="preserve">The current-state documentation identifies several customers that impose specific compliance and training requirements as a condition of performing work — most notably Eagle Mine (mine-specific safety training with one-day and three-day certification tiers, and a three-year contract running through 2027), PotlatchDeltic and Cleveland Cliffs (ISN membership and annual OSHA reporting), and certain general contractors that require certified payroll reporting on specific projects. These obligations are currently tracked reactively and from memory; there is no consolidated compliance calendar, no system that associates compliance tasks with the customers or revenue streams they protect, and no advance-warning mechanism that flags upcoming deadlines before they become urgent.</w:t>
      </w:r>
    </w:p>
    <w:p>
      <w:pPr>
        <w:pStyle w:val="Normal"/>
        <w:spacing w:after="120"/>
      </w:pPr>
      <w:r>
        <w:rPr>
          <w:rFonts w:ascii="Aptos" w:hAnsi="Aptos" w:eastAsia="Aptos"/>
          <w:b w:val="0"/>
          <w:sz w:val="20"/>
        </w:rPr>
        <w:t xml:space="preserve">Each of these compliance obligations is a precondition to performing revenue-generating work for the associated customer. Failure to maintain mine safety training certification, for example, would prevent field crews from being deployed to Eagle Mine — a customer relationship worth tens of thousands of dollars annually in recurring inspection and service work under a multi-year contract. Failure to upload OSHA data to ISN on time would jeopardize the Company’s ability to perform any work for customers that require ISN prequalification. The compliance obligations therefore carry an implicit revenue-at-risk figure that is not currently quantified or visible to management.</w:t>
      </w:r>
    </w:p>
    <w:p>
      <w:pPr>
        <w:pStyle w:val="Heading3"/>
      </w:pPr>
      <w:r>
        <w:rPr>
          <w:rFonts w:ascii="Aptos Display" w:hAnsi="Aptos Display" w:eastAsia="Aptos Display"/>
          <w:b/>
          <w:color w:val="5B9BD5"/>
          <w:sz w:val="22"/>
        </w:rPr>
        <w:t xml:space="preserve">Absence of AHJ / Fire Marshal Register</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Permit Management Process is the seed (state-level Michigan BCC contact (Phil Myron) documented); full register including county fire marshals pending.</w:t>
      </w:r>
    </w:p>
    <w:p>
      <w:pPr>
        <w:pStyle w:val="Normal"/>
        <w:spacing w:after="120"/>
      </w:pPr>
      <w:r>
        <w:rPr>
          <w:rFonts w:ascii="Aptos" w:hAnsi="Aptos" w:eastAsia="Aptos"/>
          <w:b w:val="0"/>
          <w:sz w:val="20"/>
        </w:rPr>
        <w:t xml:space="preserve">The Company does not maintain a master register of Authority Having Jurisdiction contacts, county fire marshal relationships, or jurisdiction-specific procedural requirements. With the fire suppression plan review transition from county to the Michigan Bureau of Construction Codes, the primary jurisdictional contact for fire suppression scope is a single state inspector (Phil Myron) covering the entire Upper Peninsula with four-to-six-week lead times. The absence of a register means: (a) jurisdiction-by-jurisdiction procedural variation is not captured anywhere outside Keith’s memory; (b) there is no documented escalation path on rough-in or final scheduling conflicts that may arise from the state inspector’s lead times; and (c) the occupancy and life safety matters that remain with county fire marshals (outside the Bureau of Construction Codes scope) are tracked only by memory and ad hoc phone contact.</w:t>
      </w:r>
    </w:p>
    <w:p>
      <w:pPr>
        <w:pStyle w:val="Heading3"/>
      </w:pPr>
      <w:r>
        <w:rPr>
          <w:rFonts w:ascii="Aptos Display" w:hAnsi="Aptos Display" w:eastAsia="Aptos Display"/>
          <w:b/>
          <w:color w:val="5B9BD5"/>
          <w:sz w:val="22"/>
        </w:rPr>
        <w:t>BFS / S-0440 Fire Suppression Firm Certification Continuity</w:t>
      </w:r>
    </w:p>
    <w:p>
      <w:pPr>
        <w:pStyle w:val="Normal"/>
        <w:spacing w:after="60"/>
      </w:pPr>
      <w:r>
        <w:rPr>
          <w:rFonts w:ascii="Aptos" w:hAnsi="Aptos" w:eastAsia="Aptos"/>
          <w:b/>
          <w:bCs/>
          <w:sz w:val="20"/>
        </w:rPr>
        <w:t xml:space="preserve">Severity: </w:t>
      </w:r>
      <w:r>
        <w:rPr>
          <w:rFonts w:ascii="Aptos" w:hAnsi="Aptos" w:eastAsia="Aptos"/>
          <w:b w:val="0"/>
          <w:sz w:val="20"/>
        </w:rPr>
        <w:t xml:space="preserve">Low │ </w:t>
      </w:r>
      <w:r>
        <w:rPr>
          <w:rFonts w:ascii="Aptos" w:hAnsi="Aptos" w:eastAsia="Aptos"/>
          <w:b/>
          <w:bCs/>
          <w:sz w:val="20"/>
        </w:rPr>
        <w:t xml:space="preserve">Type: </w:t>
      </w:r>
      <w:r>
        <w:rPr>
          <w:rFonts w:ascii="Aptos" w:hAnsi="Aptos" w:eastAsia="Aptos"/>
          <w:b w:val="0"/>
          <w:sz w:val="20"/>
        </w:rPr>
        <w:t xml:space="preserve">Regulatory │ </w:t>
      </w:r>
      <w:r>
        <w:rPr>
          <w:rFonts w:ascii="Aptos" w:hAnsi="Aptos" w:eastAsia="Aptos"/>
          <w:b/>
          <w:bCs/>
          <w:sz w:val="20"/>
        </w:rPr>
        <w:t xml:space="preserve">Horizon: </w:t>
      </w:r>
      <w:r>
        <w:rPr>
          <w:rFonts w:ascii="Aptos" w:hAnsi="Aptos" w:eastAsia="Aptos"/>
          <w:b w:val="0"/>
          <w:sz w:val="20"/>
        </w:rPr>
        <w:t xml:space="preserve">Pre-close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val="0"/>
          <w:sz w:val="20"/>
        </w:rPr>
        <w:t>Remediation: Verified / Sequenced — Certificate confirmed onsite; continuity planning remains because Kevin is the current qualifying person.</w:t>
      </w:r>
    </w:p>
    <w:p>
      <w:pPr>
        <w:pStyle w:val="Normal"/>
        <w:spacing w:after="120"/>
      </w:pPr>
      <w:r>
        <w:rPr>
          <w:rFonts w:ascii="Aptos" w:hAnsi="Aptos" w:eastAsia="Aptos"/>
          <w:b w:val="0"/>
          <w:sz w:val="20"/>
        </w:rPr>
        <w:t>Bureau of Fire Services fire suppression firm certification has been confirmed. Excel Fire Protection Co., Inc. holds certificate S-0440, valid through September 2028, authorizing design, maintenance, service, or documentation of the installation and modification of required fire suppression systems in categories J (pre-engineered foam systems), K (custom designed, water-based sprinkler systems, including underground water supply), and P (engineered pump pressure supply). The residual risk is succession and continuity: Kevin Masich is the current qualifying person, and no backup qualifying person or owner licensing/certification path is yet documented.</w:t>
      </w:r>
    </w:p>
    <w:p>
      <w:pPr>
        <w:pStyle w:val="Heading2"/>
      </w:pPr>
      <w:r>
        <w:rPr>
          <w:rFonts w:ascii="Aptos Display" w:hAnsi="Aptos Display" w:eastAsia="Aptos Display"/>
          <w:b/>
          <w:color w:val="1F4E79"/>
          <w:sz w:val="24"/>
        </w:rPr>
        <w:t xml:space="preserve">3.7 Transaction-Specific Items</w:t>
      </w:r>
    </w:p>
    <w:p>
      <w:pPr>
        <w:pStyle w:val="Normal"/>
        <w:spacing w:after="120"/>
      </w:pPr>
      <w:r>
        <w:rPr>
          <w:rFonts w:ascii="Aptos" w:hAnsi="Aptos" w:eastAsia="Aptos"/>
          <w:b w:val="0"/>
          <w:sz w:val="20"/>
        </w:rPr>
        <w:t xml:space="preserve">Two items identified during this engagement are transaction-specific rather than operational gaps, but are retained here so they are not lost. First, the Eastwood Nursing Center matter is settled at mediation; buyer and buyer’s counsel should verify that the final settlement documents are on file with the Marquette County 25th Judicial Circuit (the mediator’s MC 280 status report set an April 24, 2026 target for filing) and that any settlement payment obligations through West Bend have been discharged prior to close. Second, the January 28, 2026 NASI Pension Fund counsel letter establishes that Excel Fire’s potential withdrawal liability as of the date of sale falls within the ERISA De Minimis rule under Section 4209 of ERISA; the underlying letter is the authoritative document and should be reviewed directly by buyer and seller in the course of the transaction.</w:t>
      </w:r>
    </w:p>
    <w:p>
      <w:pPr>
        <w:pStyle w:val="Heading1"/>
      </w:pPr>
      <w:r>
        <w:rPr>
          <w:rFonts w:ascii="Aptos Display" w:hAnsi="Aptos Display" w:eastAsia="Aptos Display"/>
          <w:b/>
          <w:color w:val="1F4E79"/>
          <w:sz w:val="28"/>
        </w:rPr>
        <w:t xml:space="preserve">4. Key-Person Dependencies (Cross-Cutting)</w:t>
      </w:r>
    </w:p>
    <w:p>
      <w:pPr>
        <w:pStyle w:val="Normal"/>
        <w:spacing w:after="120"/>
      </w:pPr>
      <w:r>
        <w:rPr>
          <w:rFonts w:ascii="Aptos" w:hAnsi="Aptos" w:eastAsia="Aptos"/>
          <w:b w:val="0"/>
          <w:sz w:val="20"/>
        </w:rPr>
        <w:t xml:space="preserve">Key-person dependency is called out separately because it cuts across every workstream and is the single most important risk category identified in this engagement. The four individuals below appear in multiple workstream findings; the cross-cutting view here is intended to make the concentration visible at a glance rather than to duplicate the findings already documented above.</w:t>
      </w:r>
    </w:p>
    <w:p>
      <w:pPr>
        <w:pStyle w:val="Heading3"/>
      </w:pPr>
      <w:r>
        <w:rPr>
          <w:rFonts w:ascii="Aptos Display" w:hAnsi="Aptos Display" w:eastAsia="Aptos Display"/>
          <w:b/>
          <w:color w:val="5B9BD5"/>
          <w:sz w:val="22"/>
        </w:rPr>
        <w:t xml:space="preserve">Kevin Masich — Owner</w:t>
      </w:r>
    </w:p>
    <w:p>
      <w:pPr>
        <w:pStyle w:val="Normal"/>
        <w:spacing w:after="120"/>
      </w:pPr>
      <w:r>
        <w:rPr>
          <w:rFonts w:ascii="Aptos" w:hAnsi="Aptos" w:eastAsia="Aptos"/>
          <w:b w:val="0"/>
          <w:sz w:val="20"/>
        </w:rPr>
        <w:t>Sole holder of the Michigan mechanical contractor license with fire suppression specialty and current qualifying person for Excel Fire Protection Co., Inc.’s BFS fire suppression firm certificate S-0440. Sole holder of estimating methodology and cost-buildup rates. Primary or sole point of contact for most of the Company’s significant customer relationships. Primary decision authority on pricing, scope, and customer commitments. Sole signature on the bank’s signature card for the operating account. Financial oversight is exercised personally rather than through a reporting structure.</w:t>
      </w:r>
    </w:p>
    <w:p>
      <w:pPr>
        <w:pStyle w:val="Heading3"/>
      </w:pPr>
      <w:r>
        <w:rPr>
          <w:rFonts w:ascii="Aptos Display" w:hAnsi="Aptos Display" w:eastAsia="Aptos Display"/>
          <w:b/>
          <w:color w:val="5B9BD5"/>
          <w:sz w:val="22"/>
        </w:rPr>
        <w:t xml:space="preserve">Keith Lefebvre — Field Lead</w:t>
      </w:r>
    </w:p>
    <w:p>
      <w:pPr>
        <w:pStyle w:val="Normal"/>
        <w:spacing w:after="120"/>
      </w:pPr>
      <w:r>
        <w:rPr>
          <w:rFonts w:ascii="Aptos" w:hAnsi="Aptos" w:eastAsia="Aptos"/>
          <w:b w:val="0"/>
          <w:sz w:val="20"/>
        </w:rPr>
        <w:t xml:space="preserve">Sole field lead, de facto project manager, sole inspector, primary in-house design coordinator, and daily crew scheduler. Carries the NFPA and AHJ working knowledge that underpins the Company’s inspection and permit work, including the multi-building hospital complex teaming arrangement with Siemens. Has signaled retirement intent over a roughly four-year period; no firm timeline has been set. No successor identified.</w:t>
      </w:r>
    </w:p>
    <w:p>
      <w:pPr>
        <w:pStyle w:val="Heading3"/>
      </w:pPr>
      <w:r>
        <w:rPr>
          <w:rFonts w:ascii="Aptos Display" w:hAnsi="Aptos Display" w:eastAsia="Aptos Display"/>
          <w:b/>
          <w:color w:val="5B9BD5"/>
          <w:sz w:val="22"/>
        </w:rPr>
        <w:t xml:space="preserve">Betty Laufer — Office Administrator</w:t>
      </w:r>
    </w:p>
    <w:p>
      <w:pPr>
        <w:pStyle w:val="Normal"/>
        <w:spacing w:after="120"/>
      </w:pPr>
      <w:r>
        <w:rPr>
          <w:rFonts w:ascii="Aptos" w:hAnsi="Aptos" w:eastAsia="Aptos"/>
          <w:b w:val="0"/>
          <w:sz w:val="20"/>
        </w:rPr>
        <w:t xml:space="preserve">Mid-May 2026 retirement from Excel Fire announced. Sole historical holder of several office functions being transferred to Krissy, including credit card reconciliation, check printing (and operation of the Kevin signature stamp), certified payroll Excel maintenance, and the informal AR tracking whiteboard. Continues post-retirement as bookkeeper for Masich Properties, which leaves the related-party reporting posture with the same individual on the Masich side after Excel Fire bookkeeping is re-sourced.</w:t>
      </w:r>
    </w:p>
    <w:p>
      <w:pPr>
        <w:pStyle w:val="Heading3"/>
      </w:pPr>
      <w:r>
        <w:rPr>
          <w:rFonts w:ascii="Aptos Display" w:hAnsi="Aptos Display" w:eastAsia="Aptos Display"/>
          <w:b/>
          <w:color w:val="5B9BD5"/>
          <w:sz w:val="22"/>
        </w:rPr>
        <w:t xml:space="preserve">Anderson, Tackman &amp; Company (External)</w:t>
      </w:r>
    </w:p>
    <w:p>
      <w:pPr>
        <w:pStyle w:val="Normal"/>
        <w:spacing w:after="120"/>
      </w:pPr>
      <w:r>
        <w:rPr>
          <w:rFonts w:ascii="Aptos" w:hAnsi="Aptos" w:eastAsia="Aptos"/>
          <w:b w:val="0"/>
          <w:sz w:val="20"/>
        </w:rPr>
        <w:t xml:space="preserve">External bookkeeping, payroll processing, tax withholding, tax filing, and QuickBooks ledger maintenance are all concentrated at AT&amp;C, with Jamie Hooper as the principal day-to-day point of contact. This is a vendor-concentration dependency rather than an employee dependency, but it has the same continuity profile, and AT&amp;C’s assignment as Third Party Administrator on the Michigan UIA remediation increases the dependency in the near term.</w:t>
      </w:r>
    </w:p>
    <w:p>
      <w:pPr>
        <w:pStyle w:val="Heading1"/>
      </w:pPr>
      <w:r>
        <w:rPr>
          <w:rFonts w:ascii="Aptos Display" w:hAnsi="Aptos Display" w:eastAsia="Aptos Display"/>
          <w:b/>
          <w:color w:val="1F4E79"/>
          <w:sz w:val="28"/>
        </w:rPr>
        <w:t xml:space="preserve">5. Open Items &amp; Next Steps</w:t>
      </w:r>
    </w:p>
    <w:p>
      <w:pPr>
        <w:pStyle w:val="Normal"/>
        <w:spacing w:after="120"/>
      </w:pPr>
      <w:r>
        <w:rPr>
          <w:rFonts w:ascii="Aptos" w:hAnsi="Aptos" w:eastAsia="Aptos"/>
          <w:b w:val="0"/>
          <w:sz w:val="20"/>
        </w:rPr>
        <w:t xml:space="preserve">The following items remain open against this deliverable as of the date of this report:</w:t>
      </w:r>
    </w:p>
    <w:p>
      <w:pPr>
        <w:pStyle w:val="ListParagraph"/>
        <w:numPr>
          <w:ilvl w:val="0"/>
          <w:numId w:val="2"/>
        </w:numPr>
        <w:spacing w:after="60"/>
      </w:pPr>
      <w:r>
        <w:rPr>
          <w:rFonts w:ascii="Aptos" w:hAnsi="Aptos" w:eastAsia="Aptos"/>
          <w:b w:val="0"/>
          <w:sz w:val="20"/>
        </w:rPr>
        <w:t>BFS / S-0440 certification continuity. Certificate has been verified; document the qualifying-person succession path and owner licensing/certification plan.</w:t>
      </w:r>
    </w:p>
    <w:p>
      <w:pPr>
        <w:pStyle w:val="ListParagraph"/>
        <w:numPr>
          <w:ilvl w:val="0"/>
          <w:numId w:val="2"/>
        </w:numPr>
        <w:spacing w:after="60"/>
      </w:pPr>
      <w:r>
        <w:rPr>
          <w:rFonts w:ascii="Aptos" w:hAnsi="Aptos" w:eastAsia="Aptos"/>
          <w:b/>
          <w:bCs/>
          <w:sz w:val="20"/>
        </w:rPr>
        <w:t xml:space="preserve">County fire marshal relationships outside the Michigan Bureau of Construction Codes scope.</w:t>
      </w:r>
      <w:r>
        <w:rPr>
          <w:rFonts w:ascii="Aptos" w:hAnsi="Aptos" w:eastAsia="Aptos"/>
          <w:b w:val="0"/>
          <w:sz w:val="20"/>
        </w:rPr>
        <w:t xml:space="preserve"> Confirm any remaining county-level fire marshal contacts that apply to occupancy and life safety matters and integrate into Section 3.6.</w:t>
      </w:r>
    </w:p>
    <w:p>
      <w:pPr>
        <w:pStyle w:val="ListParagraph"/>
        <w:numPr>
          <w:ilvl w:val="0"/>
          <w:numId w:val="2"/>
        </w:numPr>
        <w:spacing w:after="60"/>
      </w:pPr>
      <w:r>
        <w:rPr>
          <w:rFonts w:ascii="Aptos" w:hAnsi="Aptos" w:eastAsia="Aptos"/>
          <w:b/>
          <w:bCs/>
          <w:sz w:val="20"/>
        </w:rPr>
        <w:t xml:space="preserve">Eastwood Nursing Center final settlement document filing.</w:t>
      </w:r>
      <w:r>
        <w:rPr>
          <w:rFonts w:ascii="Aptos" w:hAnsi="Aptos" w:eastAsia="Aptos"/>
          <w:b w:val="0"/>
          <w:sz w:val="20"/>
        </w:rPr>
        <w:t xml:space="preserve"> Confirm whether final settlement documents have been filed with the Marquette County 25th Judicial Circuit per the mediator’s MC 280 target date of April 24, 2026; if not yet filed, revise the Section 3.7 entry to reflect the open status.</w:t>
      </w:r>
    </w:p>
    <w:p>
      <w:pPr>
        <w:pStyle w:val="Normal"/>
        <w:spacing w:after="120"/>
      </w:pPr>
      <w:r>
        <w:rPr>
          <w:rFonts w:ascii="Aptos" w:hAnsi="Aptos" w:eastAsia="Aptos"/>
          <w:b w:val="0"/>
          <w:sz w:val="20"/>
        </w:rPr>
        <w:t xml:space="preserve">This document deliberately stops short of proposing solutions. The Modernization Plan &amp; Roadmap (Deliverable 3) will take the gaps identified above and develop a prioritized remediation approach, with sequencing and estimated resource requirements, against the same workstream structure and the severity / type / horizon framework defined in Section 2.</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 w:type="paragraph" w:customStyle="1" w:styleId="Normal">
    <w:name w:val="Normal"/>
    <w:pPr>
      <w:spacing w:after="120" w:line="252" w:lineRule="auto"/>
    </w:pPr>
    <w:rPr>
      <w:rFonts w:ascii="Aptos" w:hAnsi="Aptos" w:eastAsia="Aptos"/>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2026-04-10T13:24:39.103Z</dcterms:created>
  <dcterms:modified xsi:type="dcterms:W3CDTF">2026-04-10T13:24:39.103Z</dcterms:modified>
</cp:coreProperties>
</file>

<file path=docProps/custom.xml><?xml version="1.0" encoding="utf-8"?>
<Properties xmlns="http://schemas.openxmlformats.org/officeDocument/2006/custom-properties" xmlns:vt="http://schemas.openxmlformats.org/officeDocument/2006/docPropsVTypes"/>
</file>