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Modernization Plan &amp; Roadmap</w:t>
      </w:r>
    </w:p>
    <w:p>
      <w:pPr>
        <w:jc w:val="center"/>
      </w:pPr>
      <w:r>
        <w:t>Operational Assessment &amp; Process Documentation</w:t>
      </w:r>
    </w:p>
    <w:p>
      <w:pPr>
        <w:jc w:val="center"/>
      </w:pPr>
      <w:r>
        <w:t>Excel Fire Protection Co., Inc.</w:t>
      </w:r>
    </w:p>
    <w:p>
      <w:pPr>
        <w:jc w:val="center"/>
      </w:pPr>
      <w:r>
        <w:t>Prepared by: Predictive Lines</w:t>
      </w:r>
    </w:p>
    <w:p>
      <w:pPr>
        <w:jc w:val="center"/>
      </w:pPr>
      <w:r>
        <w:t>Prepared for: Kevin Masich / Excel Fire Protection</w:t>
      </w:r>
    </w:p>
    <w:p>
      <w:pPr>
        <w:jc w:val="center"/>
      </w:pPr>
      <w:r>
        <w:t>Date: May 2026</w:t>
      </w:r>
    </w:p>
    <w:p>
      <w:pPr>
        <w:jc w:val="center"/>
      </w:pPr>
      <w:r>
        <w:t>Status: Draft scaffold</w:t>
      </w:r>
    </w:p>
    <w:p/>
    <w:p>
      <w:pPr>
        <w:pStyle w:val="Heading1"/>
      </w:pPr>
      <w:r>
        <w:t>1. Purpose &amp; Scope</w:t>
      </w:r>
    </w:p>
    <w:p>
      <w:r>
        <w:t>This document is the Modernization Plan &amp; Roadmap deliverable contemplated by the March 30, 2026 Statement of Work. It is designed to read alongside, not replace, the Current-State Process Documentation and Gap Analysis &amp; Risk Assessment.</w:t>
      </w:r>
    </w:p>
    <w:p>
      <w:r>
        <w:t>The gap analysis remains the dated diagnostic snapshot. This roadmap is the action document: it translates findings into sequencing, ownership, success criteria, dependencies, effort, and milestones. As remediation progresses, this document should move; the diagnostic text in the gap analysis should remain comparatively stable.</w:t>
      </w:r>
    </w:p>
    <w:p>
      <w:r>
        <w:t>This scaffold establishes the document structure, roadmap table, dependency model, and sample finding-entry format. The finding inventory is populated from the current gap-analysis draft; several workstream entries intentionally remain in template form pending Justin / Kevin / Jaclyn decisions and May 2026 on-site outcomes.</w:t>
      </w:r>
    </w:p>
    <w:p>
      <w:pPr>
        <w:pStyle w:val="Heading1"/>
      </w:pPr>
      <w:r>
        <w:t>2. Roadmap Overview</w:t>
      </w:r>
    </w:p>
    <w:p>
      <w:r>
        <w:t>The table below groups the full finding inventory by the remediation horizon assigned in the gap analysis. Within each horizon, items are sorted by severity and current remediation status so the work can be reviewed as an execution queue rather than as a narrative report.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tcPr>
          <w:p>
            <w:r>
              <w:rPr>
                <w:sz w:val="17"/>
              </w:rPr>
            </w:r>
            <w:r>
              <w:rPr>
                <w:b/>
                <w:sz w:val="17"/>
              </w:rPr>
              <w:t>#</w:t>
            </w:r>
          </w:p>
        </w:tc>
        <w:tc>
          <w:tcPr>
            <w:tcW w:type="dxa" w:w="1704"/>
            <w:shd w:fill="D9EAF7"/>
          </w:tcPr>
          <w:p>
            <w:r>
              <w:rPr>
                <w:sz w:val="17"/>
              </w:rPr>
            </w:r>
            <w:r>
              <w:rPr>
                <w:b/>
                <w:sz w:val="17"/>
              </w:rPr>
              <w:t>Horizon</w:t>
            </w:r>
          </w:p>
        </w:tc>
        <w:tc>
          <w:tcPr>
            <w:tcW w:type="dxa" w:w="1704"/>
            <w:shd w:fill="D9EAF7"/>
          </w:tcPr>
          <w:p>
            <w:r>
              <w:rPr>
                <w:sz w:val="17"/>
              </w:rPr>
            </w:r>
            <w:r>
              <w:rPr>
                <w:b/>
                <w:sz w:val="17"/>
              </w:rPr>
              <w:t>Severity</w:t>
            </w:r>
          </w:p>
        </w:tc>
        <w:tc>
          <w:tcPr>
            <w:tcW w:type="dxa" w:w="1704"/>
            <w:shd w:fill="D9EAF7"/>
          </w:tcPr>
          <w:p>
            <w:r>
              <w:rPr>
                <w:sz w:val="17"/>
              </w:rPr>
            </w:r>
            <w:r>
              <w:rPr>
                <w:b/>
                <w:sz w:val="17"/>
              </w:rPr>
              <w:t>Status</w:t>
            </w:r>
          </w:p>
        </w:tc>
        <w:tc>
          <w:tcPr>
            <w:tcW w:type="dxa" w:w="1704"/>
            <w:shd w:fill="D9EAF7"/>
          </w:tcPr>
          <w:p>
            <w:r>
              <w:rPr>
                <w:sz w:val="17"/>
              </w:rPr>
            </w:r>
            <w:r>
              <w:rPr>
                <w:b/>
                <w:sz w:val="17"/>
              </w:rPr>
              <w:t>Finding</w:t>
            </w:r>
          </w:p>
        </w:tc>
        <w:tc>
          <w:tcPr>
            <w:tcW w:type="dxa" w:w="1704"/>
            <w:shd w:fill="D9EAF7"/>
          </w:tcPr>
          <w:p>
            <w:r>
              <w:rPr>
                <w:sz w:val="17"/>
              </w:rPr>
            </w:r>
            <w:r>
              <w:rPr>
                <w:b/>
                <w:sz w:val="17"/>
              </w:rPr>
              <w:t>Workstream</w:t>
            </w:r>
          </w:p>
        </w:tc>
      </w:tr>
      <w:tr>
        <w:tc>
          <w:tcPr>
            <w:tcW w:type="dxa" w:w="1704"/>
            <w:vAlign w:val="top"/>
          </w:tcPr>
          <w:p>
            <w:r>
              <w:rPr>
                <w:sz w:val="17"/>
              </w:rPr>
            </w:r>
            <w:r>
              <w:rPr>
                <w:b w:val="0"/>
                <w:sz w:val="17"/>
              </w:rPr>
              <w:t>#2</w:t>
            </w:r>
          </w:p>
        </w:tc>
        <w:tc>
          <w:tcPr>
            <w:tcW w:type="dxa" w:w="1704"/>
            <w:vAlign w:val="top"/>
          </w:tcPr>
          <w:p>
            <w:r>
              <w:rPr>
                <w:sz w:val="17"/>
              </w:rPr>
            </w:r>
            <w:r>
              <w:rPr>
                <w:b w:val="0"/>
                <w:sz w:val="17"/>
              </w:rPr>
              <w:t>Pre-close</w:t>
            </w:r>
          </w:p>
        </w:tc>
        <w:tc>
          <w:tcPr>
            <w:tcW w:type="dxa" w:w="1704"/>
            <w:vAlign w:val="top"/>
          </w:tcPr>
          <w:p>
            <w:r>
              <w:rPr>
                <w:sz w:val="17"/>
              </w:rPr>
            </w:r>
            <w:r>
              <w:rPr>
                <w:b w:val="0"/>
                <w:sz w:val="17"/>
              </w:rPr>
              <w:t>Critical</w:t>
            </w:r>
          </w:p>
        </w:tc>
        <w:tc>
          <w:tcPr>
            <w:tcW w:type="dxa" w:w="1704"/>
            <w:vAlign w:val="top"/>
          </w:tcPr>
          <w:p>
            <w:r>
              <w:rPr>
                <w:sz w:val="17"/>
              </w:rPr>
            </w:r>
            <w:r>
              <w:rPr>
                <w:b w:val="0"/>
                <w:sz w:val="17"/>
              </w:rPr>
              <w:t>Scheduled</w:t>
            </w:r>
          </w:p>
        </w:tc>
        <w:tc>
          <w:tcPr>
            <w:tcW w:type="dxa" w:w="1704"/>
            <w:vAlign w:val="top"/>
          </w:tcPr>
          <w:p>
            <w:r>
              <w:rPr>
                <w:sz w:val="17"/>
              </w:rPr>
            </w:r>
            <w:r>
              <w:rPr>
                <w:b w:val="0"/>
                <w:sz w:val="17"/>
              </w:rPr>
              <w:t>Missing Federal &amp; State New-Hire Forms (Form I-9, W-4, MI-W4)</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#39</w:t>
            </w:r>
          </w:p>
        </w:tc>
        <w:tc>
          <w:tcPr>
            <w:tcW w:type="dxa" w:w="1704"/>
            <w:vAlign w:val="top"/>
          </w:tcPr>
          <w:p>
            <w:r>
              <w:rPr>
                <w:sz w:val="17"/>
              </w:rPr>
            </w:r>
            <w:r>
              <w:rPr>
                <w:b w:val="0"/>
                <w:sz w:val="17"/>
              </w:rPr>
              <w:t>Pre-close</w:t>
            </w:r>
          </w:p>
        </w:tc>
        <w:tc>
          <w:tcPr>
            <w:tcW w:type="dxa" w:w="1704"/>
            <w:vAlign w:val="top"/>
          </w:tcPr>
          <w:p>
            <w:r>
              <w:rPr>
                <w:sz w:val="17"/>
              </w:rPr>
            </w:r>
            <w:r>
              <w:rPr>
                <w:b w:val="0"/>
                <w:sz w:val="17"/>
              </w:rPr>
              <w:t>Critical</w:t>
            </w:r>
          </w:p>
        </w:tc>
        <w:tc>
          <w:tcPr>
            <w:tcW w:type="dxa" w:w="1704"/>
            <w:vAlign w:val="top"/>
          </w:tcPr>
          <w:p>
            <w:r>
              <w:rPr>
                <w:sz w:val="17"/>
              </w:rPr>
            </w:r>
            <w:r>
              <w:rPr>
                <w:b w:val="0"/>
                <w:sz w:val="17"/>
              </w:rPr>
              <w:t>Scheduled</w:t>
            </w:r>
          </w:p>
        </w:tc>
        <w:tc>
          <w:tcPr>
            <w:tcW w:type="dxa" w:w="1704"/>
            <w:vAlign w:val="top"/>
          </w:tcPr>
          <w:p>
            <w:r>
              <w:rPr>
                <w:sz w:val="17"/>
              </w:rPr>
            </w:r>
            <w:r>
              <w:rPr>
                <w:b w:val="0"/>
                <w:sz w:val="17"/>
              </w:rPr>
              <w:t>Michigan Unemployment Insurance Filings</w:t>
            </w:r>
          </w:p>
        </w:tc>
        <w:tc>
          <w:tcPr>
            <w:tcW w:type="dxa" w:w="1704"/>
            <w:vAlign w:val="top"/>
          </w:tcPr>
          <w:p>
            <w:r>
              <w:rPr>
                <w:sz w:val="17"/>
              </w:rPr>
            </w:r>
            <w:r>
              <w:rPr>
                <w:b w:val="0"/>
                <w:sz w:val="17"/>
              </w:rPr>
              <w:t>Regulatory &amp; Compliance</w:t>
            </w:r>
          </w:p>
        </w:tc>
      </w:tr>
      <w:tr>
        <w:tc>
          <w:tcPr>
            <w:tcW w:type="dxa" w:w="1704"/>
            <w:vAlign w:val="top"/>
          </w:tcPr>
          <w:p>
            <w:r>
              <w:rPr>
                <w:sz w:val="17"/>
              </w:rPr>
            </w:r>
            <w:r>
              <w:rPr>
                <w:b w:val="0"/>
                <w:sz w:val="17"/>
              </w:rPr>
              <w:t>#27</w:t>
            </w:r>
          </w:p>
        </w:tc>
        <w:tc>
          <w:tcPr>
            <w:tcW w:type="dxa" w:w="1704"/>
            <w:vAlign w:val="top"/>
          </w:tcPr>
          <w:p>
            <w:r>
              <w:rPr>
                <w:sz w:val="17"/>
              </w:rPr>
            </w:r>
            <w:r>
              <w:rPr>
                <w:b w:val="0"/>
                <w:sz w:val="17"/>
              </w:rPr>
              <w:t>Pre-close</w:t>
            </w:r>
          </w:p>
        </w:tc>
        <w:tc>
          <w:tcPr>
            <w:tcW w:type="dxa" w:w="1704"/>
            <w:vAlign w:val="top"/>
          </w:tcPr>
          <w:p>
            <w:r>
              <w:rPr>
                <w:sz w:val="17"/>
              </w:rPr>
            </w:r>
            <w:r>
              <w:rPr>
                <w:b w:val="0"/>
                <w:sz w:val="17"/>
              </w:rPr>
              <w:t>Critical</w:t>
            </w:r>
          </w:p>
        </w:tc>
        <w:tc>
          <w:tcPr>
            <w:tcW w:type="dxa" w:w="1704"/>
            <w:vAlign w:val="top"/>
          </w:tcPr>
          <w:p>
            <w:r>
              <w:rPr>
                <w:sz w:val="17"/>
              </w:rPr>
            </w:r>
            <w:r>
              <w:rPr>
                <w:b w:val="0"/>
                <w:sz w:val="17"/>
              </w:rPr>
              <w:t>In Flight</w:t>
            </w:r>
          </w:p>
        </w:tc>
        <w:tc>
          <w:tcPr>
            <w:tcW w:type="dxa" w:w="1704"/>
            <w:vAlign w:val="top"/>
          </w:tcPr>
          <w:p>
            <w:r>
              <w:rPr>
                <w:sz w:val="17"/>
              </w:rPr>
            </w:r>
            <w:r>
              <w:rPr>
                <w:b w:val="0"/>
                <w:sz w:val="17"/>
              </w:rPr>
              <w:t>Office Succession — Betty Retirement</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#1</w:t>
            </w:r>
          </w:p>
        </w:tc>
        <w:tc>
          <w:tcPr>
            <w:tcW w:type="dxa" w:w="1704"/>
            <w:vAlign w:val="top"/>
          </w:tcPr>
          <w:p>
            <w:r>
              <w:rPr>
                <w:sz w:val="17"/>
              </w:rPr>
            </w:r>
            <w:r>
              <w:rPr>
                <w:b w:val="0"/>
                <w:sz w:val="17"/>
              </w:rPr>
              <w:t>Pre-close</w:t>
            </w:r>
          </w:p>
        </w:tc>
        <w:tc>
          <w:tcPr>
            <w:tcW w:type="dxa" w:w="1704"/>
            <w:vAlign w:val="top"/>
          </w:tcPr>
          <w:p>
            <w:r>
              <w:rPr>
                <w:sz w:val="17"/>
              </w:rPr>
            </w:r>
            <w:r>
              <w:rPr>
                <w:b w:val="0"/>
                <w:sz w:val="17"/>
              </w:rPr>
              <w:t>Critical</w:t>
            </w:r>
          </w:p>
        </w:tc>
        <w:tc>
          <w:tcPr>
            <w:tcW w:type="dxa" w:w="1704"/>
            <w:vAlign w:val="top"/>
          </w:tcPr>
          <w:p>
            <w:r>
              <w:rPr>
                <w:sz w:val="17"/>
              </w:rPr>
            </w:r>
            <w:r>
              <w:rPr>
                <w:b w:val="0"/>
                <w:sz w:val="17"/>
              </w:rPr>
              <w:t>Deal Mechanics</w:t>
            </w:r>
          </w:p>
        </w:tc>
        <w:tc>
          <w:tcPr>
            <w:tcW w:type="dxa" w:w="1704"/>
            <w:vAlign w:val="top"/>
          </w:tcPr>
          <w:p>
            <w:r>
              <w:rPr>
                <w:sz w:val="17"/>
              </w:rPr>
            </w:r>
            <w:r>
              <w:rPr>
                <w:b w:val="0"/>
                <w:sz w:val="17"/>
              </w:rPr>
              <w:t>Banking Signature-Stamp Practice</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#44</w:t>
            </w:r>
          </w:p>
        </w:tc>
        <w:tc>
          <w:tcPr>
            <w:tcW w:type="dxa" w:w="1704"/>
            <w:vAlign w:val="top"/>
          </w:tcPr>
          <w:p>
            <w:r>
              <w:rPr>
                <w:sz w:val="17"/>
              </w:rPr>
            </w:r>
            <w:r>
              <w:rPr>
                <w:b w:val="0"/>
                <w:sz w:val="17"/>
              </w:rPr>
              <w:t>Pre-close</w:t>
            </w:r>
          </w:p>
        </w:tc>
        <w:tc>
          <w:tcPr>
            <w:tcW w:type="dxa" w:w="1704"/>
            <w:vAlign w:val="top"/>
          </w:tcPr>
          <w:p>
            <w:r>
              <w:rPr>
                <w:sz w:val="17"/>
              </w:rPr>
            </w:r>
            <w:r>
              <w:rPr>
                <w:b w:val="0"/>
                <w:sz w:val="17"/>
              </w:rPr>
              <w:t>Low</w:t>
            </w:r>
          </w:p>
        </w:tc>
        <w:tc>
          <w:tcPr>
            <w:tcW w:type="dxa" w:w="1704"/>
            <w:vAlign w:val="top"/>
          </w:tcPr>
          <w:p>
            <w:r>
              <w:rPr>
                <w:sz w:val="17"/>
              </w:rPr>
            </w:r>
            <w:r>
              <w:rPr>
                <w:b w:val="0"/>
                <w:sz w:val="17"/>
              </w:rPr>
              <w:t>Scheduled</w:t>
            </w:r>
          </w:p>
        </w:tc>
        <w:tc>
          <w:tcPr>
            <w:tcW w:type="dxa" w:w="1704"/>
            <w:vAlign w:val="top"/>
          </w:tcPr>
          <w:p>
            <w:r>
              <w:rPr>
                <w:sz w:val="17"/>
              </w:rPr>
            </w:r>
            <w:r>
              <w:rPr>
                <w:b w:val="0"/>
                <w:sz w:val="17"/>
              </w:rPr>
              <w:t>BFS Act 144 Certification Verification</w:t>
            </w:r>
          </w:p>
        </w:tc>
        <w:tc>
          <w:tcPr>
            <w:tcW w:type="dxa" w:w="1704"/>
            <w:vAlign w:val="top"/>
          </w:tcPr>
          <w:p>
            <w:r>
              <w:rPr>
                <w:sz w:val="17"/>
              </w:rPr>
            </w:r>
            <w:r>
              <w:rPr>
                <w:b w:val="0"/>
                <w:sz w:val="17"/>
              </w:rPr>
              <w:t>Regulatory &amp; Compliance</w:t>
            </w:r>
          </w:p>
        </w:tc>
      </w:tr>
      <w:tr>
        <w:tc>
          <w:tcPr>
            <w:tcW w:type="dxa" w:w="1704"/>
            <w:vAlign w:val="top"/>
          </w:tcPr>
          <w:p>
            <w:r>
              <w:rPr>
                <w:sz w:val="17"/>
              </w:rPr>
            </w:r>
            <w:r>
              <w:rPr>
                <w:b w:val="0"/>
                <w:sz w:val="17"/>
              </w:rPr>
              <w:t>#37</w:t>
            </w:r>
          </w:p>
        </w:tc>
        <w:tc>
          <w:tcPr>
            <w:tcW w:type="dxa" w:w="1704"/>
            <w:vAlign w:val="top"/>
          </w:tcPr>
          <w:p>
            <w:r>
              <w:rPr>
                <w:sz w:val="17"/>
              </w:rPr>
            </w:r>
            <w:r>
              <w:rPr>
                <w:b w:val="0"/>
                <w:sz w:val="17"/>
              </w:rPr>
              <w:t>0–90 days</w:t>
            </w:r>
          </w:p>
        </w:tc>
        <w:tc>
          <w:tcPr>
            <w:tcW w:type="dxa" w:w="1704"/>
            <w:vAlign w:val="top"/>
          </w:tcPr>
          <w:p>
            <w:r>
              <w:rPr>
                <w:sz w:val="17"/>
              </w:rPr>
            </w:r>
            <w:r>
              <w:rPr>
                <w:b w:val="0"/>
                <w:sz w:val="17"/>
              </w:rPr>
              <w:t>Critical</w:t>
            </w:r>
          </w:p>
        </w:tc>
        <w:tc>
          <w:tcPr>
            <w:tcW w:type="dxa" w:w="1704"/>
            <w:vAlign w:val="top"/>
          </w:tcPr>
          <w:p>
            <w:r>
              <w:rPr>
                <w:sz w:val="17"/>
              </w:rPr>
            </w:r>
            <w:r>
              <w:rPr>
                <w:b w:val="0"/>
                <w:sz w:val="17"/>
              </w:rPr>
              <w:t>Scheduled</w:t>
            </w:r>
          </w:p>
        </w:tc>
        <w:tc>
          <w:tcPr>
            <w:tcW w:type="dxa" w:w="1704"/>
            <w:vAlign w:val="top"/>
          </w:tcPr>
          <w:p>
            <w:r>
              <w:rPr>
                <w:sz w:val="17"/>
              </w:rPr>
            </w:r>
            <w:r>
              <w:rPr>
                <w:b w:val="0"/>
                <w:sz w:val="17"/>
              </w:rPr>
              <w:t>Undocumented Owner Knowledge</w:t>
            </w:r>
          </w:p>
        </w:tc>
        <w:tc>
          <w:tcPr>
            <w:tcW w:type="dxa" w:w="1704"/>
            <w:vAlign w:val="top"/>
          </w:tcPr>
          <w:p>
            <w:r>
              <w:rPr>
                <w:sz w:val="17"/>
              </w:rPr>
            </w:r>
            <w:r>
              <w:rPr>
                <w:b w:val="0"/>
                <w:sz w:val="17"/>
              </w:rPr>
              <w:t>Institutional Knowledge &amp; Key Relationships</w:t>
            </w:r>
          </w:p>
        </w:tc>
      </w:tr>
      <w:tr>
        <w:tc>
          <w:tcPr>
            <w:tcW w:type="dxa" w:w="1704"/>
            <w:vAlign w:val="top"/>
          </w:tcPr>
          <w:p>
            <w:r>
              <w:rPr>
                <w:sz w:val="17"/>
              </w:rPr>
            </w:r>
            <w:r>
              <w:rPr>
                <w:b w:val="0"/>
                <w:sz w:val="17"/>
              </w:rPr>
              <w:t>#16</w:t>
            </w:r>
          </w:p>
        </w:tc>
        <w:tc>
          <w:tcPr>
            <w:tcW w:type="dxa" w:w="1704"/>
            <w:vAlign w:val="top"/>
          </w:tcPr>
          <w:p>
            <w:r>
              <w:rPr>
                <w:sz w:val="17"/>
              </w:rPr>
            </w:r>
            <w:r>
              <w:rPr>
                <w:b w:val="0"/>
                <w:sz w:val="17"/>
              </w:rPr>
              <w:t>0–90 days</w:t>
            </w:r>
          </w:p>
        </w:tc>
        <w:tc>
          <w:tcPr>
            <w:tcW w:type="dxa" w:w="1704"/>
            <w:vAlign w:val="top"/>
          </w:tcPr>
          <w:p>
            <w:r>
              <w:rPr>
                <w:sz w:val="17"/>
              </w:rPr>
            </w:r>
            <w:r>
              <w:rPr>
                <w:b w:val="0"/>
                <w:sz w:val="17"/>
              </w:rPr>
              <w:t>Critical</w:t>
            </w:r>
          </w:p>
        </w:tc>
        <w:tc>
          <w:tcPr>
            <w:tcW w:type="dxa" w:w="1704"/>
            <w:vAlign w:val="top"/>
          </w:tcPr>
          <w:p>
            <w:r>
              <w:rPr>
                <w:sz w:val="17"/>
              </w:rPr>
            </w:r>
            <w:r>
              <w:rPr>
                <w:b w:val="0"/>
                <w:sz w:val="17"/>
              </w:rPr>
              <w:t>Sequenced</w:t>
            </w:r>
          </w:p>
        </w:tc>
        <w:tc>
          <w:tcPr>
            <w:tcW w:type="dxa" w:w="1704"/>
            <w:vAlign w:val="top"/>
          </w:tcPr>
          <w:p>
            <w:r>
              <w:rPr>
                <w:sz w:val="17"/>
              </w:rPr>
            </w:r>
            <w:r>
              <w:rPr>
                <w:b w:val="0"/>
                <w:sz w:val="17"/>
              </w:rPr>
              <w:t>Inspection Delivery Concentration — Single Point of Failure</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#11</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Scheduled</w:t>
            </w:r>
          </w:p>
        </w:tc>
        <w:tc>
          <w:tcPr>
            <w:tcW w:type="dxa" w:w="1704"/>
            <w:vAlign w:val="top"/>
          </w:tcPr>
          <w:p>
            <w:r>
              <w:rPr>
                <w:sz w:val="17"/>
              </w:rPr>
            </w:r>
            <w:r>
              <w:rPr>
                <w:b w:val="0"/>
                <w:sz w:val="17"/>
              </w:rPr>
              <w:t>Estimating Methodology Not Documented</w:t>
            </w:r>
          </w:p>
        </w:tc>
        <w:tc>
          <w:tcPr>
            <w:tcW w:type="dxa" w:w="1704"/>
            <w:vAlign w:val="top"/>
          </w:tcPr>
          <w:p>
            <w:r>
              <w:rPr>
                <w:sz w:val="17"/>
              </w:rPr>
            </w:r>
            <w:r>
              <w:rPr>
                <w:b w:val="0"/>
                <w:sz w:val="17"/>
              </w:rPr>
              <w:t>Revenue Generation &amp; Customer Management</w:t>
            </w:r>
          </w:p>
        </w:tc>
      </w:tr>
      <w:tr>
        <w:tc>
          <w:tcPr>
            <w:tcW w:type="dxa" w:w="1704"/>
            <w:vAlign w:val="top"/>
          </w:tcPr>
          <w:p>
            <w:r>
              <w:rPr>
                <w:sz w:val="17"/>
              </w:rPr>
            </w:r>
            <w:r>
              <w:rPr>
                <w:b w:val="0"/>
                <w:sz w:val="17"/>
              </w:rPr>
              <w:t>#17</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In Flight</w:t>
            </w:r>
          </w:p>
        </w:tc>
        <w:tc>
          <w:tcPr>
            <w:tcW w:type="dxa" w:w="1704"/>
            <w:vAlign w:val="top"/>
          </w:tcPr>
          <w:p>
            <w:r>
              <w:rPr>
                <w:sz w:val="17"/>
              </w:rPr>
            </w:r>
            <w:r>
              <w:rPr>
                <w:b w:val="0"/>
                <w:sz w:val="17"/>
              </w:rPr>
              <w:t>Field-to-Office Communication Gap</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#18</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In Flight</w:t>
            </w:r>
          </w:p>
        </w:tc>
        <w:tc>
          <w:tcPr>
            <w:tcW w:type="dxa" w:w="1704"/>
            <w:vAlign w:val="top"/>
          </w:tcPr>
          <w:p>
            <w:r>
              <w:rPr>
                <w:sz w:val="17"/>
              </w:rPr>
            </w:r>
            <w:r>
              <w:rPr>
                <w:b w:val="0"/>
                <w:sz w:val="17"/>
              </w:rPr>
              <w:t>Safety Program</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#29</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In Flight</w:t>
            </w:r>
          </w:p>
        </w:tc>
        <w:tc>
          <w:tcPr>
            <w:tcW w:type="dxa" w:w="1704"/>
            <w:vAlign w:val="top"/>
          </w:tcPr>
          <w:p>
            <w:r>
              <w:rPr>
                <w:sz w:val="17"/>
              </w:rPr>
            </w:r>
            <w:r>
              <w:rPr>
                <w:b w:val="0"/>
                <w:sz w:val="17"/>
              </w:rPr>
              <w:t>IT Backup, Disaster Recovery, and Continuity Posture</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#30</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In Flight</w:t>
            </w:r>
          </w:p>
        </w:tc>
        <w:tc>
          <w:tcPr>
            <w:tcW w:type="dxa" w:w="1704"/>
            <w:vAlign w:val="top"/>
          </w:tcPr>
          <w:p>
            <w:r>
              <w:rPr>
                <w:sz w:val="17"/>
              </w:rPr>
            </w:r>
            <w:r>
              <w:rPr>
                <w:b w:val="0"/>
                <w:sz w:val="17"/>
              </w:rPr>
              <w:t>IT Security Posture Beyond the Email Account</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#31</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In Flight</w:t>
            </w:r>
          </w:p>
        </w:tc>
        <w:tc>
          <w:tcPr>
            <w:tcW w:type="dxa" w:w="1704"/>
            <w:vAlign w:val="top"/>
          </w:tcPr>
          <w:p>
            <w:r>
              <w:rPr>
                <w:sz w:val="17"/>
              </w:rPr>
            </w:r>
            <w:r>
              <w:rPr>
                <w:b w:val="0"/>
                <w:sz w:val="17"/>
              </w:rPr>
              <w:t>Cyber Insurance Gap and Property-Form Cyber-Incident Exclusion</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#3</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Deal Mechanics</w:t>
            </w:r>
          </w:p>
        </w:tc>
        <w:tc>
          <w:tcPr>
            <w:tcW w:type="dxa" w:w="1704"/>
            <w:vAlign w:val="top"/>
          </w:tcPr>
          <w:p>
            <w:r>
              <w:rPr>
                <w:sz w:val="17"/>
              </w:rPr>
            </w:r>
            <w:r>
              <w:rPr>
                <w:b w:val="0"/>
                <w:sz w:val="17"/>
              </w:rPr>
              <w:t>Internal Controls &amp; Segregation of Duties</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#41</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Open</w:t>
            </w:r>
          </w:p>
        </w:tc>
        <w:tc>
          <w:tcPr>
            <w:tcW w:type="dxa" w:w="1704"/>
            <w:vAlign w:val="top"/>
          </w:tcPr>
          <w:p>
            <w:r>
              <w:rPr>
                <w:sz w:val="17"/>
              </w:rPr>
            </w:r>
            <w:r>
              <w:rPr>
                <w:b w:val="0"/>
                <w:sz w:val="17"/>
              </w:rPr>
              <w:t>ISN / ISNetworld Prequalification Obligations</w:t>
            </w:r>
          </w:p>
        </w:tc>
        <w:tc>
          <w:tcPr>
            <w:tcW w:type="dxa" w:w="1704"/>
            <w:vAlign w:val="top"/>
          </w:tcPr>
          <w:p>
            <w:r>
              <w:rPr>
                <w:sz w:val="17"/>
              </w:rPr>
            </w:r>
            <w:r>
              <w:rPr>
                <w:b w:val="0"/>
                <w:sz w:val="17"/>
              </w:rPr>
              <w:t>Regulatory &amp; Compliance</w:t>
            </w:r>
          </w:p>
        </w:tc>
      </w:tr>
      <w:tr>
        <w:tc>
          <w:tcPr>
            <w:tcW w:type="dxa" w:w="1704"/>
            <w:vAlign w:val="top"/>
          </w:tcPr>
          <w:p>
            <w:r>
              <w:rPr>
                <w:sz w:val="17"/>
              </w:rPr>
            </w:r>
            <w:r>
              <w:rPr>
                <w:b w:val="0"/>
                <w:sz w:val="17"/>
              </w:rPr>
              <w:t>#42</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Open</w:t>
            </w:r>
          </w:p>
        </w:tc>
        <w:tc>
          <w:tcPr>
            <w:tcW w:type="dxa" w:w="1704"/>
            <w:vAlign w:val="top"/>
          </w:tcPr>
          <w:p>
            <w:r>
              <w:rPr>
                <w:sz w:val="17"/>
              </w:rPr>
            </w:r>
            <w:r>
              <w:rPr>
                <w:b w:val="0"/>
                <w:sz w:val="17"/>
              </w:rPr>
              <w:t>Customer-Specific Compliance Tracking</w:t>
            </w:r>
          </w:p>
        </w:tc>
        <w:tc>
          <w:tcPr>
            <w:tcW w:type="dxa" w:w="1704"/>
            <w:vAlign w:val="top"/>
          </w:tcPr>
          <w:p>
            <w:r>
              <w:rPr>
                <w:sz w:val="17"/>
              </w:rPr>
            </w:r>
            <w:r>
              <w:rPr>
                <w:b w:val="0"/>
                <w:sz w:val="17"/>
              </w:rPr>
              <w:t>Regulatory &amp; Compliance</w:t>
            </w:r>
          </w:p>
        </w:tc>
      </w:tr>
      <w:tr>
        <w:tc>
          <w:tcPr>
            <w:tcW w:type="dxa" w:w="1704"/>
            <w:vAlign w:val="top"/>
          </w:tcPr>
          <w:p>
            <w:r>
              <w:rPr>
                <w:sz w:val="17"/>
              </w:rPr>
            </w:r>
            <w:r>
              <w:rPr>
                <w:b w:val="0"/>
                <w:sz w:val="17"/>
              </w:rPr>
              <w:t>#21</w:t>
            </w:r>
          </w:p>
        </w:tc>
        <w:tc>
          <w:tcPr>
            <w:tcW w:type="dxa" w:w="1704"/>
            <w:vAlign w:val="top"/>
          </w:tcPr>
          <w:p>
            <w:r>
              <w:rPr>
                <w:sz w:val="17"/>
              </w:rPr>
            </w:r>
            <w:r>
              <w:rPr>
                <w:b w:val="0"/>
                <w:sz w:val="17"/>
              </w:rPr>
              <w:t>0–90 days</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No Defined Job Intake Data Model</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#4</w:t>
            </w:r>
          </w:p>
        </w:tc>
        <w:tc>
          <w:tcPr>
            <w:tcW w:type="dxa" w:w="1704"/>
            <w:vAlign w:val="top"/>
          </w:tcPr>
          <w:p>
            <w:r>
              <w:rPr>
                <w:sz w:val="17"/>
              </w:rPr>
            </w:r>
            <w:r>
              <w:rPr>
                <w:b w:val="0"/>
                <w:sz w:val="17"/>
              </w:rPr>
              <w:t>0–90 days</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Stale Accounts Receivable</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#40</w:t>
            </w:r>
          </w:p>
        </w:tc>
        <w:tc>
          <w:tcPr>
            <w:tcW w:type="dxa" w:w="1704"/>
            <w:vAlign w:val="top"/>
          </w:tcPr>
          <w:p>
            <w:r>
              <w:rPr>
                <w:sz w:val="17"/>
              </w:rPr>
            </w:r>
            <w:r>
              <w:rPr>
                <w:b w:val="0"/>
                <w:sz w:val="17"/>
              </w:rPr>
              <w:t>Year 1</w:t>
            </w:r>
          </w:p>
        </w:tc>
        <w:tc>
          <w:tcPr>
            <w:tcW w:type="dxa" w:w="1704"/>
            <w:vAlign w:val="top"/>
          </w:tcPr>
          <w:p>
            <w:r>
              <w:rPr>
                <w:sz w:val="17"/>
              </w:rPr>
            </w:r>
            <w:r>
              <w:rPr>
                <w:b w:val="0"/>
                <w:sz w:val="17"/>
              </w:rPr>
              <w:t>Critical</w:t>
            </w:r>
          </w:p>
        </w:tc>
        <w:tc>
          <w:tcPr>
            <w:tcW w:type="dxa" w:w="1704"/>
            <w:vAlign w:val="top"/>
          </w:tcPr>
          <w:p>
            <w:r>
              <w:rPr>
                <w:sz w:val="17"/>
              </w:rPr>
            </w:r>
            <w:r>
              <w:rPr>
                <w:b w:val="0"/>
                <w:sz w:val="17"/>
              </w:rPr>
              <w:t>In Flight</w:t>
            </w:r>
          </w:p>
        </w:tc>
        <w:tc>
          <w:tcPr>
            <w:tcW w:type="dxa" w:w="1704"/>
            <w:vAlign w:val="top"/>
          </w:tcPr>
          <w:p>
            <w:r>
              <w:rPr>
                <w:sz w:val="17"/>
              </w:rPr>
            </w:r>
            <w:r>
              <w:rPr>
                <w:b w:val="0"/>
                <w:sz w:val="17"/>
              </w:rPr>
              <w:t>NFPA &amp; AHJ Knowledge Concentration</w:t>
            </w:r>
          </w:p>
        </w:tc>
        <w:tc>
          <w:tcPr>
            <w:tcW w:type="dxa" w:w="1704"/>
            <w:vAlign w:val="top"/>
          </w:tcPr>
          <w:p>
            <w:r>
              <w:rPr>
                <w:sz w:val="17"/>
              </w:rPr>
            </w:r>
            <w:r>
              <w:rPr>
                <w:b w:val="0"/>
                <w:sz w:val="17"/>
              </w:rPr>
              <w:t>Regulatory &amp; Compliance</w:t>
            </w:r>
          </w:p>
        </w:tc>
      </w:tr>
      <w:tr>
        <w:tc>
          <w:tcPr>
            <w:tcW w:type="dxa" w:w="1704"/>
            <w:vAlign w:val="top"/>
          </w:tcPr>
          <w:p>
            <w:r>
              <w:rPr>
                <w:sz w:val="17"/>
              </w:rPr>
            </w:r>
            <w:r>
              <w:rPr>
                <w:b w:val="0"/>
                <w:sz w:val="17"/>
              </w:rPr>
              <w:t>#19</w:t>
            </w:r>
          </w:p>
        </w:tc>
        <w:tc>
          <w:tcPr>
            <w:tcW w:type="dxa" w:w="1704"/>
            <w:vAlign w:val="top"/>
          </w:tcPr>
          <w:p>
            <w:r>
              <w:rPr>
                <w:sz w:val="17"/>
              </w:rPr>
            </w:r>
            <w:r>
              <w:rPr>
                <w:b w:val="0"/>
                <w:sz w:val="17"/>
              </w:rPr>
              <w:t>Year 1</w:t>
            </w:r>
          </w:p>
        </w:tc>
        <w:tc>
          <w:tcPr>
            <w:tcW w:type="dxa" w:w="1704"/>
            <w:vAlign w:val="top"/>
          </w:tcPr>
          <w:p>
            <w:r>
              <w:rPr>
                <w:sz w:val="17"/>
              </w:rPr>
            </w:r>
            <w:r>
              <w:rPr>
                <w:b w:val="0"/>
                <w:sz w:val="17"/>
              </w:rPr>
              <w:t>High</w:t>
            </w:r>
          </w:p>
        </w:tc>
        <w:tc>
          <w:tcPr>
            <w:tcW w:type="dxa" w:w="1704"/>
            <w:vAlign w:val="top"/>
          </w:tcPr>
          <w:p>
            <w:r>
              <w:rPr>
                <w:sz w:val="17"/>
              </w:rPr>
            </w:r>
            <w:r>
              <w:rPr>
                <w:b w:val="0"/>
                <w:sz w:val="17"/>
              </w:rPr>
              <w:t>Scheduled</w:t>
            </w:r>
          </w:p>
        </w:tc>
        <w:tc>
          <w:tcPr>
            <w:tcW w:type="dxa" w:w="1704"/>
            <w:vAlign w:val="top"/>
          </w:tcPr>
          <w:p>
            <w:r>
              <w:rPr>
                <w:sz w:val="17"/>
              </w:rPr>
            </w:r>
            <w:r>
              <w:rPr>
                <w:b w:val="0"/>
                <w:sz w:val="17"/>
              </w:rPr>
              <w:t>Project Management &amp; Subcontractor Management — GC-Seat Exposure</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#28</w:t>
            </w:r>
          </w:p>
        </w:tc>
        <w:tc>
          <w:tcPr>
            <w:tcW w:type="dxa" w:w="1704"/>
            <w:vAlign w:val="top"/>
          </w:tcPr>
          <w:p>
            <w:r>
              <w:rPr>
                <w:sz w:val="17"/>
              </w:rPr>
            </w:r>
            <w:r>
              <w:rPr>
                <w:b w:val="0"/>
                <w:sz w:val="17"/>
              </w:rPr>
              <w:t>Year 1</w:t>
            </w:r>
          </w:p>
        </w:tc>
        <w:tc>
          <w:tcPr>
            <w:tcW w:type="dxa" w:w="1704"/>
            <w:vAlign w:val="top"/>
          </w:tcPr>
          <w:p>
            <w:r>
              <w:rPr>
                <w:sz w:val="17"/>
              </w:rPr>
            </w:r>
            <w:r>
              <w:rPr>
                <w:b w:val="0"/>
                <w:sz w:val="17"/>
              </w:rPr>
              <w:t>High</w:t>
            </w:r>
          </w:p>
        </w:tc>
        <w:tc>
          <w:tcPr>
            <w:tcW w:type="dxa" w:w="1704"/>
            <w:vAlign w:val="top"/>
          </w:tcPr>
          <w:p>
            <w:r>
              <w:rPr>
                <w:sz w:val="17"/>
              </w:rPr>
            </w:r>
            <w:r>
              <w:rPr>
                <w:b w:val="0"/>
                <w:sz w:val="17"/>
              </w:rPr>
              <w:t>In Flight</w:t>
            </w:r>
          </w:p>
        </w:tc>
        <w:tc>
          <w:tcPr>
            <w:tcW w:type="dxa" w:w="1704"/>
            <w:vAlign w:val="top"/>
          </w:tcPr>
          <w:p>
            <w:r>
              <w:rPr>
                <w:sz w:val="17"/>
              </w:rPr>
            </w:r>
            <w:r>
              <w:rPr>
                <w:b w:val="0"/>
                <w:sz w:val="17"/>
              </w:rPr>
              <w:t>Field Workforce Recruiting &amp; Retention</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#12</w:t>
            </w:r>
          </w:p>
        </w:tc>
        <w:tc>
          <w:tcPr>
            <w:tcW w:type="dxa" w:w="1704"/>
            <w:vAlign w:val="top"/>
          </w:tcPr>
          <w:p>
            <w:r>
              <w:rPr>
                <w:sz w:val="17"/>
              </w:rPr>
            </w:r>
            <w:r>
              <w:rPr>
                <w:b w:val="0"/>
                <w:sz w:val="17"/>
              </w:rPr>
              <w:t>Year 1</w:t>
            </w:r>
          </w:p>
        </w:tc>
        <w:tc>
          <w:tcPr>
            <w:tcW w:type="dxa" w:w="1704"/>
            <w:vAlign w:val="top"/>
          </w:tcPr>
          <w:p>
            <w:r>
              <w:rPr>
                <w:sz w:val="17"/>
              </w:rPr>
            </w:r>
            <w:r>
              <w:rPr>
                <w:b w:val="0"/>
                <w:sz w:val="17"/>
              </w:rPr>
              <w:t>High</w:t>
            </w:r>
          </w:p>
        </w:tc>
        <w:tc>
          <w:tcPr>
            <w:tcW w:type="dxa" w:w="1704"/>
            <w:vAlign w:val="top"/>
          </w:tcPr>
          <w:p>
            <w:r>
              <w:rPr>
                <w:sz w:val="17"/>
              </w:rPr>
            </w:r>
            <w:r>
              <w:rPr>
                <w:b w:val="0"/>
                <w:sz w:val="17"/>
              </w:rPr>
              <w:t>Sequenced</w:t>
            </w:r>
          </w:p>
        </w:tc>
        <w:tc>
          <w:tcPr>
            <w:tcW w:type="dxa" w:w="1704"/>
            <w:vAlign w:val="top"/>
          </w:tcPr>
          <w:p>
            <w:r>
              <w:rPr>
                <w:sz w:val="17"/>
              </w:rPr>
            </w:r>
            <w:r>
              <w:rPr>
                <w:b w:val="0"/>
                <w:sz w:val="17"/>
              </w:rPr>
              <w:t>Absence of Standing Inspection Service Agreements</w:t>
            </w:r>
          </w:p>
        </w:tc>
        <w:tc>
          <w:tcPr>
            <w:tcW w:type="dxa" w:w="1704"/>
            <w:vAlign w:val="top"/>
          </w:tcPr>
          <w:p>
            <w:r>
              <w:rPr>
                <w:sz w:val="17"/>
              </w:rPr>
            </w:r>
            <w:r>
              <w:rPr>
                <w:b w:val="0"/>
                <w:sz w:val="17"/>
              </w:rPr>
              <w:t>Revenue Generation &amp; Customer Management</w:t>
            </w:r>
          </w:p>
        </w:tc>
      </w:tr>
      <w:tr>
        <w:tc>
          <w:tcPr>
            <w:tcW w:type="dxa" w:w="1704"/>
            <w:vAlign w:val="top"/>
          </w:tcPr>
          <w:p>
            <w:r>
              <w:rPr>
                <w:sz w:val="17"/>
              </w:rPr>
            </w:r>
            <w:r>
              <w:rPr>
                <w:b w:val="0"/>
                <w:sz w:val="17"/>
              </w:rPr>
              <w:t>#13</w:t>
            </w:r>
          </w:p>
        </w:tc>
        <w:tc>
          <w:tcPr>
            <w:tcW w:type="dxa" w:w="1704"/>
            <w:vAlign w:val="top"/>
          </w:tcPr>
          <w:p>
            <w:r>
              <w:rPr>
                <w:sz w:val="17"/>
              </w:rPr>
            </w:r>
            <w:r>
              <w:rPr>
                <w:b w:val="0"/>
                <w:sz w:val="17"/>
              </w:rPr>
              <w:t>Year 1</w:t>
            </w:r>
          </w:p>
        </w:tc>
        <w:tc>
          <w:tcPr>
            <w:tcW w:type="dxa" w:w="1704"/>
            <w:vAlign w:val="top"/>
          </w:tcPr>
          <w:p>
            <w:r>
              <w:rPr>
                <w:sz w:val="17"/>
              </w:rPr>
            </w:r>
            <w:r>
              <w:rPr>
                <w:b w:val="0"/>
                <w:sz w:val="17"/>
              </w:rPr>
              <w:t>High</w:t>
            </w:r>
          </w:p>
        </w:tc>
        <w:tc>
          <w:tcPr>
            <w:tcW w:type="dxa" w:w="1704"/>
            <w:vAlign w:val="top"/>
          </w:tcPr>
          <w:p>
            <w:r>
              <w:rPr>
                <w:sz w:val="17"/>
              </w:rPr>
            </w:r>
            <w:r>
              <w:rPr>
                <w:b w:val="0"/>
                <w:sz w:val="17"/>
              </w:rPr>
              <w:t>Open</w:t>
            </w:r>
          </w:p>
        </w:tc>
        <w:tc>
          <w:tcPr>
            <w:tcW w:type="dxa" w:w="1704"/>
            <w:vAlign w:val="top"/>
          </w:tcPr>
          <w:p>
            <w:r>
              <w:rPr>
                <w:sz w:val="17"/>
              </w:rPr>
            </w:r>
            <w:r>
              <w:rPr>
                <w:b w:val="0"/>
                <w:sz w:val="17"/>
              </w:rPr>
              <w:t>Declining Inspection Volume &amp; Competitive Consolidation Risk</w:t>
            </w:r>
          </w:p>
        </w:tc>
        <w:tc>
          <w:tcPr>
            <w:tcW w:type="dxa" w:w="1704"/>
            <w:vAlign w:val="top"/>
          </w:tcPr>
          <w:p>
            <w:r>
              <w:rPr>
                <w:sz w:val="17"/>
              </w:rPr>
            </w:r>
            <w:r>
              <w:rPr>
                <w:b w:val="0"/>
                <w:sz w:val="17"/>
              </w:rPr>
              <w:t>Revenue Generation &amp; Customer Management</w:t>
            </w:r>
          </w:p>
        </w:tc>
      </w:tr>
      <w:tr>
        <w:tc>
          <w:tcPr>
            <w:tcW w:type="dxa" w:w="1704"/>
            <w:vAlign w:val="top"/>
          </w:tcPr>
          <w:p>
            <w:r>
              <w:rPr>
                <w:sz w:val="17"/>
              </w:rPr>
            </w:r>
            <w:r>
              <w:rPr>
                <w:b w:val="0"/>
                <w:sz w:val="17"/>
              </w:rPr>
              <w:t>#20</w:t>
            </w:r>
          </w:p>
        </w:tc>
        <w:tc>
          <w:tcPr>
            <w:tcW w:type="dxa" w:w="1704"/>
            <w:vAlign w:val="top"/>
          </w:tcPr>
          <w:p>
            <w:r>
              <w:rPr>
                <w:sz w:val="17"/>
              </w:rPr>
            </w:r>
            <w:r>
              <w:rPr>
                <w:b w:val="0"/>
                <w:sz w:val="17"/>
              </w:rPr>
              <w:t>Year 1</w:t>
            </w:r>
          </w:p>
        </w:tc>
        <w:tc>
          <w:tcPr>
            <w:tcW w:type="dxa" w:w="1704"/>
            <w:vAlign w:val="top"/>
          </w:tcPr>
          <w:p>
            <w:r>
              <w:rPr>
                <w:sz w:val="17"/>
              </w:rPr>
            </w:r>
            <w:r>
              <w:rPr>
                <w:b w:val="0"/>
                <w:sz w:val="17"/>
              </w:rPr>
              <w:t>High</w:t>
            </w:r>
          </w:p>
        </w:tc>
        <w:tc>
          <w:tcPr>
            <w:tcW w:type="dxa" w:w="1704"/>
            <w:vAlign w:val="top"/>
          </w:tcPr>
          <w:p>
            <w:r>
              <w:rPr>
                <w:sz w:val="17"/>
              </w:rPr>
            </w:r>
            <w:r>
              <w:rPr>
                <w:b w:val="0"/>
                <w:sz w:val="17"/>
              </w:rPr>
              <w:t>Open</w:t>
            </w:r>
          </w:p>
        </w:tc>
        <w:tc>
          <w:tcPr>
            <w:tcW w:type="dxa" w:w="1704"/>
            <w:vAlign w:val="top"/>
          </w:tcPr>
          <w:p>
            <w:r>
              <w:rPr>
                <w:sz w:val="17"/>
              </w:rPr>
            </w:r>
            <w:r>
              <w:rPr>
                <w:b w:val="0"/>
                <w:sz w:val="17"/>
              </w:rPr>
              <w:t>Absence of Written QA/QC Program</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#8</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Scheduled</w:t>
            </w:r>
          </w:p>
        </w:tc>
        <w:tc>
          <w:tcPr>
            <w:tcW w:type="dxa" w:w="1704"/>
            <w:vAlign w:val="top"/>
          </w:tcPr>
          <w:p>
            <w:r>
              <w:rPr>
                <w:sz w:val="17"/>
              </w:rPr>
            </w:r>
            <w:r>
              <w:rPr>
                <w:b w:val="0"/>
                <w:sz w:val="17"/>
              </w:rPr>
              <w:t>Certified Payroll — Tooling &amp; Data-Structure Gap</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#7</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QuickBooks Customer Master Data Quality</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#22</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AHJ Rough-In / Final Re-Trip Cost Exposure</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#33</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Records Retention Obligations Going Unmet</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#34</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Software Inventory and Identity Management</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#35</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Hiring, Onboarding &amp; Termination Process Definition</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#36</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HR Compliance Posture</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#43</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Absence of AHJ / Fire Marshal Register</w:t>
            </w:r>
          </w:p>
        </w:tc>
        <w:tc>
          <w:tcPr>
            <w:tcW w:type="dxa" w:w="1704"/>
            <w:vAlign w:val="top"/>
          </w:tcPr>
          <w:p>
            <w:r>
              <w:rPr>
                <w:sz w:val="17"/>
              </w:rPr>
            </w:r>
            <w:r>
              <w:rPr>
                <w:b w:val="0"/>
                <w:sz w:val="17"/>
              </w:rPr>
              <w:t>Regulatory &amp; Compliance</w:t>
            </w:r>
          </w:p>
        </w:tc>
      </w:tr>
      <w:tr>
        <w:tc>
          <w:tcPr>
            <w:tcW w:type="dxa" w:w="1704"/>
            <w:vAlign w:val="top"/>
          </w:tcPr>
          <w:p>
            <w:r>
              <w:rPr>
                <w:sz w:val="17"/>
              </w:rPr>
            </w:r>
            <w:r>
              <w:rPr>
                <w:b w:val="0"/>
                <w:sz w:val="17"/>
              </w:rPr>
              <w:t>#14</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Sequenced</w:t>
            </w:r>
          </w:p>
        </w:tc>
        <w:tc>
          <w:tcPr>
            <w:tcW w:type="dxa" w:w="1704"/>
            <w:vAlign w:val="top"/>
          </w:tcPr>
          <w:p>
            <w:r>
              <w:rPr>
                <w:sz w:val="17"/>
              </w:rPr>
            </w:r>
            <w:r>
              <w:rPr>
                <w:b w:val="0"/>
                <w:sz w:val="17"/>
              </w:rPr>
              <w:t>No CRM or Pipeline System</w:t>
            </w:r>
          </w:p>
        </w:tc>
        <w:tc>
          <w:tcPr>
            <w:tcW w:type="dxa" w:w="1704"/>
            <w:vAlign w:val="top"/>
          </w:tcPr>
          <w:p>
            <w:r>
              <w:rPr>
                <w:sz w:val="17"/>
              </w:rPr>
            </w:r>
            <w:r>
              <w:rPr>
                <w:b w:val="0"/>
                <w:sz w:val="17"/>
              </w:rPr>
              <w:t>Revenue Generation &amp; Customer Management</w:t>
            </w:r>
          </w:p>
        </w:tc>
      </w:tr>
      <w:tr>
        <w:tc>
          <w:tcPr>
            <w:tcW w:type="dxa" w:w="1704"/>
            <w:vAlign w:val="top"/>
          </w:tcPr>
          <w:p>
            <w:r>
              <w:rPr>
                <w:sz w:val="17"/>
              </w:rPr>
            </w:r>
            <w:r>
              <w:rPr>
                <w:b w:val="0"/>
                <w:sz w:val="17"/>
              </w:rPr>
              <w:t>#23</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Sequenced</w:t>
            </w:r>
          </w:p>
        </w:tc>
        <w:tc>
          <w:tcPr>
            <w:tcW w:type="dxa" w:w="1704"/>
            <w:vAlign w:val="top"/>
          </w:tcPr>
          <w:p>
            <w:r>
              <w:rPr>
                <w:sz w:val="17"/>
              </w:rPr>
            </w:r>
            <w:r>
              <w:rPr>
                <w:b w:val="0"/>
                <w:sz w:val="17"/>
              </w:rPr>
              <w:t>Rough-In Artifact Preparation &amp; Centralization Gap</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#24</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Sequenced</w:t>
            </w:r>
          </w:p>
        </w:tc>
        <w:tc>
          <w:tcPr>
            <w:tcW w:type="dxa" w:w="1704"/>
            <w:vAlign w:val="top"/>
          </w:tcPr>
          <w:p>
            <w:r>
              <w:rPr>
                <w:sz w:val="17"/>
              </w:rPr>
            </w:r>
            <w:r>
              <w:rPr>
                <w:b w:val="0"/>
                <w:sz w:val="17"/>
              </w:rPr>
              <w:t>Inspection Management System Absent (No ITM Platform)</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#5</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Chart of Accounts — Expense-Side Structure</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#6</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Revenue-Side Segmentation</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#9</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Certificate of Insurance Tracking</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#10</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Budgeting, Forecasting &amp; Management Reporting</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#15</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Declined Inspection-Adjacent Inbound Service Volume (Revenue Leakage)</w:t>
            </w:r>
          </w:p>
        </w:tc>
        <w:tc>
          <w:tcPr>
            <w:tcW w:type="dxa" w:w="1704"/>
            <w:vAlign w:val="top"/>
          </w:tcPr>
          <w:p>
            <w:r>
              <w:rPr>
                <w:sz w:val="17"/>
              </w:rPr>
            </w:r>
            <w:r>
              <w:rPr>
                <w:b w:val="0"/>
                <w:sz w:val="17"/>
              </w:rPr>
              <w:t>Revenue Generation &amp; Customer Management</w:t>
            </w:r>
          </w:p>
        </w:tc>
      </w:tr>
      <w:tr>
        <w:tc>
          <w:tcPr>
            <w:tcW w:type="dxa" w:w="1704"/>
            <w:vAlign w:val="top"/>
          </w:tcPr>
          <w:p>
            <w:r>
              <w:rPr>
                <w:sz w:val="17"/>
              </w:rPr>
            </w:r>
            <w:r>
              <w:rPr>
                <w:b w:val="0"/>
                <w:sz w:val="17"/>
              </w:rPr>
              <w:t>#25</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Fleet Maintenance Tracking</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#32</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Mobile Device Management &amp; Endpoint Posture</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#26</w:t>
            </w:r>
          </w:p>
        </w:tc>
        <w:tc>
          <w:tcPr>
            <w:tcW w:type="dxa" w:w="1704"/>
            <w:vAlign w:val="top"/>
          </w:tcPr>
          <w:p>
            <w:r>
              <w:rPr>
                <w:sz w:val="17"/>
              </w:rPr>
            </w:r>
            <w:r>
              <w:rPr>
                <w:b w:val="0"/>
                <w:sz w:val="17"/>
              </w:rPr>
              <w:t>Year 1</w:t>
            </w:r>
          </w:p>
        </w:tc>
        <w:tc>
          <w:tcPr>
            <w:tcW w:type="dxa" w:w="1704"/>
            <w:vAlign w:val="top"/>
          </w:tcPr>
          <w:p>
            <w:r>
              <w:rPr>
                <w:sz w:val="17"/>
              </w:rPr>
            </w:r>
            <w:r>
              <w:rPr>
                <w:b w:val="0"/>
                <w:sz w:val="17"/>
              </w:rPr>
              <w:t>Low</w:t>
            </w:r>
          </w:p>
        </w:tc>
        <w:tc>
          <w:tcPr>
            <w:tcW w:type="dxa" w:w="1704"/>
            <w:vAlign w:val="top"/>
          </w:tcPr>
          <w:p>
            <w:r>
              <w:rPr>
                <w:sz w:val="17"/>
              </w:rPr>
            </w:r>
            <w:r>
              <w:rPr>
                <w:b w:val="0"/>
                <w:sz w:val="17"/>
              </w:rPr>
              <w:t>Open</w:t>
            </w:r>
          </w:p>
        </w:tc>
        <w:tc>
          <w:tcPr>
            <w:tcW w:type="dxa" w:w="1704"/>
            <w:vAlign w:val="top"/>
          </w:tcPr>
          <w:p>
            <w:r>
              <w:rPr>
                <w:sz w:val="17"/>
              </w:rPr>
            </w:r>
            <w:r>
              <w:rPr>
                <w:b w:val="0"/>
                <w:sz w:val="17"/>
              </w:rPr>
              <w:t>Inventory Management</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#38</w:t>
            </w:r>
          </w:p>
        </w:tc>
        <w:tc>
          <w:tcPr>
            <w:tcW w:type="dxa" w:w="1704"/>
            <w:vAlign w:val="top"/>
          </w:tcPr>
          <w:p>
            <w:r>
              <w:rPr>
                <w:sz w:val="17"/>
              </w:rPr>
            </w:r>
            <w:r>
              <w:rPr>
                <w:b w:val="0"/>
                <w:sz w:val="17"/>
              </w:rPr>
              <w:t>Strategic</w:t>
            </w:r>
          </w:p>
        </w:tc>
        <w:tc>
          <w:tcPr>
            <w:tcW w:type="dxa" w:w="1704"/>
            <w:vAlign w:val="top"/>
          </w:tcPr>
          <w:p>
            <w:r>
              <w:rPr>
                <w:sz w:val="17"/>
              </w:rPr>
            </w:r>
            <w:r>
              <w:rPr>
                <w:b w:val="0"/>
                <w:sz w:val="17"/>
              </w:rPr>
              <w:t>High</w:t>
            </w:r>
          </w:p>
        </w:tc>
        <w:tc>
          <w:tcPr>
            <w:tcW w:type="dxa" w:w="1704"/>
            <w:vAlign w:val="top"/>
          </w:tcPr>
          <w:p>
            <w:r>
              <w:rPr>
                <w:sz w:val="17"/>
              </w:rPr>
            </w:r>
            <w:r>
              <w:rPr>
                <w:b w:val="0"/>
                <w:sz w:val="17"/>
              </w:rPr>
              <w:t>Sequenced</w:t>
            </w:r>
          </w:p>
        </w:tc>
        <w:tc>
          <w:tcPr>
            <w:tcW w:type="dxa" w:w="1704"/>
            <w:vAlign w:val="top"/>
          </w:tcPr>
          <w:p>
            <w:r>
              <w:rPr>
                <w:sz w:val="17"/>
              </w:rPr>
            </w:r>
            <w:r>
              <w:rPr>
                <w:b w:val="0"/>
                <w:sz w:val="17"/>
              </w:rPr>
              <w:t>Customer Concentration</w:t>
            </w:r>
          </w:p>
        </w:tc>
        <w:tc>
          <w:tcPr>
            <w:tcW w:type="dxa" w:w="1704"/>
            <w:vAlign w:val="top"/>
          </w:tcPr>
          <w:p>
            <w:r>
              <w:rPr>
                <w:sz w:val="17"/>
              </w:rPr>
            </w:r>
            <w:r>
              <w:rPr>
                <w:b w:val="0"/>
                <w:sz w:val="17"/>
              </w:rPr>
              <w:t>Institutional Knowledge &amp; Key Relationships</w:t>
            </w:r>
          </w:p>
        </w:tc>
      </w:tr>
    </w:tbl>
    <w:p>
      <w:r>
        <w:t>Narrative summary. Pre-close work is dominated by visible-state compliance and transaction-mechanics items: new-hire form cleanup, UIA reconstruction, office succession, BFS certification verification, and the sunset of the legacy banking signature-stamp practice. The first 90 days focus on business-continuity risks: inspection-delivery concentration, field-to-office communication, IT backup/security, safety program management, and compliance tracking. Year 1 shifts toward structural modernization: QBO/payroll, estimating documentation, inspection-service strategy, QA/QC, project-management discipline, customer/revenue segmentation, MDM, fleet and inventory hygiene, and management reporting. Strategic items should not be forced into the first 90 days unless they become prerequisites for revenue protection or buyer/lender requirements.</w:t>
      </w:r>
    </w:p>
    <w:p>
      <w:pPr>
        <w:pStyle w:val="Heading1"/>
      </w:pPr>
      <w:r>
        <w:t>3. Sequencing &amp; Dependencies</w:t>
      </w:r>
    </w:p>
    <w:p>
      <w:r>
        <w:t>The roadmap has several genuine dependencies. These should be managed explicitly; otherwise the team will create documents or tools before the operating model underneath them is settled.</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7"/>
              </w:rPr>
            </w:r>
            <w:r>
              <w:rPr>
                <w:b/>
                <w:sz w:val="17"/>
              </w:rPr>
              <w:t>Dependency / Critical Path Item</w:t>
            </w:r>
          </w:p>
        </w:tc>
        <w:tc>
          <w:tcPr>
            <w:tcW w:type="dxa" w:w="5112"/>
            <w:shd w:fill="D9EAF7"/>
          </w:tcPr>
          <w:p>
            <w:r>
              <w:rPr>
                <w:sz w:val="17"/>
              </w:rPr>
            </w:r>
            <w:r>
              <w:rPr>
                <w:b/>
                <w:sz w:val="17"/>
              </w:rPr>
              <w:t>Downstream effect</w:t>
            </w:r>
          </w:p>
        </w:tc>
      </w:tr>
      <w:tr>
        <w:tc>
          <w:tcPr>
            <w:tcW w:type="dxa" w:w="5112"/>
            <w:vAlign w:val="top"/>
          </w:tcPr>
          <w:p>
            <w:r>
              <w:rPr>
                <w:sz w:val="17"/>
              </w:rPr>
            </w:r>
            <w:r>
              <w:rPr>
                <w:b w:val="0"/>
                <w:sz w:val="17"/>
              </w:rPr>
              <w:t>Inspection-delivery hire decision</w:t>
            </w:r>
          </w:p>
        </w:tc>
        <w:tc>
          <w:tcPr>
            <w:tcW w:type="dxa" w:w="5112"/>
            <w:vAlign w:val="top"/>
          </w:tcPr>
          <w:p>
            <w:r>
              <w:rPr>
                <w:sz w:val="17"/>
              </w:rPr>
            </w:r>
            <w:r>
              <w:rPr>
                <w:b w:val="0"/>
                <w:sz w:val="17"/>
              </w:rPr>
              <w:t>Unlocks Finding #16 directly and materially affects Findings #12, #15, #23, #24, #38, and #40. Decide whether the mitigation path is Konner promotion/cross-training, external NFPA-25 hire, or a hybrid.</w:t>
            </w:r>
          </w:p>
        </w:tc>
      </w:tr>
      <w:tr>
        <w:tc>
          <w:tcPr>
            <w:tcW w:type="dxa" w:w="5112"/>
            <w:vAlign w:val="top"/>
          </w:tcPr>
          <w:p>
            <w:r>
              <w:rPr>
                <w:sz w:val="17"/>
              </w:rPr>
            </w:r>
            <w:r>
              <w:rPr>
                <w:b w:val="0"/>
                <w:sz w:val="17"/>
              </w:rPr>
              <w:t>Deal close / buy-in mechanics</w:t>
            </w:r>
          </w:p>
        </w:tc>
        <w:tc>
          <w:tcPr>
            <w:tcW w:type="dxa" w:w="5112"/>
            <w:vAlign w:val="top"/>
          </w:tcPr>
          <w:p>
            <w:r>
              <w:rPr>
                <w:sz w:val="17"/>
              </w:rPr>
            </w:r>
            <w:r>
              <w:rPr>
                <w:b w:val="0"/>
                <w:sz w:val="17"/>
              </w:rPr>
              <w:t>Unlocks Findings #1 and #3 through new banking relationships, authority tiers, and dual-control thresholds in the shareholder or operating agreement.</w:t>
            </w:r>
          </w:p>
        </w:tc>
      </w:tr>
      <w:tr>
        <w:tc>
          <w:tcPr>
            <w:tcW w:type="dxa" w:w="5112"/>
            <w:vAlign w:val="top"/>
          </w:tcPr>
          <w:p>
            <w:r>
              <w:rPr>
                <w:sz w:val="17"/>
              </w:rPr>
            </w:r>
            <w:r>
              <w:rPr>
                <w:b w:val="0"/>
                <w:sz w:val="17"/>
              </w:rPr>
              <w:t>QuickBooks Desktop → QBO / Payroll migration</w:t>
            </w:r>
          </w:p>
        </w:tc>
        <w:tc>
          <w:tcPr>
            <w:tcW w:type="dxa" w:w="5112"/>
            <w:vAlign w:val="top"/>
          </w:tcPr>
          <w:p>
            <w:r>
              <w:rPr>
                <w:sz w:val="17"/>
              </w:rPr>
            </w:r>
            <w:r>
              <w:rPr>
                <w:b w:val="0"/>
                <w:sz w:val="17"/>
              </w:rPr>
              <w:t>Provides the timing window to restructure expense categories, revenue segmentation, certified-payroll tooling, customer master data, and recurring management reporting without rebuilding twice.</w:t>
            </w:r>
          </w:p>
        </w:tc>
      </w:tr>
      <w:tr>
        <w:tc>
          <w:tcPr>
            <w:tcW w:type="dxa" w:w="5112"/>
            <w:vAlign w:val="top"/>
          </w:tcPr>
          <w:p>
            <w:r>
              <w:rPr>
                <w:sz w:val="17"/>
              </w:rPr>
            </w:r>
            <w:r>
              <w:rPr>
                <w:b w:val="0"/>
                <w:sz w:val="17"/>
              </w:rPr>
              <w:t>HR / compliance calendar buildout</w:t>
            </w:r>
          </w:p>
        </w:tc>
        <w:tc>
          <w:tcPr>
            <w:tcW w:type="dxa" w:w="5112"/>
            <w:vAlign w:val="top"/>
          </w:tcPr>
          <w:p>
            <w:r>
              <w:rPr>
                <w:sz w:val="17"/>
              </w:rPr>
            </w:r>
            <w:r>
              <w:rPr>
                <w:b w:val="0"/>
                <w:sz w:val="17"/>
              </w:rPr>
              <w:t>Common backbone for safety program management, ISN obligations, customer-specific compliance tracking, COI expirations, certification/license tracking, and training records.</w:t>
            </w:r>
          </w:p>
        </w:tc>
      </w:tr>
      <w:tr>
        <w:tc>
          <w:tcPr>
            <w:tcW w:type="dxa" w:w="5112"/>
            <w:vAlign w:val="top"/>
          </w:tcPr>
          <w:p>
            <w:r>
              <w:rPr>
                <w:sz w:val="17"/>
              </w:rPr>
            </w:r>
            <w:r>
              <w:rPr>
                <w:b w:val="0"/>
                <w:sz w:val="17"/>
              </w:rPr>
              <w:t>Field Crew Communication + Job Tracking adoption</w:t>
            </w:r>
          </w:p>
        </w:tc>
        <w:tc>
          <w:tcPr>
            <w:tcW w:type="dxa" w:w="5112"/>
            <w:vAlign w:val="top"/>
          </w:tcPr>
          <w:p>
            <w:r>
              <w:rPr>
                <w:sz w:val="17"/>
              </w:rPr>
            </w:r>
            <w:r>
              <w:rPr>
                <w:b w:val="0"/>
                <w:sz w:val="17"/>
              </w:rPr>
              <w:t>Provides the operating substrate for job intake, rough-in/final readiness, document centralization, permit workflow, and field-to-office communication discipline.</w:t>
            </w:r>
          </w:p>
        </w:tc>
      </w:tr>
      <w:tr>
        <w:tc>
          <w:tcPr>
            <w:tcW w:type="dxa" w:w="5112"/>
            <w:vAlign w:val="top"/>
          </w:tcPr>
          <w:p>
            <w:r>
              <w:rPr>
                <w:sz w:val="17"/>
              </w:rPr>
            </w:r>
            <w:r>
              <w:rPr>
                <w:b w:val="0"/>
                <w:sz w:val="17"/>
              </w:rPr>
              <w:t>Estimating methodology capture</w:t>
            </w:r>
          </w:p>
        </w:tc>
        <w:tc>
          <w:tcPr>
            <w:tcW w:type="dxa" w:w="5112"/>
            <w:vAlign w:val="top"/>
          </w:tcPr>
          <w:p>
            <w:r>
              <w:rPr>
                <w:sz w:val="17"/>
              </w:rPr>
            </w:r>
            <w:r>
              <w:rPr>
                <w:b w:val="0"/>
                <w:sz w:val="17"/>
              </w:rPr>
              <w:t>Highest-leverage owner-knowledge dependency; also supports sales training, pricing discipline, budget forecasting, and eventual delegation of estimate preparation.</w:t>
            </w:r>
          </w:p>
        </w:tc>
      </w:tr>
    </w:tbl>
    <w:p>
      <w:pPr>
        <w:pStyle w:val="Heading1"/>
      </w:pPr>
      <w:r>
        <w:t>4. Resource &amp; Effort Summary</w:t>
      </w:r>
    </w:p>
    <w:p>
      <w:r>
        <w:t>This section should become a lightweight capacity model, not a consulting-theater estimate. The immediate practical question is whether the remediation queue can fit inside Justin, Jaclyn, Kevin, Krissy, AT&amp;C, Lee Init, Gauthier, StangDS, and field-leadership capacity without starving day-to-day operations.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7"/>
              </w:rPr>
            </w:r>
            <w:r>
              <w:rPr>
                <w:b/>
                <w:sz w:val="17"/>
              </w:rPr>
              <w:t>Resource</w:t>
            </w:r>
          </w:p>
        </w:tc>
        <w:tc>
          <w:tcPr>
            <w:tcW w:type="dxa" w:w="3408"/>
            <w:shd w:fill="D9EAF7"/>
          </w:tcPr>
          <w:p>
            <w:r>
              <w:rPr>
                <w:sz w:val="17"/>
              </w:rPr>
            </w:r>
            <w:r>
              <w:rPr>
                <w:b/>
                <w:sz w:val="17"/>
              </w:rPr>
              <w:t>Likely role</w:t>
            </w:r>
          </w:p>
        </w:tc>
        <w:tc>
          <w:tcPr>
            <w:tcW w:type="dxa" w:w="3408"/>
            <w:shd w:fill="D9EAF7"/>
          </w:tcPr>
          <w:p>
            <w:r>
              <w:rPr>
                <w:sz w:val="17"/>
              </w:rPr>
            </w:r>
            <w:r>
              <w:rPr>
                <w:b/>
                <w:sz w:val="17"/>
              </w:rPr>
              <w:t>Capacity note</w:t>
            </w:r>
          </w:p>
        </w:tc>
      </w:tr>
      <w:tr>
        <w:tc>
          <w:tcPr>
            <w:tcW w:type="dxa" w:w="3408"/>
            <w:vAlign w:val="top"/>
          </w:tcPr>
          <w:p>
            <w:r>
              <w:rPr>
                <w:sz w:val="17"/>
              </w:rPr>
            </w:r>
            <w:r>
              <w:rPr>
                <w:b w:val="0"/>
                <w:sz w:val="17"/>
              </w:rPr>
              <w:t>Justin / Predictive Lines</w:t>
            </w:r>
          </w:p>
        </w:tc>
        <w:tc>
          <w:tcPr>
            <w:tcW w:type="dxa" w:w="3408"/>
            <w:vAlign w:val="top"/>
          </w:tcPr>
          <w:p>
            <w:r>
              <w:rPr>
                <w:sz w:val="17"/>
              </w:rPr>
            </w:r>
            <w:r>
              <w:rPr>
                <w:b w:val="0"/>
                <w:sz w:val="17"/>
              </w:rPr>
              <w:t>Roadmap owner; document/process design; Notion + OpenClaw implementation; operating-model decisions; May 11/18 working sessions.</w:t>
            </w:r>
          </w:p>
        </w:tc>
        <w:tc>
          <w:tcPr>
            <w:tcW w:type="dxa" w:w="3408"/>
            <w:vAlign w:val="top"/>
          </w:tcPr>
          <w:p>
            <w:r>
              <w:rPr>
                <w:sz w:val="17"/>
              </w:rPr>
            </w:r>
            <w:r>
              <w:rPr>
                <w:b w:val="0"/>
                <w:sz w:val="17"/>
              </w:rPr>
              <w:t>High through first 90 days, tapering in Year 1.</w:t>
            </w:r>
          </w:p>
        </w:tc>
      </w:tr>
      <w:tr>
        <w:tc>
          <w:tcPr>
            <w:tcW w:type="dxa" w:w="3408"/>
            <w:vAlign w:val="top"/>
          </w:tcPr>
          <w:p>
            <w:r>
              <w:rPr>
                <w:sz w:val="17"/>
              </w:rPr>
            </w:r>
            <w:r>
              <w:rPr>
                <w:b w:val="0"/>
                <w:sz w:val="17"/>
              </w:rPr>
              <w:t>Kevin</w:t>
            </w:r>
          </w:p>
        </w:tc>
        <w:tc>
          <w:tcPr>
            <w:tcW w:type="dxa" w:w="3408"/>
            <w:vAlign w:val="top"/>
          </w:tcPr>
          <w:p>
            <w:r>
              <w:rPr>
                <w:sz w:val="17"/>
              </w:rPr>
            </w:r>
            <w:r>
              <w:rPr>
                <w:b w:val="0"/>
                <w:sz w:val="17"/>
              </w:rPr>
              <w:t>Source of owner knowledge, estimating methodology, customer relationships, banking authority transition, PM/subcontractor-management discussion.</w:t>
            </w:r>
          </w:p>
        </w:tc>
        <w:tc>
          <w:tcPr>
            <w:tcW w:type="dxa" w:w="3408"/>
            <w:vAlign w:val="top"/>
          </w:tcPr>
          <w:p>
            <w:r>
              <w:rPr>
                <w:sz w:val="17"/>
              </w:rPr>
            </w:r>
            <w:r>
              <w:rPr>
                <w:b w:val="0"/>
                <w:sz w:val="17"/>
              </w:rPr>
              <w:t>High but must be tightly scheduled; use interviews/workshops, not open-ended asks.</w:t>
            </w:r>
          </w:p>
        </w:tc>
      </w:tr>
      <w:tr>
        <w:tc>
          <w:tcPr>
            <w:tcW w:type="dxa" w:w="3408"/>
            <w:vAlign w:val="top"/>
          </w:tcPr>
          <w:p>
            <w:r>
              <w:rPr>
                <w:sz w:val="17"/>
              </w:rPr>
            </w:r>
            <w:r>
              <w:rPr>
                <w:b w:val="0"/>
                <w:sz w:val="17"/>
              </w:rPr>
              <w:t>Jaclyn</w:t>
            </w:r>
          </w:p>
        </w:tc>
        <w:tc>
          <w:tcPr>
            <w:tcW w:type="dxa" w:w="3408"/>
            <w:vAlign w:val="top"/>
          </w:tcPr>
          <w:p>
            <w:r>
              <w:rPr>
                <w:sz w:val="17"/>
              </w:rPr>
            </w:r>
            <w:r>
              <w:rPr>
                <w:b w:val="0"/>
                <w:sz w:val="17"/>
              </w:rPr>
              <w:t>Finance/control environment, QBO/payroll migration decisions, reporting cadence, approval authority, vendor/payment controls.</w:t>
            </w:r>
          </w:p>
        </w:tc>
        <w:tc>
          <w:tcPr>
            <w:tcW w:type="dxa" w:w="3408"/>
            <w:vAlign w:val="top"/>
          </w:tcPr>
          <w:p>
            <w:r>
              <w:rPr>
                <w:sz w:val="17"/>
              </w:rPr>
            </w:r>
            <w:r>
              <w:rPr>
                <w:b w:val="0"/>
                <w:sz w:val="17"/>
              </w:rPr>
              <w:t>Moderate; spikes around finance migration and internal controls.</w:t>
            </w:r>
          </w:p>
        </w:tc>
      </w:tr>
      <w:tr>
        <w:tc>
          <w:tcPr>
            <w:tcW w:type="dxa" w:w="3408"/>
            <w:vAlign w:val="top"/>
          </w:tcPr>
          <w:p>
            <w:r>
              <w:rPr>
                <w:sz w:val="17"/>
              </w:rPr>
            </w:r>
            <w:r>
              <w:rPr>
                <w:b w:val="0"/>
                <w:sz w:val="17"/>
              </w:rPr>
              <w:t>AT&amp;C</w:t>
            </w:r>
          </w:p>
        </w:tc>
        <w:tc>
          <w:tcPr>
            <w:tcW w:type="dxa" w:w="3408"/>
            <w:vAlign w:val="top"/>
          </w:tcPr>
          <w:p>
            <w:r>
              <w:rPr>
                <w:sz w:val="17"/>
              </w:rPr>
            </w:r>
            <w:r>
              <w:rPr>
                <w:b w:val="0"/>
                <w:sz w:val="17"/>
              </w:rPr>
              <w:t>UIA reconstruction, payroll/tax support, QuickBooks transition support, chart-of-accounts cleanup.</w:t>
            </w:r>
          </w:p>
        </w:tc>
        <w:tc>
          <w:tcPr>
            <w:tcW w:type="dxa" w:w="3408"/>
            <w:vAlign w:val="top"/>
          </w:tcPr>
          <w:p>
            <w:r>
              <w:rPr>
                <w:sz w:val="17"/>
              </w:rPr>
            </w:r>
            <w:r>
              <w:rPr>
                <w:b w:val="0"/>
                <w:sz w:val="17"/>
              </w:rPr>
              <w:t>Moderate; external dependency and possible bottleneck.</w:t>
            </w:r>
          </w:p>
        </w:tc>
      </w:tr>
      <w:tr>
        <w:tc>
          <w:tcPr>
            <w:tcW w:type="dxa" w:w="3408"/>
            <w:vAlign w:val="top"/>
          </w:tcPr>
          <w:p>
            <w:r>
              <w:rPr>
                <w:sz w:val="17"/>
              </w:rPr>
            </w:r>
            <w:r>
              <w:rPr>
                <w:b w:val="0"/>
                <w:sz w:val="17"/>
              </w:rPr>
              <w:t>External vendors</w:t>
            </w:r>
          </w:p>
        </w:tc>
        <w:tc>
          <w:tcPr>
            <w:tcW w:type="dxa" w:w="3408"/>
            <w:vAlign w:val="top"/>
          </w:tcPr>
          <w:p>
            <w:r>
              <w:rPr>
                <w:sz w:val="17"/>
              </w:rPr>
            </w:r>
            <w:r>
              <w:rPr>
                <w:b w:val="0"/>
                <w:sz w:val="17"/>
              </w:rPr>
              <w:t>Lee Init / IT, Gauthier Insurance, StangDS, potential ITM platform vendor, possible HR/payroll support.</w:t>
            </w:r>
          </w:p>
        </w:tc>
        <w:tc>
          <w:tcPr>
            <w:tcW w:type="dxa" w:w="3408"/>
            <w:vAlign w:val="top"/>
          </w:tcPr>
          <w:p>
            <w:r>
              <w:rPr>
                <w:sz w:val="17"/>
              </w:rPr>
            </w:r>
            <w:r>
              <w:rPr>
                <w:b w:val="0"/>
                <w:sz w:val="17"/>
              </w:rPr>
              <w:t>Use where specialized capacity prevents Justin/Kevin bottlenecks.</w:t>
            </w:r>
          </w:p>
        </w:tc>
      </w:tr>
    </w:tbl>
    <w:p>
      <w:pPr>
        <w:pStyle w:val="Heading1"/>
      </w:pPr>
      <w:r>
        <w:t>5. Workstream-Aligned Remediation Plans</w:t>
      </w:r>
    </w:p>
    <w:p>
      <w:r>
        <w:t>Each entry below should stay short and action-shaped. The format deliberately avoids re-stating the diagnostic prose from the gap analysis. The diagnosis lives there; this section should answer: who owns it, what depends on it, how we know it is done, and what happens next.</w:t>
      </w:r>
    </w:p>
    <w:p>
      <w:pPr>
        <w:pStyle w:val="Heading2"/>
      </w:pPr>
      <w:r>
        <w:t>5.1 Financial Operations &amp; Controls</w:t>
      </w:r>
    </w:p>
    <w:p>
      <w:pPr>
        <w:pStyle w:val="Heading3"/>
      </w:pPr>
      <w:r>
        <w:t>Finding #1 — Banking Signature-Stamp Practice (Critical)</w:t>
      </w:r>
    </w:p>
    <w:p>
      <w:r>
        <w:rPr>
          <w:b/>
        </w:rPr>
        <w:t xml:space="preserve">Cross-reference: </w:t>
      </w:r>
      <w:r>
        <w:t>Gap Analysis §3.1; Current-State §2.1</w:t>
      </w:r>
    </w:p>
    <w:p>
      <w:r>
        <w:rPr>
          <w:b/>
        </w:rPr>
        <w:t xml:space="preserve">Status: </w:t>
      </w:r>
      <w:r>
        <w:t>Deal Mechanics — Sunsets at Betty's mid-May 2026 retirement and the buy-in; spending-authority tiers and dual-control thresholds being pulled forward from the existing operating agreement into the new shareholders' agreement at close.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 — Missing Federal &amp; State New-Hire Forms (Form I-9, W-4, MI-W4) (Critical)</w:t>
      </w:r>
    </w:p>
    <w:p>
      <w:r>
        <w:rPr>
          <w:b/>
        </w:rPr>
        <w:t xml:space="preserve">Cross-reference: </w:t>
      </w:r>
      <w:r>
        <w:t>Gap Analysis §3.1; Current-State §2.4</w:t>
      </w:r>
    </w:p>
    <w:p>
      <w:r>
        <w:rPr>
          <w:b/>
        </w:rPr>
        <w:t xml:space="preserve">Status: </w:t>
      </w:r>
      <w:r>
        <w:t>Scheduled — Workforce-wide audit and replacement-form collection on the May 11 on-site agenda; the New Employee Onboarding Checklist (Notion) is the standing process for new hires going forward.</w:t>
      </w:r>
    </w:p>
    <w:p>
      <w:r>
        <w:rPr>
          <w:b/>
        </w:rPr>
        <w:t xml:space="preserve">Owner: </w:t>
      </w:r>
      <w:r>
        <w:t>Justin / Krissy, with Kevin support as needed</w:t>
      </w:r>
    </w:p>
    <w:p>
      <w:r>
        <w:rPr>
          <w:b/>
        </w:rPr>
        <w:t xml:space="preserve">Sequence: </w:t>
      </w:r>
      <w:r>
        <w:t>Pre-close scheduled item; feeds the standing new-hire onboarding process and employee-records cleanup.</w:t>
      </w:r>
    </w:p>
    <w:p>
      <w:r>
        <w:rPr>
          <w:b/>
        </w:rPr>
        <w:t xml:space="preserve">Success Criteria: </w:t>
      </w:r>
      <w:r>
        <w:t>For every current employee, either a complete I-9, W-4, and MI-W4 is located and filed, or replacement forms are collected and retained in the employee record. The New Employee Onboarding Checklist becomes the forward process so the gap does not recur.</w:t>
      </w:r>
    </w:p>
    <w:p>
      <w:r>
        <w:rPr>
          <w:b/>
        </w:rPr>
        <w:t xml:space="preserve">Estimated Effort: </w:t>
      </w:r>
      <w:r>
        <w:t>Low to moderate; one focused office audit plus employee follow-up for missing forms.</w:t>
      </w:r>
    </w:p>
    <w:p>
      <w:r>
        <w:rPr>
          <w:b/>
        </w:rPr>
        <w:t xml:space="preserve">Milestones: </w:t>
      </w:r>
      <w:r>
        <w:t>May 11 on-site: audit existing files and identify gaps. Week of May 11: collect replacements. Post-close: spot-check onboarding checklist against next new hire.</w:t>
      </w:r>
    </w:p>
    <w:p>
      <w:r>
        <w:rPr>
          <w:b/>
        </w:rPr>
        <w:t xml:space="preserve">Open Questions: </w:t>
      </w:r>
      <w:r>
        <w:t>Confirm where employee files will live long-term: Paperless / controlled Drive / M365 / other canonical repository.</w:t>
      </w:r>
    </w:p>
    <w:p>
      <w:pPr>
        <w:pStyle w:val="Heading3"/>
      </w:pPr>
      <w:r>
        <w:t>Finding #3 — Internal Controls &amp; Segregation of Duties (High)</w:t>
      </w:r>
    </w:p>
    <w:p>
      <w:r>
        <w:rPr>
          <w:b/>
        </w:rPr>
        <w:t xml:space="preserve">Cross-reference: </w:t>
      </w:r>
      <w:r>
        <w:t>Gap Analysis §3.1; Current-State §2.1</w:t>
      </w:r>
    </w:p>
    <w:p>
      <w:r>
        <w:rPr>
          <w:b/>
        </w:rPr>
        <w:t xml:space="preserve">Status: </w:t>
      </w:r>
      <w:r>
        <w:t>Deal Mechanics — Same path as Finding #1; spending-authority tiers and dual-control thresholds formalized in the new shareholders' agreement at buy-in.</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#4 — Stale Accounts Receivable (Medium)</w:t>
      </w:r>
    </w:p>
    <w:p>
      <w:r>
        <w:rPr>
          <w:b/>
        </w:rPr>
        <w:t xml:space="preserve">Cross-reference: </w:t>
      </w:r>
      <w:r>
        <w:t>Gap Analysis §3.1; Current-State §2.1</w:t>
      </w:r>
    </w:p>
    <w:p>
      <w:r>
        <w:rPr>
          <w:b/>
        </w:rPr>
        <w:t xml:space="preserve">Status: </w:t>
      </w:r>
      <w:r>
        <w:t>Open — No modernization workstream yet; recommend folding into the broader chart-of-accounts and AR cleanup pass scheduled for Year 1.</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#5 — Chart of Accounts — Expense-Side Structure (Medium)</w:t>
      </w:r>
    </w:p>
    <w:p>
      <w:r>
        <w:rPr>
          <w:b/>
        </w:rPr>
        <w:t xml:space="preserve">Cross-reference: </w:t>
      </w:r>
      <w:r>
        <w:t>Gap Analysis §3.1; Current-State §2.1</w:t>
      </w:r>
    </w:p>
    <w:p>
      <w:r>
        <w:rPr>
          <w:b/>
        </w:rPr>
        <w:t xml:space="preserve">Status: </w:t>
      </w:r>
      <w:r>
        <w:t>Open — Year-1 cleanup item; paired with the QuickBooks Desktop → QuickBooks Online migration so the expense hierarchy is restructured once rather than twice.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#6 — Revenue-Side Segmentation (Medium)</w:t>
      </w:r>
    </w:p>
    <w:p>
      <w:r>
        <w:rPr>
          <w:b/>
        </w:rPr>
        <w:t xml:space="preserve">Cross-reference: </w:t>
      </w:r>
      <w:r>
        <w:t>Gap Analysis §3.1; Current-State §2.1</w:t>
      </w:r>
    </w:p>
    <w:p>
      <w:r>
        <w:rPr>
          <w:b/>
        </w:rPr>
        <w:t xml:space="preserve">Status: </w:t>
      </w:r>
      <w:r>
        <w:t>Open — Year-1 cleanup item; paired with the QuickBooks Desktop → QuickBooks Online migration to introduce installation-vs-service and new-construction-vs-renovation revenue accounts.</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#7 — QuickBooks Customer Master Data Quality (Medium)</w:t>
      </w:r>
    </w:p>
    <w:p>
      <w:r>
        <w:rPr>
          <w:b/>
        </w:rPr>
        <w:t xml:space="preserve">Cross-reference: </w:t>
      </w:r>
      <w:r>
        <w:t>Gap Analysis §3.1; Current-State §2.1</w:t>
      </w:r>
    </w:p>
    <w:p>
      <w:r>
        <w:rPr>
          <w:b/>
        </w:rPr>
        <w:t xml:space="preserve">Status: </w:t>
      </w:r>
      <w:r>
        <w:t>In Flight — The Customers database in EFP Job Tracking (Notion) is the target canonical store; QuickBooks-side reconciliation in flight as part of the QB Desktop → QB Online migration.</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#8 — Certified Payroll — Tooling &amp; Data-Structure Gap (Medium)</w:t>
      </w:r>
    </w:p>
    <w:p>
      <w:r>
        <w:rPr>
          <w:b/>
        </w:rPr>
        <w:t xml:space="preserve">Cross-reference: </w:t>
      </w:r>
      <w:r>
        <w:t>Gap Analysis §3.1; Current-State §2.1</w:t>
      </w:r>
    </w:p>
    <w:p>
      <w:r>
        <w:rPr>
          <w:b/>
        </w:rPr>
        <w:t xml:space="preserve">Status: </w:t>
      </w:r>
      <w:r>
        <w:t>Scheduled — QuickBooks Desktop → QuickBooks Online with QuickBooks Payroll migration, paired with a digital timecard system (initial form may be as simple as crews texting in photos of paper timesheets); see Notion Payroll Processing page for the target architecture.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#9 — Certificate of Insurance Tracking (Medium)</w:t>
      </w:r>
    </w:p>
    <w:p>
      <w:r>
        <w:rPr>
          <w:b/>
        </w:rPr>
        <w:t xml:space="preserve">Cross-reference: </w:t>
      </w:r>
      <w:r>
        <w:t>Gap Analysis §3.1; Current-State §2.1</w:t>
      </w:r>
    </w:p>
    <w:p>
      <w:r>
        <w:rPr>
          <w:b/>
        </w:rPr>
        <w:t xml:space="preserve">Status: </w:t>
      </w:r>
      <w:r>
        <w:t>Open — Year-1 item; candidate to fold into the consolidated compliance / training / certification calendar that the HR agent is building under Finding #23.</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#10 — Budgeting, Forecasting &amp; Management Reporting (Medium)</w:t>
      </w:r>
    </w:p>
    <w:p>
      <w:r>
        <w:rPr>
          <w:b/>
        </w:rPr>
        <w:t xml:space="preserve">Cross-reference: </w:t>
      </w:r>
      <w:r>
        <w:t>Gap Analysis §3.1; Current-State §2.1</w:t>
      </w:r>
    </w:p>
    <w:p>
      <w:r>
        <w:rPr>
          <w:b/>
        </w:rPr>
        <w:t xml:space="preserve">Status: </w:t>
      </w:r>
      <w:r>
        <w:t>Open — No modernization workstream yet; baseline forecasting exists in the three-year business plan model that informed the SBA package, but a recurring management-reporting cadence is not yet defined.</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2"/>
      </w:pPr>
      <w:r>
        <w:t>5.2 Revenue Generation &amp; Customer Management</w:t>
      </w:r>
    </w:p>
    <w:p>
      <w:pPr>
        <w:pStyle w:val="Heading3"/>
      </w:pPr>
      <w:r>
        <w:t>Finding #11 — Estimating Methodology Not Documented (High)</w:t>
      </w:r>
    </w:p>
    <w:p>
      <w:r>
        <w:rPr>
          <w:b/>
        </w:rPr>
        <w:t xml:space="preserve">Cross-reference: </w:t>
      </w:r>
      <w:r>
        <w:t>Gap Analysis §3.2; Current-State §2.2</w:t>
      </w:r>
    </w:p>
    <w:p>
      <w:r>
        <w:rPr>
          <w:b/>
        </w:rPr>
        <w:t xml:space="preserve">Status: </w:t>
      </w:r>
      <w:r>
        <w:t>Scheduled — Focus weeks of May 11 and May 18; success criterion is a documented process that can be followed without Kevin or Keith's assistance; benchmarked against a planned visit with Kevin's friend Scott (modern sprinkler-fitter shop in Wisconsin).</w:t>
      </w:r>
    </w:p>
    <w:p>
      <w:r>
        <w:rPr>
          <w:b/>
        </w:rPr>
        <w:t xml:space="preserve">Owner: </w:t>
      </w:r>
      <w:r>
        <w:t>Justin + Kevin, with Keith input and Scott benchmarking input if the Wisconsin visit occurs.</w:t>
      </w:r>
    </w:p>
    <w:p>
      <w:r>
        <w:rPr>
          <w:b/>
        </w:rPr>
        <w:t xml:space="preserve">Sequence: </w:t>
      </w:r>
      <w:r>
        <w:t>Highest-leverage owner-knowledge capture item. Should happen before broader sales process or estimating delegation decisions.</w:t>
      </w:r>
    </w:p>
    <w:p>
      <w:r>
        <w:rPr>
          <w:b/>
        </w:rPr>
        <w:t xml:space="preserve">Success Criteria: </w:t>
      </w:r>
      <w:r>
        <w:t>A documented estimating process exists that can be followed without Kevin or Keith’s assistance, including cost buildup, labor assumptions, materials/subcontractor inputs, markup/contingency logic, review/approval points, and examples from recent bids.</w:t>
      </w:r>
    </w:p>
    <w:p>
      <w:r>
        <w:rPr>
          <w:b/>
        </w:rPr>
        <w:t xml:space="preserve">Estimated Effort: </w:t>
      </w:r>
      <w:r>
        <w:t>Moderate to high; two working sessions plus one test pass by someone other than Kevin/Keith.</w:t>
      </w:r>
    </w:p>
    <w:p>
      <w:r>
        <w:rPr>
          <w:b/>
        </w:rPr>
        <w:t xml:space="preserve">Milestones: </w:t>
      </w:r>
      <w:r>
        <w:t>Week of May 11: map current method and collect example estimates. Week of May 18: draft v0 and test against one historical job. Follow-up: revise based on test failure points.</w:t>
      </w:r>
    </w:p>
    <w:p>
      <w:r>
        <w:rPr>
          <w:b/>
        </w:rPr>
        <w:t xml:space="preserve">Open Questions: </w:t>
      </w:r>
      <w:r>
        <w:t>Decide whether the first version should be a Word/Notion SOP only, or include spreadsheet templates / calculators as controlled artifacts.</w:t>
      </w:r>
    </w:p>
    <w:p>
      <w:pPr>
        <w:pStyle w:val="Heading3"/>
      </w:pPr>
      <w:r>
        <w:t>Finding #12 — Absence of Standing Inspection Service Agreements (High)</w:t>
      </w:r>
    </w:p>
    <w:p>
      <w:r>
        <w:rPr>
          <w:b/>
        </w:rPr>
        <w:t xml:space="preserve">Cross-reference: </w:t>
      </w:r>
      <w:r>
        <w:t>Gap Analysis §3.2; Current-State §2.2</w:t>
      </w:r>
    </w:p>
    <w:p>
      <w:r>
        <w:rPr>
          <w:b/>
        </w:rPr>
        <w:t xml:space="preserve">Status: </w:t>
      </w:r>
      <w:r>
        <w:t>Sequenced — Depends on Finding #6 (inspection-delivery hire decision); MSA template development begins after the delivery model is decided.</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#13 — Declining Inspection Volume &amp; Competitive Consolidation Risk (High)</w:t>
      </w:r>
    </w:p>
    <w:p>
      <w:r>
        <w:rPr>
          <w:b/>
        </w:rPr>
        <w:t xml:space="preserve">Cross-reference: </w:t>
      </w:r>
      <w:r>
        <w:t>Gap Analysis §3.2; Current-State §2.3</w:t>
      </w:r>
    </w:p>
    <w:p>
      <w:r>
        <w:rPr>
          <w:b/>
        </w:rPr>
        <w:t xml:space="preserve">Status: </w:t>
      </w:r>
      <w:r>
        <w:t>Open — Strategic context exists in the UP Michigan Fire Protection Market Analysis (Notion); no defensive product offering or customer-conversion plan in motion. Trade Organization Membership Plan in Notion is an adjacent piece.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#14 — No CRM or Pipeline System (Medium)</w:t>
      </w:r>
    </w:p>
    <w:p>
      <w:r>
        <w:rPr>
          <w:b/>
        </w:rPr>
        <w:t xml:space="preserve">Cross-reference: </w:t>
      </w:r>
      <w:r>
        <w:t>Gap Analysis §3.2; Current-State §2.2</w:t>
      </w:r>
    </w:p>
    <w:p>
      <w:r>
        <w:rPr>
          <w:b/>
        </w:rPr>
        <w:t xml:space="preserve">Status: </w:t>
      </w:r>
      <w:r>
        <w:t>Sequenced — Customers database in EFP Job Tracking provides the foundation; full CRM/pipeline functionality follows the inspection-line and PM workstream decisions.</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#15 — Declined Inspection-Adjacent Inbound Service Volume (Revenue Leakage) (Medium)</w:t>
      </w:r>
    </w:p>
    <w:p>
      <w:r>
        <w:rPr>
          <w:b/>
        </w:rPr>
        <w:t xml:space="preserve">Cross-reference: </w:t>
      </w:r>
      <w:r>
        <w:t>Gap Analysis §3.2; Current-State §2.2 / 2.3</w:t>
      </w:r>
    </w:p>
    <w:p>
      <w:r>
        <w:rPr>
          <w:b/>
        </w:rPr>
        <w:t xml:space="preserve">Status: </w:t>
      </w:r>
      <w:r>
        <w:t>Open — Measurement gap; lightweight intake-logging at the front desk would unlock the service-line decision. Sister-company fire extinguisher service concept (agent memory) is a partial defensive move.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2"/>
      </w:pPr>
      <w:r>
        <w:t>5.3 Project Delivery &amp; Operations</w:t>
      </w:r>
    </w:p>
    <w:p>
      <w:pPr>
        <w:pStyle w:val="Heading3"/>
      </w:pPr>
      <w:r>
        <w:t>Finding #16 — Inspection Delivery Concentration — Single Point of Failure (Critical)</w:t>
      </w:r>
    </w:p>
    <w:p>
      <w:r>
        <w:rPr>
          <w:b/>
        </w:rPr>
        <w:t xml:space="preserve">Cross-reference: </w:t>
      </w:r>
      <w:r>
        <w:t>Gap Analysis §3.3; Current-State §2.3</w:t>
      </w:r>
    </w:p>
    <w:p>
      <w:r>
        <w:rPr>
          <w:b/>
        </w:rPr>
        <w:t xml:space="preserve">Status: </w:t>
      </w:r>
      <w:r>
        <w:t>Sequenced — Mitigation depends on the inspection-delivery hire decision (internal Konner promotion vs. external NFPA-25 hire); cross-training plan defined post-decision. Strategic conversation seeded on the May 11 trip.</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#17 — Field-to-Office Communication Gap (High)</w:t>
      </w:r>
    </w:p>
    <w:p>
      <w:r>
        <w:rPr>
          <w:b/>
        </w:rPr>
        <w:t xml:space="preserve">Cross-reference: </w:t>
      </w:r>
      <w:r>
        <w:t>Gap Analysis §3.3; Current-State §2.3</w:t>
      </w:r>
    </w:p>
    <w:p>
      <w:r>
        <w:rPr>
          <w:b/>
        </w:rPr>
        <w:t xml:space="preserve">Status: </w:t>
      </w:r>
      <w:r>
        <w:t>In Flight — Field Crew Communication Architecture (Quo + Notion + OpenClaw) in pilot; the four live Job Tracking databases (Installation Jobs, Inspection Jobs, Billing Log, Change Orders) provide the office-side structure.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#18 — Safety Program (High)</w:t>
      </w:r>
    </w:p>
    <w:p>
      <w:r>
        <w:rPr>
          <w:b/>
        </w:rPr>
        <w:t xml:space="preserve">Cross-reference: </w:t>
      </w:r>
      <w:r>
        <w:t>Gap Analysis §3.3; Current-State §2.3 / 2.6</w:t>
      </w:r>
    </w:p>
    <w:p>
      <w:r>
        <w:rPr>
          <w:b/>
        </w:rPr>
        <w:t xml:space="preserve">Status: </w:t>
      </w:r>
      <w:r>
        <w:t>In Flight — Under the HR agent in the modernization effort, including a standing safety calendar — the piece that's missing in the current state. New Employee Onboarding Checklist owns the at-hire MIOSHA orientation.</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#19 — Project Management &amp; Subcontractor Management — GC-Seat Exposure (High)</w:t>
      </w:r>
    </w:p>
    <w:p>
      <w:r>
        <w:rPr>
          <w:b/>
        </w:rPr>
        <w:t xml:space="preserve">Cross-reference: </w:t>
      </w:r>
      <w:r>
        <w:t>Gap Analysis §3.3; Current-State §2.3 / 2.5</w:t>
      </w:r>
    </w:p>
    <w:p>
      <w:r>
        <w:rPr>
          <w:b/>
        </w:rPr>
        <w:t xml:space="preserve">Status: </w:t>
      </w:r>
      <w:r>
        <w:t>Scheduled — Kevin/Justin working session on the May 11 on-site, anchored by the EMP / Advanced Products case.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#20 — Absence of Written QA/QC Program (High)</w:t>
      </w:r>
    </w:p>
    <w:p>
      <w:r>
        <w:rPr>
          <w:b/>
        </w:rPr>
        <w:t xml:space="preserve">Cross-reference: </w:t>
      </w:r>
      <w:r>
        <w:t>Gap Analysis §3.3; Current-State §2.3</w:t>
      </w:r>
    </w:p>
    <w:p>
      <w:r>
        <w:rPr>
          <w:b/>
        </w:rPr>
        <w:t xml:space="preserve">Status: </w:t>
      </w:r>
      <w:r>
        <w:t>Open — No modernization workstream yet; ownership question to be surfaced on the May 11 trip. The most material un-anchored High finding.</w:t>
      </w:r>
    </w:p>
    <w:p>
      <w:r>
        <w:rPr>
          <w:b/>
        </w:rPr>
        <w:t xml:space="preserve">Owner: </w:t>
      </w:r>
      <w:r>
        <w:t>Not yet assigned; likely Justin + Keith/Kevin initially, then inspection/project delivery owner once named.</w:t>
      </w:r>
    </w:p>
    <w:p>
      <w:r>
        <w:rPr>
          <w:b/>
        </w:rPr>
        <w:t xml:space="preserve">Sequence: </w:t>
      </w:r>
      <w:r>
        <w:t>Open item. Should not be overbuilt until the inspection-delivery and PM ownership decisions are clearer, but the absence of a QA/QC baseline is a High finding and needs an owner.</w:t>
      </w:r>
    </w:p>
    <w:p>
      <w:r>
        <w:rPr>
          <w:b/>
        </w:rPr>
        <w:t xml:space="preserve">Success Criteria: </w:t>
      </w:r>
      <w:r>
        <w:t>A written QA/QC program defines minimum review points, inspection/readiness checks, documentation artifacts, correction tracking, and accountability for install and inspection work. The program is light enough to be used by the field, not just filed.</w:t>
      </w:r>
    </w:p>
    <w:p>
      <w:r>
        <w:rPr>
          <w:b/>
        </w:rPr>
        <w:t xml:space="preserve">Estimated Effort: </w:t>
      </w:r>
      <w:r>
        <w:t>Moderate; best built from actual rework/callback patterns and AHJ re-trip causes rather than from a generic template.</w:t>
      </w:r>
    </w:p>
    <w:p>
      <w:r>
        <w:rPr>
          <w:b/>
        </w:rPr>
        <w:t xml:space="preserve">Milestones: </w:t>
      </w:r>
      <w:r>
        <w:t>May on-site: identify current informal QA checks and common failure modes. 0–90 days: name owner and define minimum QA gates. Year 1: fold QA artifacts into job tracking / permit / inspection workflows.</w:t>
      </w:r>
    </w:p>
    <w:p>
      <w:r>
        <w:rPr>
          <w:b/>
        </w:rPr>
        <w:t xml:space="preserve">Open Questions: </w:t>
      </w:r>
      <w:r>
        <w:t>Who owns QA/QC after Keith’s eventual transition: field lead, inspector, office PM function, or new operations manager?</w:t>
      </w:r>
    </w:p>
    <w:p>
      <w:pPr>
        <w:pStyle w:val="Heading3"/>
      </w:pPr>
      <w:r>
        <w:t>Finding #21 — No Defined Job Intake Data Model (Medium)</w:t>
      </w:r>
    </w:p>
    <w:p>
      <w:r>
        <w:rPr>
          <w:b/>
        </w:rPr>
        <w:t xml:space="preserve">Cross-reference: </w:t>
      </w:r>
      <w:r>
        <w:t>Gap Analysis §3.3; Current-State §2.3</w:t>
      </w:r>
    </w:p>
    <w:p>
      <w:r>
        <w:rPr>
          <w:b/>
        </w:rPr>
        <w:t xml:space="preserve">Status: </w:t>
      </w:r>
      <w:r>
        <w:t>In Flight — Installation Jobs and Inspection Jobs databases in EFP Job Tracking define the canonical intake data model; office adoption is the remaining piece.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#22 — AHJ Rough-In / Final Re-Trip Cost Exposure (Medium)</w:t>
      </w:r>
    </w:p>
    <w:p>
      <w:r>
        <w:rPr>
          <w:b/>
        </w:rPr>
        <w:t xml:space="preserve">Cross-reference: </w:t>
      </w:r>
      <w:r>
        <w:t>Gap Analysis §3.3; Current-State §2.3</w:t>
      </w:r>
    </w:p>
    <w:p>
      <w:r>
        <w:rPr>
          <w:b/>
        </w:rPr>
        <w:t xml:space="preserve">Status: </w:t>
      </w:r>
      <w:r>
        <w:t>In Flight — Permit Management Process page in Notion documents the workflow; per-trip cost exposure addressed indirectly through pre-inspection readiness improvements paired with QA/QC (Finding #14, open).</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#23 — Rough-In Artifact Preparation &amp; Centralization Gap (Medium)</w:t>
      </w:r>
    </w:p>
    <w:p>
      <w:r>
        <w:rPr>
          <w:b/>
        </w:rPr>
        <w:t xml:space="preserve">Cross-reference: </w:t>
      </w:r>
      <w:r>
        <w:t>Gap Analysis §3.3; Current-State §2.3</w:t>
      </w:r>
    </w:p>
    <w:p>
      <w:r>
        <w:rPr>
          <w:b/>
        </w:rPr>
        <w:t xml:space="preserve">Status: </w:t>
      </w:r>
      <w:r>
        <w:t>Sequenced — Depends on the inspection-delivery hire and the eventual choice of ITM platform (Inspect Point or alternative); document centralization follows.</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#24 — Inspection Management System Absent (No ITM Platform) (Medium)</w:t>
      </w:r>
    </w:p>
    <w:p>
      <w:r>
        <w:rPr>
          <w:b/>
        </w:rPr>
        <w:t xml:space="preserve">Cross-reference: </w:t>
      </w:r>
      <w:r>
        <w:t>Gap Analysis §3.3; Current-State §2.3</w:t>
      </w:r>
    </w:p>
    <w:p>
      <w:r>
        <w:rPr>
          <w:b/>
        </w:rPr>
        <w:t xml:space="preserve">Status: </w:t>
      </w:r>
      <w:r>
        <w:t>Sequenced — Inspection Jobs database provides interim tracking; full ITM platform adoption sequenced behind the inspection-delivery model decision.</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#25 — Fleet Maintenance Tracking (Medium)</w:t>
      </w:r>
    </w:p>
    <w:p>
      <w:r>
        <w:rPr>
          <w:b/>
        </w:rPr>
        <w:t xml:space="preserve">Cross-reference: </w:t>
      </w:r>
      <w:r>
        <w:t>Gap Analysis §3.3; Current-State §2.3</w:t>
      </w:r>
    </w:p>
    <w:p>
      <w:r>
        <w:rPr>
          <w:b/>
        </w:rPr>
        <w:t xml:space="preserve">Status: </w:t>
      </w:r>
      <w:r>
        <w:t>Open — Year-1 item; vehicles themselves are well maintained, so this is a documentation and diligence-readability gap.</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#26 — Inventory Management (Low)</w:t>
      </w:r>
    </w:p>
    <w:p>
      <w:r>
        <w:rPr>
          <w:b/>
        </w:rPr>
        <w:t xml:space="preserve">Cross-reference: </w:t>
      </w:r>
      <w:r>
        <w:t>Gap Analysis §3.3; Current-State §2.3</w:t>
      </w:r>
    </w:p>
    <w:p>
      <w:r>
        <w:rPr>
          <w:b/>
        </w:rPr>
        <w:t xml:space="preserve">Status: </w:t>
      </w:r>
      <w:r>
        <w:t>Open — Low-severity item; no modernization workstream attached. Defer until inventory volume or shrink justifies the management overhead.</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2"/>
      </w:pPr>
      <w:r>
        <w:t>5.4 People &amp; Administration</w:t>
      </w:r>
    </w:p>
    <w:p>
      <w:pPr>
        <w:pStyle w:val="Heading3"/>
      </w:pPr>
      <w:r>
        <w:t>Finding #27 — Office Succession — Betty Retirement (Critical)</w:t>
      </w:r>
    </w:p>
    <w:p>
      <w:r>
        <w:rPr>
          <w:b/>
        </w:rPr>
        <w:t xml:space="preserve">Cross-reference: </w:t>
      </w:r>
      <w:r>
        <w:t>Gap Analysis §3.4; Current-State §2.4</w:t>
      </w:r>
    </w:p>
    <w:p>
      <w:r>
        <w:rPr>
          <w:b/>
        </w:rPr>
        <w:t xml:space="preserve">Status: </w:t>
      </w:r>
      <w:r>
        <w:t>In Flight — Krissy cross-training underway; Betty-functions runbook interview scheduled for the May 11 on-site (before the May 15 retirement).</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#28 — Field Workforce Recruiting &amp; Retention (High)</w:t>
      </w:r>
    </w:p>
    <w:p>
      <w:r>
        <w:rPr>
          <w:b/>
        </w:rPr>
        <w:t xml:space="preserve">Cross-reference: </w:t>
      </w:r>
      <w:r>
        <w:t>Gap Analysis §3.4; Current-State §2.4</w:t>
      </w:r>
    </w:p>
    <w:p>
      <w:r>
        <w:rPr>
          <w:b/>
        </w:rPr>
        <w:t xml:space="preserve">Status: </w:t>
      </w:r>
      <w:r>
        <w:t>In Flight — StangDS (Houghton MI) running the active journeyman sprinkler-fitter posting with strong traction; EFP Interviews database carries the four-stage funnel (initial screening → R1 phone with Justin → R2 phone with Justin/Kevin/Keith → working day); written process page is a quick follow-up from the trip.</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#29 — IT Backup, Disaster Recovery, and Continuity Posture (High)</w:t>
      </w:r>
    </w:p>
    <w:p>
      <w:r>
        <w:rPr>
          <w:b/>
        </w:rPr>
        <w:t xml:space="preserve">Cross-reference: </w:t>
      </w:r>
      <w:r>
        <w:t>Gap Analysis §3.4; Current-State §2.4</w:t>
      </w:r>
    </w:p>
    <w:p>
      <w:r>
        <w:rPr>
          <w:b/>
        </w:rPr>
        <w:t xml:space="preserve">Status: </w:t>
      </w:r>
      <w:r>
        <w:t>In Flight — Site Infrastructure Standard (SIS-003) in Notion is the architectural reference (S3 with Object Lock, cross-region replication, PostgreSQL daily backups, Git config repo, 4-hour recovery target); deployment in progress.</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#30 — IT Security Posture Beyond the Email Account (High)</w:t>
      </w:r>
    </w:p>
    <w:p>
      <w:r>
        <w:rPr>
          <w:b/>
        </w:rPr>
        <w:t xml:space="preserve">Cross-reference: </w:t>
      </w:r>
      <w:r>
        <w:t>Gap Analysis §3.4; Current-State §2.4</w:t>
      </w:r>
    </w:p>
    <w:p>
      <w:r>
        <w:rPr>
          <w:b/>
        </w:rPr>
        <w:t xml:space="preserve">Status: </w:t>
      </w:r>
      <w:r>
        <w:t>In Flight — IT Policies (EFP-ITP-004) and M365 Email &amp; Identity Architecture pages in Notion define the target; Bitwarden/Vaultwarden mandated for all employees with system access. Implementation tracks the SIS-003 deployment.</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#31 — Cyber Insurance Gap and Property-Form Cyber-Incident Exclusion (High)</w:t>
      </w:r>
    </w:p>
    <w:p>
      <w:r>
        <w:rPr>
          <w:b/>
        </w:rPr>
        <w:t xml:space="preserve">Cross-reference: </w:t>
      </w:r>
      <w:r>
        <w:t>Gap Analysis §3.4; Current-State §2.1 / 2.4</w:t>
      </w:r>
    </w:p>
    <w:p>
      <w:r>
        <w:rPr>
          <w:b/>
        </w:rPr>
        <w:t xml:space="preserve">Status: </w:t>
      </w:r>
      <w:r>
        <w:t>In Flight — Gauthier Insurance currently quoting a cyber liability line per the IT Policies page §4.3.</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#32 — Mobile Device Management &amp; Endpoint Posture (Medium)</w:t>
      </w:r>
    </w:p>
    <w:p>
      <w:r>
        <w:rPr>
          <w:b/>
        </w:rPr>
        <w:t xml:space="preserve">Cross-reference: </w:t>
      </w:r>
      <w:r>
        <w:t>Gap Analysis §3.4; Current-State §2.4</w:t>
      </w:r>
    </w:p>
    <w:p>
      <w:r>
        <w:rPr>
          <w:b/>
        </w:rPr>
        <w:t xml:space="preserve">Status: </w:t>
      </w:r>
      <w:r>
        <w:t>Open — Linked to broader M365 / Intune decision per IT Policies; deferred until M365 Business Premium licensing is in place. Currently only Kevin and Keith carry Company-provided phones; all others on personal devices.</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#33 — Records Retention Obligations Going Unmet (Medium)</w:t>
      </w:r>
    </w:p>
    <w:p>
      <w:r>
        <w:rPr>
          <w:b/>
        </w:rPr>
        <w:t xml:space="preserve">Cross-reference: </w:t>
      </w:r>
      <w:r>
        <w:t>Gap Analysis §3.4; Current-State §2.4 / 2.6</w:t>
      </w:r>
    </w:p>
    <w:p>
      <w:r>
        <w:rPr>
          <w:b/>
        </w:rPr>
        <w:t xml:space="preserve">Status: </w:t>
      </w:r>
      <w:r>
        <w:t>In Flight — Data Retention Policy (EFP-DRP-001) published in Notion with full retention schedule across customer records, financial records, employment records, insurance/legal records, and corporate records; operational application via Paperless-ngx tagging is the deployment piece.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#34 — Software Inventory and Identity Management (Medium)</w:t>
      </w:r>
    </w:p>
    <w:p>
      <w:r>
        <w:rPr>
          <w:b/>
        </w:rPr>
        <w:t xml:space="preserve">Cross-reference: </w:t>
      </w:r>
      <w:r>
        <w:t>Gap Analysis §3.4; Current-State §2.4</w:t>
      </w:r>
    </w:p>
    <w:p>
      <w:r>
        <w:rPr>
          <w:b/>
        </w:rPr>
        <w:t xml:space="preserve">Status: </w:t>
      </w:r>
      <w:r>
        <w:t>In Flight — M365 Email &amp; Identity Architecture page in Notion defines the target (named user inboxes, shared mailboxes, AI agent identity, vendor-account migration); Bitwarden as the password manager.</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#35 — Hiring, Onboarding &amp; Termination Process Definition (Medium)</w:t>
      </w:r>
    </w:p>
    <w:p>
      <w:r>
        <w:rPr>
          <w:b/>
        </w:rPr>
        <w:t xml:space="preserve">Cross-reference: </w:t>
      </w:r>
      <w:r>
        <w:t>Gap Analysis §3.4; Current-State §2.4</w:t>
      </w:r>
    </w:p>
    <w:p>
      <w:r>
        <w:rPr>
          <w:b/>
        </w:rPr>
        <w:t xml:space="preserve">Status: </w:t>
      </w:r>
      <w:r>
        <w:t>In Flight — New Employee Onboarding Checklist published in Notion covers hiring/onboarding end-to-end; termination side and broader hiring pipeline still being scoped.</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#36 — HR Compliance Posture (Medium)</w:t>
      </w:r>
    </w:p>
    <w:p>
      <w:r>
        <w:rPr>
          <w:b/>
        </w:rPr>
        <w:t xml:space="preserve">Cross-reference: </w:t>
      </w:r>
      <w:r>
        <w:t>Gap Analysis §3.4; Current-State §2.4</w:t>
      </w:r>
    </w:p>
    <w:p>
      <w:r>
        <w:rPr>
          <w:b/>
        </w:rPr>
        <w:t xml:space="preserve">Status: </w:t>
      </w:r>
      <w:r>
        <w:t>In Flight — HR Compliance &amp; Functions Guide published in Notion covering federal, Michigan state, and Marquette local HR regulatory framework.</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2"/>
      </w:pPr>
      <w:r>
        <w:t>5.5 Institutional Knowledge &amp; Key Relationships</w:t>
      </w:r>
    </w:p>
    <w:p>
      <w:pPr>
        <w:pStyle w:val="Heading3"/>
      </w:pPr>
      <w:r>
        <w:t>Finding #37 — Undocumented Owner Knowledge (Critical)</w:t>
      </w:r>
    </w:p>
    <w:p>
      <w:r>
        <w:rPr>
          <w:b/>
        </w:rPr>
        <w:t xml:space="preserve">Cross-reference: </w:t>
      </w:r>
      <w:r>
        <w:t>Gap Analysis §3.5; Current-State §2.5</w:t>
      </w:r>
    </w:p>
    <w:p>
      <w:r>
        <w:rPr>
          <w:b/>
        </w:rPr>
        <w:t xml:space="preserve">Status: </w:t>
      </w:r>
      <w:r>
        <w:t>Scheduled — Focus weeks of May 11 and May 18; estimating is the highest-leverage piece (see Finding #11). Other elements (customer relationships, pricing posture, vendor arrangements) are captured opportunistically through the EFP Interviews and the in-process conversations.</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#38 — Customer Concentration (High)</w:t>
      </w:r>
    </w:p>
    <w:p>
      <w:r>
        <w:rPr>
          <w:b/>
        </w:rPr>
        <w:t xml:space="preserve">Cross-reference: </w:t>
      </w:r>
      <w:r>
        <w:t>Gap Analysis §3.5; Current-State §2.5</w:t>
      </w:r>
    </w:p>
    <w:p>
      <w:r>
        <w:rPr>
          <w:b/>
        </w:rPr>
        <w:t xml:space="preserve">Status: </w:t>
      </w:r>
      <w:r>
        <w:t>Sequenced — Pairs with Finding #12 on the inspection-customer side and Finding #16 on the GC-seat side; MSA development sequenced behind the inspection-delivery decision.</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2"/>
      </w:pPr>
      <w:r>
        <w:t>5.6 Regulatory &amp; Compliance</w:t>
      </w:r>
    </w:p>
    <w:p>
      <w:pPr>
        <w:pStyle w:val="Heading3"/>
      </w:pPr>
      <w:r>
        <w:t>Finding #39 — Michigan Unemployment Insurance Filings (Critical)</w:t>
      </w:r>
    </w:p>
    <w:p>
      <w:r>
        <w:rPr>
          <w:b/>
        </w:rPr>
        <w:t xml:space="preserve">Cross-reference: </w:t>
      </w:r>
      <w:r>
        <w:t>Gap Analysis §3.6; Current-State §2.6</w:t>
      </w:r>
    </w:p>
    <w:p>
      <w:r>
        <w:rPr>
          <w:b/>
        </w:rPr>
        <w:t xml:space="preserve">Status: </w:t>
      </w:r>
      <w:r>
        <w:t>Scheduled — AT&amp;C TPA assignment complete; reconstruction kickoff on the May 11 on-site.</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#40 — NFPA &amp; AHJ Knowledge Concentration (Critical)</w:t>
      </w:r>
    </w:p>
    <w:p>
      <w:r>
        <w:rPr>
          <w:b/>
        </w:rPr>
        <w:t xml:space="preserve">Cross-reference: </w:t>
      </w:r>
      <w:r>
        <w:t>Gap Analysis §3.6; Current-State §2.6</w:t>
      </w:r>
    </w:p>
    <w:p>
      <w:r>
        <w:rPr>
          <w:b/>
        </w:rPr>
        <w:t xml:space="preserve">Status: </w:t>
      </w:r>
      <w:r>
        <w:t>In Flight — Permit Management Process documents the AHJ piece; full NFPA-25 procedural documentation sequenced behind the inspection-delivery hire (Finding #6).</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#41 — ISN / ISNetworld Prequalification Obligations (High)</w:t>
      </w:r>
    </w:p>
    <w:p>
      <w:r>
        <w:rPr>
          <w:b/>
        </w:rPr>
        <w:t xml:space="preserve">Cross-reference: </w:t>
      </w:r>
      <w:r>
        <w:t>Gap Analysis §3.6; Current-State §2.6</w:t>
      </w:r>
    </w:p>
    <w:p>
      <w:r>
        <w:rPr>
          <w:b/>
        </w:rPr>
        <w:t xml:space="preserve">Status: </w:t>
      </w:r>
      <w:r>
        <w:t>Open — Recommend folding into the consolidated compliance / training / certification calendar that the HR agent is building under Finding #23 (Safety Program).</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#42 — Customer-Specific Compliance Tracking (High)</w:t>
      </w:r>
    </w:p>
    <w:p>
      <w:r>
        <w:rPr>
          <w:b/>
        </w:rPr>
        <w:t xml:space="preserve">Cross-reference: </w:t>
      </w:r>
      <w:r>
        <w:t>Gap Analysis §3.6; Current-State §2.6</w:t>
      </w:r>
    </w:p>
    <w:p>
      <w:r>
        <w:rPr>
          <w:b/>
        </w:rPr>
        <w:t xml:space="preserve">Status: </w:t>
      </w:r>
      <w:r>
        <w:t>Open — Same consolidation recommendation as Finding #21 — fold into the HR agent compliance calendar.</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#43 — Absence of AHJ / Fire Marshal Register (Medium)</w:t>
      </w:r>
    </w:p>
    <w:p>
      <w:r>
        <w:rPr>
          <w:b/>
        </w:rPr>
        <w:t xml:space="preserve">Cross-reference: </w:t>
      </w:r>
      <w:r>
        <w:t>Gap Analysis §3.6; Current-State §2.6</w:t>
      </w:r>
    </w:p>
    <w:p>
      <w:r>
        <w:rPr>
          <w:b/>
        </w:rPr>
        <w:t xml:space="preserve">Status: </w:t>
      </w:r>
      <w:r>
        <w:t>In Flight — Permit Management Process is the seed (state-level Michigan BCC contact (Phil Myron) documented); full register including county fire marshals pending.</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3"/>
      </w:pPr>
      <w:r>
        <w:t>Finding #44 — BFS Act 144 Certification Verification (Low)</w:t>
      </w:r>
    </w:p>
    <w:p>
      <w:r>
        <w:rPr>
          <w:b/>
        </w:rPr>
        <w:t xml:space="preserve">Cross-reference: </w:t>
      </w:r>
      <w:r>
        <w:t>Gap Analysis §3.6; Current-State §2.6</w:t>
      </w:r>
    </w:p>
    <w:p>
      <w:r>
        <w:rPr>
          <w:b/>
        </w:rPr>
        <w:t xml:space="preserve">Status: </w:t>
      </w:r>
      <w:r>
        <w:t>Scheduled — On the May 11 on-site information-gathering list.</w:t>
      </w:r>
    </w:p>
    <w:p>
      <w:r>
        <w:rPr>
          <w:b/>
        </w:rPr>
        <w:t xml:space="preserve">Owner: </w:t>
      </w:r>
      <w:r>
        <w:t>[TBD]</w:t>
      </w:r>
    </w:p>
    <w:p>
      <w:r>
        <w:rPr>
          <w:b/>
        </w:rPr>
        <w:t xml:space="preserve">Sequence: </w:t>
      </w:r>
      <w:r>
        <w:t>[TBD — identify predecessors / successors and whether another decision must happen first.]</w:t>
      </w:r>
    </w:p>
    <w:p>
      <w:r>
        <w:rPr>
          <w:b/>
        </w:rPr>
        <w:t xml:space="preserve">Success Criteria: </w:t>
      </w:r>
      <w:r>
        <w:t>[TBD — write as a testable done condition, not an activity.]</w:t>
      </w:r>
    </w:p>
    <w:p>
      <w:r>
        <w:rPr>
          <w:b/>
        </w:rPr>
        <w:t xml:space="preserve">Estimated Effort: </w:t>
      </w:r>
      <w:r>
        <w:t>[TBD — low / moderate / high plus named resource constraints.]</w:t>
      </w:r>
    </w:p>
    <w:p>
      <w:r>
        <w:rPr>
          <w:b/>
        </w:rPr>
        <w:t xml:space="preserve">Milestones: </w:t>
      </w:r>
      <w:r>
        <w:t>[TBD — dated where known; otherwise tie to transaction close, first 90 days, or Year 1.]</w:t>
      </w:r>
    </w:p>
    <w:p>
      <w:r>
        <w:rPr>
          <w:b/>
        </w:rPr>
        <w:t xml:space="preserve">Open Questions: </w:t>
      </w:r>
      <w:r>
        <w:t>[TBD]</w:t>
      </w:r>
    </w:p>
    <w:p>
      <w:pPr>
        <w:pStyle w:val="Heading1"/>
      </w:pPr>
      <w:r>
        <w:t>6. Items Not Yet Scoped</w:t>
      </w:r>
    </w:p>
    <w:p>
      <w:r>
        <w:t>The following open items do not yet have a sufficiently concrete modernization workstream. Each needs a decision trigger before the plan should pretend there is an execution path.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sz w:val="17"/>
              </w:rPr>
            </w:r>
            <w:r>
              <w:rPr>
                <w:b/>
                <w:sz w:val="17"/>
              </w:rPr>
              <w:t>#</w:t>
            </w:r>
          </w:p>
        </w:tc>
        <w:tc>
          <w:tcPr>
            <w:tcW w:type="dxa" w:w="2556"/>
            <w:shd w:fill="D9EAF7"/>
          </w:tcPr>
          <w:p>
            <w:r>
              <w:rPr>
                <w:sz w:val="17"/>
              </w:rPr>
            </w:r>
            <w:r>
              <w:rPr>
                <w:b/>
                <w:sz w:val="17"/>
              </w:rPr>
              <w:t>Finding</w:t>
            </w:r>
          </w:p>
        </w:tc>
        <w:tc>
          <w:tcPr>
            <w:tcW w:type="dxa" w:w="2556"/>
            <w:shd w:fill="D9EAF7"/>
          </w:tcPr>
          <w:p>
            <w:r>
              <w:rPr>
                <w:sz w:val="17"/>
              </w:rPr>
            </w:r>
            <w:r>
              <w:rPr>
                <w:b/>
                <w:sz w:val="17"/>
              </w:rPr>
              <w:t>Horizon</w:t>
            </w:r>
          </w:p>
        </w:tc>
        <w:tc>
          <w:tcPr>
            <w:tcW w:type="dxa" w:w="2556"/>
            <w:shd w:fill="D9EAF7"/>
          </w:tcPr>
          <w:p>
            <w:r>
              <w:rPr>
                <w:sz w:val="17"/>
              </w:rPr>
            </w:r>
            <w:r>
              <w:rPr>
                <w:b/>
                <w:sz w:val="17"/>
              </w:rPr>
              <w:t>Decision trigger</w:t>
            </w:r>
          </w:p>
        </w:tc>
      </w:tr>
      <w:tr>
        <w:tc>
          <w:tcPr>
            <w:tcW w:type="dxa" w:w="2556"/>
            <w:vAlign w:val="top"/>
          </w:tcPr>
          <w:p>
            <w:r>
              <w:rPr>
                <w:sz w:val="17"/>
              </w:rPr>
            </w:r>
            <w:r>
              <w:rPr>
                <w:b w:val="0"/>
                <w:sz w:val="17"/>
              </w:rPr>
              <w:t>#4</w:t>
            </w:r>
          </w:p>
        </w:tc>
        <w:tc>
          <w:tcPr>
            <w:tcW w:type="dxa" w:w="2556"/>
            <w:vAlign w:val="top"/>
          </w:tcPr>
          <w:p>
            <w:r>
              <w:rPr>
                <w:sz w:val="17"/>
              </w:rPr>
            </w:r>
            <w:r>
              <w:rPr>
                <w:b w:val="0"/>
                <w:sz w:val="17"/>
              </w:rPr>
              <w:t>Stale Accounts Receivable</w:t>
            </w:r>
          </w:p>
        </w:tc>
        <w:tc>
          <w:tcPr>
            <w:tcW w:type="dxa" w:w="2556"/>
            <w:vAlign w:val="top"/>
          </w:tcPr>
          <w:p>
            <w:r>
              <w:rPr>
                <w:sz w:val="17"/>
              </w:rPr>
            </w:r>
            <w:r>
              <w:rPr>
                <w:b w:val="0"/>
                <w:sz w:val="17"/>
              </w:rPr>
              <w:t>0–90 days</w:t>
            </w:r>
          </w:p>
        </w:tc>
        <w:tc>
          <w:tcPr>
            <w:tcW w:type="dxa" w:w="2556"/>
            <w:vAlign w:val="top"/>
          </w:tcPr>
          <w:p>
            <w:r>
              <w:rPr>
                <w:sz w:val="17"/>
              </w:rPr>
            </w:r>
            <w:r>
              <w:rPr>
                <w:b w:val="0"/>
                <w:sz w:val="17"/>
              </w:rPr>
              <w:t>Tie to QBO migration / finance modernization scope.</w:t>
            </w:r>
          </w:p>
        </w:tc>
      </w:tr>
      <w:tr>
        <w:tc>
          <w:tcPr>
            <w:tcW w:type="dxa" w:w="2556"/>
            <w:vAlign w:val="top"/>
          </w:tcPr>
          <w:p>
            <w:r>
              <w:rPr>
                <w:sz w:val="17"/>
              </w:rPr>
            </w:r>
            <w:r>
              <w:rPr>
                <w:b w:val="0"/>
                <w:sz w:val="17"/>
              </w:rPr>
              <w:t>#5</w:t>
            </w:r>
          </w:p>
        </w:tc>
        <w:tc>
          <w:tcPr>
            <w:tcW w:type="dxa" w:w="2556"/>
            <w:vAlign w:val="top"/>
          </w:tcPr>
          <w:p>
            <w:r>
              <w:rPr>
                <w:sz w:val="17"/>
              </w:rPr>
            </w:r>
            <w:r>
              <w:rPr>
                <w:b w:val="0"/>
                <w:sz w:val="17"/>
              </w:rPr>
              <w:t>Chart of Accounts — Expense-Side Structure</w:t>
            </w:r>
          </w:p>
        </w:tc>
        <w:tc>
          <w:tcPr>
            <w:tcW w:type="dxa" w:w="2556"/>
            <w:vAlign w:val="top"/>
          </w:tcPr>
          <w:p>
            <w:r>
              <w:rPr>
                <w:sz w:val="17"/>
              </w:rPr>
            </w:r>
            <w:r>
              <w:rPr>
                <w:b w:val="0"/>
                <w:sz w:val="17"/>
              </w:rPr>
              <w:t>Year 1</w:t>
            </w:r>
          </w:p>
        </w:tc>
        <w:tc>
          <w:tcPr>
            <w:tcW w:type="dxa" w:w="2556"/>
            <w:vAlign w:val="top"/>
          </w:tcPr>
          <w:p>
            <w:r>
              <w:rPr>
                <w:sz w:val="17"/>
              </w:rPr>
            </w:r>
            <w:r>
              <w:rPr>
                <w:b w:val="0"/>
                <w:sz w:val="17"/>
              </w:rPr>
              <w:t>Tie to QBO migration / finance modernization scope.</w:t>
            </w:r>
          </w:p>
        </w:tc>
      </w:tr>
      <w:tr>
        <w:tc>
          <w:tcPr>
            <w:tcW w:type="dxa" w:w="2556"/>
            <w:vAlign w:val="top"/>
          </w:tcPr>
          <w:p>
            <w:r>
              <w:rPr>
                <w:sz w:val="17"/>
              </w:rPr>
            </w:r>
            <w:r>
              <w:rPr>
                <w:b w:val="0"/>
                <w:sz w:val="17"/>
              </w:rPr>
              <w:t>#6</w:t>
            </w:r>
          </w:p>
        </w:tc>
        <w:tc>
          <w:tcPr>
            <w:tcW w:type="dxa" w:w="2556"/>
            <w:vAlign w:val="top"/>
          </w:tcPr>
          <w:p>
            <w:r>
              <w:rPr>
                <w:sz w:val="17"/>
              </w:rPr>
            </w:r>
            <w:r>
              <w:rPr>
                <w:b w:val="0"/>
                <w:sz w:val="17"/>
              </w:rPr>
              <w:t>Revenue-Side Segmentation</w:t>
            </w:r>
          </w:p>
        </w:tc>
        <w:tc>
          <w:tcPr>
            <w:tcW w:type="dxa" w:w="2556"/>
            <w:vAlign w:val="top"/>
          </w:tcPr>
          <w:p>
            <w:r>
              <w:rPr>
                <w:sz w:val="17"/>
              </w:rPr>
            </w:r>
            <w:r>
              <w:rPr>
                <w:b w:val="0"/>
                <w:sz w:val="17"/>
              </w:rPr>
              <w:t>Year 1</w:t>
            </w:r>
          </w:p>
        </w:tc>
        <w:tc>
          <w:tcPr>
            <w:tcW w:type="dxa" w:w="2556"/>
            <w:vAlign w:val="top"/>
          </w:tcPr>
          <w:p>
            <w:r>
              <w:rPr>
                <w:sz w:val="17"/>
              </w:rPr>
            </w:r>
            <w:r>
              <w:rPr>
                <w:b w:val="0"/>
                <w:sz w:val="17"/>
              </w:rPr>
              <w:t>Tie to QBO migration / finance modernization scope.</w:t>
            </w:r>
          </w:p>
        </w:tc>
      </w:tr>
      <w:tr>
        <w:tc>
          <w:tcPr>
            <w:tcW w:type="dxa" w:w="2556"/>
            <w:vAlign w:val="top"/>
          </w:tcPr>
          <w:p>
            <w:r>
              <w:rPr>
                <w:sz w:val="17"/>
              </w:rPr>
            </w:r>
            <w:r>
              <w:rPr>
                <w:b w:val="0"/>
                <w:sz w:val="17"/>
              </w:rPr>
              <w:t>#9</w:t>
            </w:r>
          </w:p>
        </w:tc>
        <w:tc>
          <w:tcPr>
            <w:tcW w:type="dxa" w:w="2556"/>
            <w:vAlign w:val="top"/>
          </w:tcPr>
          <w:p>
            <w:r>
              <w:rPr>
                <w:sz w:val="17"/>
              </w:rPr>
            </w:r>
            <w:r>
              <w:rPr>
                <w:b w:val="0"/>
                <w:sz w:val="17"/>
              </w:rPr>
              <w:t>Certificate of Insurance Tracking</w:t>
            </w:r>
          </w:p>
        </w:tc>
        <w:tc>
          <w:tcPr>
            <w:tcW w:type="dxa" w:w="2556"/>
            <w:vAlign w:val="top"/>
          </w:tcPr>
          <w:p>
            <w:r>
              <w:rPr>
                <w:sz w:val="17"/>
              </w:rPr>
            </w:r>
            <w:r>
              <w:rPr>
                <w:b w:val="0"/>
                <w:sz w:val="17"/>
              </w:rPr>
              <w:t>Year 1</w:t>
            </w:r>
          </w:p>
        </w:tc>
        <w:tc>
          <w:tcPr>
            <w:tcW w:type="dxa" w:w="2556"/>
            <w:vAlign w:val="top"/>
          </w:tcPr>
          <w:p>
            <w:r>
              <w:rPr>
                <w:sz w:val="17"/>
              </w:rPr>
            </w:r>
            <w:r>
              <w:rPr>
                <w:b w:val="0"/>
                <w:sz w:val="17"/>
              </w:rPr>
              <w:t>Assign an owner and decide whether to fold into an existing workstream or defer intentionally.</w:t>
            </w:r>
          </w:p>
        </w:tc>
      </w:tr>
      <w:tr>
        <w:tc>
          <w:tcPr>
            <w:tcW w:type="dxa" w:w="2556"/>
            <w:vAlign w:val="top"/>
          </w:tcPr>
          <w:p>
            <w:r>
              <w:rPr>
                <w:sz w:val="17"/>
              </w:rPr>
            </w:r>
            <w:r>
              <w:rPr>
                <w:b w:val="0"/>
                <w:sz w:val="17"/>
              </w:rPr>
              <w:t>#10</w:t>
            </w:r>
          </w:p>
        </w:tc>
        <w:tc>
          <w:tcPr>
            <w:tcW w:type="dxa" w:w="2556"/>
            <w:vAlign w:val="top"/>
          </w:tcPr>
          <w:p>
            <w:r>
              <w:rPr>
                <w:sz w:val="17"/>
              </w:rPr>
            </w:r>
            <w:r>
              <w:rPr>
                <w:b w:val="0"/>
                <w:sz w:val="17"/>
              </w:rPr>
              <w:t>Budgeting, Forecasting &amp; Management Reporting</w:t>
            </w:r>
          </w:p>
        </w:tc>
        <w:tc>
          <w:tcPr>
            <w:tcW w:type="dxa" w:w="2556"/>
            <w:vAlign w:val="top"/>
          </w:tcPr>
          <w:p>
            <w:r>
              <w:rPr>
                <w:sz w:val="17"/>
              </w:rPr>
            </w:r>
            <w:r>
              <w:rPr>
                <w:b w:val="0"/>
                <w:sz w:val="17"/>
              </w:rPr>
              <w:t>Year 1</w:t>
            </w:r>
          </w:p>
        </w:tc>
        <w:tc>
          <w:tcPr>
            <w:tcW w:type="dxa" w:w="2556"/>
            <w:vAlign w:val="top"/>
          </w:tcPr>
          <w:p>
            <w:r>
              <w:rPr>
                <w:sz w:val="17"/>
              </w:rPr>
            </w:r>
            <w:r>
              <w:rPr>
                <w:b w:val="0"/>
                <w:sz w:val="17"/>
              </w:rPr>
              <w:t>Tie to QBO migration / finance modernization scope.</w:t>
            </w:r>
          </w:p>
        </w:tc>
      </w:tr>
      <w:tr>
        <w:tc>
          <w:tcPr>
            <w:tcW w:type="dxa" w:w="2556"/>
            <w:vAlign w:val="top"/>
          </w:tcPr>
          <w:p>
            <w:r>
              <w:rPr>
                <w:sz w:val="17"/>
              </w:rPr>
            </w:r>
            <w:r>
              <w:rPr>
                <w:b w:val="0"/>
                <w:sz w:val="17"/>
              </w:rPr>
              <w:t>#13</w:t>
            </w:r>
          </w:p>
        </w:tc>
        <w:tc>
          <w:tcPr>
            <w:tcW w:type="dxa" w:w="2556"/>
            <w:vAlign w:val="top"/>
          </w:tcPr>
          <w:p>
            <w:r>
              <w:rPr>
                <w:sz w:val="17"/>
              </w:rPr>
            </w:r>
            <w:r>
              <w:rPr>
                <w:b w:val="0"/>
                <w:sz w:val="17"/>
              </w:rPr>
              <w:t>Declining Inspection Volume &amp; Competitive Consolidation Risk</w:t>
            </w:r>
          </w:p>
        </w:tc>
        <w:tc>
          <w:tcPr>
            <w:tcW w:type="dxa" w:w="2556"/>
            <w:vAlign w:val="top"/>
          </w:tcPr>
          <w:p>
            <w:r>
              <w:rPr>
                <w:sz w:val="17"/>
              </w:rPr>
            </w:r>
            <w:r>
              <w:rPr>
                <w:b w:val="0"/>
                <w:sz w:val="17"/>
              </w:rPr>
              <w:t>Year 1</w:t>
            </w:r>
          </w:p>
        </w:tc>
        <w:tc>
          <w:tcPr>
            <w:tcW w:type="dxa" w:w="2556"/>
            <w:vAlign w:val="top"/>
          </w:tcPr>
          <w:p>
            <w:r>
              <w:rPr>
                <w:sz w:val="17"/>
              </w:rPr>
            </w:r>
            <w:r>
              <w:rPr>
                <w:b w:val="0"/>
                <w:sz w:val="17"/>
              </w:rPr>
              <w:t>Decide inspection-service strategy and whether to measure declined inbound volume first.</w:t>
            </w:r>
          </w:p>
        </w:tc>
      </w:tr>
      <w:tr>
        <w:tc>
          <w:tcPr>
            <w:tcW w:type="dxa" w:w="2556"/>
            <w:vAlign w:val="top"/>
          </w:tcPr>
          <w:p>
            <w:r>
              <w:rPr>
                <w:sz w:val="17"/>
              </w:rPr>
            </w:r>
            <w:r>
              <w:rPr>
                <w:b w:val="0"/>
                <w:sz w:val="17"/>
              </w:rPr>
              <w:t>#15</w:t>
            </w:r>
          </w:p>
        </w:tc>
        <w:tc>
          <w:tcPr>
            <w:tcW w:type="dxa" w:w="2556"/>
            <w:vAlign w:val="top"/>
          </w:tcPr>
          <w:p>
            <w:r>
              <w:rPr>
                <w:sz w:val="17"/>
              </w:rPr>
            </w:r>
            <w:r>
              <w:rPr>
                <w:b w:val="0"/>
                <w:sz w:val="17"/>
              </w:rPr>
              <w:t>Declined Inspection-Adjacent Inbound Service Volume (Revenue Leakage)</w:t>
            </w:r>
          </w:p>
        </w:tc>
        <w:tc>
          <w:tcPr>
            <w:tcW w:type="dxa" w:w="2556"/>
            <w:vAlign w:val="top"/>
          </w:tcPr>
          <w:p>
            <w:r>
              <w:rPr>
                <w:sz w:val="17"/>
              </w:rPr>
            </w:r>
            <w:r>
              <w:rPr>
                <w:b w:val="0"/>
                <w:sz w:val="17"/>
              </w:rPr>
              <w:t>Year 1</w:t>
            </w:r>
          </w:p>
        </w:tc>
        <w:tc>
          <w:tcPr>
            <w:tcW w:type="dxa" w:w="2556"/>
            <w:vAlign w:val="top"/>
          </w:tcPr>
          <w:p>
            <w:r>
              <w:rPr>
                <w:sz w:val="17"/>
              </w:rPr>
            </w:r>
            <w:r>
              <w:rPr>
                <w:b w:val="0"/>
                <w:sz w:val="17"/>
              </w:rPr>
              <w:t>Decide inspection-service strategy and whether to measure declined inbound volume first.</w:t>
            </w:r>
          </w:p>
        </w:tc>
      </w:tr>
      <w:tr>
        <w:tc>
          <w:tcPr>
            <w:tcW w:type="dxa" w:w="2556"/>
            <w:vAlign w:val="top"/>
          </w:tcPr>
          <w:p>
            <w:r>
              <w:rPr>
                <w:sz w:val="17"/>
              </w:rPr>
            </w:r>
            <w:r>
              <w:rPr>
                <w:b w:val="0"/>
                <w:sz w:val="17"/>
              </w:rPr>
              <w:t>#20</w:t>
            </w:r>
          </w:p>
        </w:tc>
        <w:tc>
          <w:tcPr>
            <w:tcW w:type="dxa" w:w="2556"/>
            <w:vAlign w:val="top"/>
          </w:tcPr>
          <w:p>
            <w:r>
              <w:rPr>
                <w:sz w:val="17"/>
              </w:rPr>
            </w:r>
            <w:r>
              <w:rPr>
                <w:b w:val="0"/>
                <w:sz w:val="17"/>
              </w:rPr>
              <w:t>Absence of Written QA/QC Program</w:t>
            </w:r>
          </w:p>
        </w:tc>
        <w:tc>
          <w:tcPr>
            <w:tcW w:type="dxa" w:w="2556"/>
            <w:vAlign w:val="top"/>
          </w:tcPr>
          <w:p>
            <w:r>
              <w:rPr>
                <w:sz w:val="17"/>
              </w:rPr>
            </w:r>
            <w:r>
              <w:rPr>
                <w:b w:val="0"/>
                <w:sz w:val="17"/>
              </w:rPr>
              <w:t>Year 1</w:t>
            </w:r>
          </w:p>
        </w:tc>
        <w:tc>
          <w:tcPr>
            <w:tcW w:type="dxa" w:w="2556"/>
            <w:vAlign w:val="top"/>
          </w:tcPr>
          <w:p>
            <w:r>
              <w:rPr>
                <w:sz w:val="17"/>
              </w:rPr>
            </w:r>
            <w:r>
              <w:rPr>
                <w:b w:val="0"/>
                <w:sz w:val="17"/>
              </w:rPr>
              <w:t>Decide QA/QC ownership after the field-leadership / inspection-delivery discussion.</w:t>
            </w:r>
          </w:p>
        </w:tc>
      </w:tr>
      <w:tr>
        <w:tc>
          <w:tcPr>
            <w:tcW w:type="dxa" w:w="2556"/>
            <w:vAlign w:val="top"/>
          </w:tcPr>
          <w:p>
            <w:r>
              <w:rPr>
                <w:sz w:val="17"/>
              </w:rPr>
            </w:r>
            <w:r>
              <w:rPr>
                <w:b w:val="0"/>
                <w:sz w:val="17"/>
              </w:rPr>
              <w:t>#25</w:t>
            </w:r>
          </w:p>
        </w:tc>
        <w:tc>
          <w:tcPr>
            <w:tcW w:type="dxa" w:w="2556"/>
            <w:vAlign w:val="top"/>
          </w:tcPr>
          <w:p>
            <w:r>
              <w:rPr>
                <w:sz w:val="17"/>
              </w:rPr>
            </w:r>
            <w:r>
              <w:rPr>
                <w:b w:val="0"/>
                <w:sz w:val="17"/>
              </w:rPr>
              <w:t>Fleet Maintenance Tracking</w:t>
            </w:r>
          </w:p>
        </w:tc>
        <w:tc>
          <w:tcPr>
            <w:tcW w:type="dxa" w:w="2556"/>
            <w:vAlign w:val="top"/>
          </w:tcPr>
          <w:p>
            <w:r>
              <w:rPr>
                <w:sz w:val="17"/>
              </w:rPr>
            </w:r>
            <w:r>
              <w:rPr>
                <w:b w:val="0"/>
                <w:sz w:val="17"/>
              </w:rPr>
              <w:t>Year 1</w:t>
            </w:r>
          </w:p>
        </w:tc>
        <w:tc>
          <w:tcPr>
            <w:tcW w:type="dxa" w:w="2556"/>
            <w:vAlign w:val="top"/>
          </w:tcPr>
          <w:p>
            <w:r>
              <w:rPr>
                <w:sz w:val="17"/>
              </w:rPr>
            </w:r>
            <w:r>
              <w:rPr>
                <w:b w:val="0"/>
                <w:sz w:val="17"/>
              </w:rPr>
              <w:t>Assign an owner and decide whether to fold into an existing workstream or defer intentionally.</w:t>
            </w:r>
          </w:p>
        </w:tc>
      </w:tr>
      <w:tr>
        <w:tc>
          <w:tcPr>
            <w:tcW w:type="dxa" w:w="2556"/>
            <w:vAlign w:val="top"/>
          </w:tcPr>
          <w:p>
            <w:r>
              <w:rPr>
                <w:sz w:val="17"/>
              </w:rPr>
            </w:r>
            <w:r>
              <w:rPr>
                <w:b w:val="0"/>
                <w:sz w:val="17"/>
              </w:rPr>
              <w:t>#26</w:t>
            </w:r>
          </w:p>
        </w:tc>
        <w:tc>
          <w:tcPr>
            <w:tcW w:type="dxa" w:w="2556"/>
            <w:vAlign w:val="top"/>
          </w:tcPr>
          <w:p>
            <w:r>
              <w:rPr>
                <w:sz w:val="17"/>
              </w:rPr>
            </w:r>
            <w:r>
              <w:rPr>
                <w:b w:val="0"/>
                <w:sz w:val="17"/>
              </w:rPr>
              <w:t>Inventory Management</w:t>
            </w:r>
          </w:p>
        </w:tc>
        <w:tc>
          <w:tcPr>
            <w:tcW w:type="dxa" w:w="2556"/>
            <w:vAlign w:val="top"/>
          </w:tcPr>
          <w:p>
            <w:r>
              <w:rPr>
                <w:sz w:val="17"/>
              </w:rPr>
            </w:r>
            <w:r>
              <w:rPr>
                <w:b w:val="0"/>
                <w:sz w:val="17"/>
              </w:rPr>
              <w:t>Year 1</w:t>
            </w:r>
          </w:p>
        </w:tc>
        <w:tc>
          <w:tcPr>
            <w:tcW w:type="dxa" w:w="2556"/>
            <w:vAlign w:val="top"/>
          </w:tcPr>
          <w:p>
            <w:r>
              <w:rPr>
                <w:sz w:val="17"/>
              </w:rPr>
            </w:r>
            <w:r>
              <w:rPr>
                <w:b w:val="0"/>
                <w:sz w:val="17"/>
              </w:rPr>
              <w:t>Assign an owner and decide whether to fold into an existing workstream or defer intentionally.</w:t>
            </w:r>
          </w:p>
        </w:tc>
      </w:tr>
      <w:tr>
        <w:tc>
          <w:tcPr>
            <w:tcW w:type="dxa" w:w="2556"/>
            <w:vAlign w:val="top"/>
          </w:tcPr>
          <w:p>
            <w:r>
              <w:rPr>
                <w:sz w:val="17"/>
              </w:rPr>
            </w:r>
            <w:r>
              <w:rPr>
                <w:b w:val="0"/>
                <w:sz w:val="17"/>
              </w:rPr>
              <w:t>#32</w:t>
            </w:r>
          </w:p>
        </w:tc>
        <w:tc>
          <w:tcPr>
            <w:tcW w:type="dxa" w:w="2556"/>
            <w:vAlign w:val="top"/>
          </w:tcPr>
          <w:p>
            <w:r>
              <w:rPr>
                <w:sz w:val="17"/>
              </w:rPr>
            </w:r>
            <w:r>
              <w:rPr>
                <w:b w:val="0"/>
                <w:sz w:val="17"/>
              </w:rPr>
              <w:t>Mobile Device Management &amp; Endpoint Posture</w:t>
            </w:r>
          </w:p>
        </w:tc>
        <w:tc>
          <w:tcPr>
            <w:tcW w:type="dxa" w:w="2556"/>
            <w:vAlign w:val="top"/>
          </w:tcPr>
          <w:p>
            <w:r>
              <w:rPr>
                <w:sz w:val="17"/>
              </w:rPr>
            </w:r>
            <w:r>
              <w:rPr>
                <w:b w:val="0"/>
                <w:sz w:val="17"/>
              </w:rPr>
              <w:t>Year 1</w:t>
            </w:r>
          </w:p>
        </w:tc>
        <w:tc>
          <w:tcPr>
            <w:tcW w:type="dxa" w:w="2556"/>
            <w:vAlign w:val="top"/>
          </w:tcPr>
          <w:p>
            <w:r>
              <w:rPr>
                <w:sz w:val="17"/>
              </w:rPr>
            </w:r>
            <w:r>
              <w:rPr>
                <w:b w:val="0"/>
                <w:sz w:val="17"/>
              </w:rPr>
              <w:t>Assign an owner and decide whether to fold into an existing workstream or defer intentionally.</w:t>
            </w:r>
          </w:p>
        </w:tc>
      </w:tr>
      <w:tr>
        <w:tc>
          <w:tcPr>
            <w:tcW w:type="dxa" w:w="2556"/>
            <w:vAlign w:val="top"/>
          </w:tcPr>
          <w:p>
            <w:r>
              <w:rPr>
                <w:sz w:val="17"/>
              </w:rPr>
            </w:r>
            <w:r>
              <w:rPr>
                <w:b w:val="0"/>
                <w:sz w:val="17"/>
              </w:rPr>
              <w:t>#41</w:t>
            </w:r>
          </w:p>
        </w:tc>
        <w:tc>
          <w:tcPr>
            <w:tcW w:type="dxa" w:w="2556"/>
            <w:vAlign w:val="top"/>
          </w:tcPr>
          <w:p>
            <w:r>
              <w:rPr>
                <w:sz w:val="17"/>
              </w:rPr>
            </w:r>
            <w:r>
              <w:rPr>
                <w:b w:val="0"/>
                <w:sz w:val="17"/>
              </w:rPr>
              <w:t>ISN / ISNetworld Prequalification Obligations</w:t>
            </w:r>
          </w:p>
        </w:tc>
        <w:tc>
          <w:tcPr>
            <w:tcW w:type="dxa" w:w="2556"/>
            <w:vAlign w:val="top"/>
          </w:tcPr>
          <w:p>
            <w:r>
              <w:rPr>
                <w:sz w:val="17"/>
              </w:rPr>
            </w:r>
            <w:r>
              <w:rPr>
                <w:b w:val="0"/>
                <w:sz w:val="17"/>
              </w:rPr>
              <w:t>0–90 days</w:t>
            </w:r>
          </w:p>
        </w:tc>
        <w:tc>
          <w:tcPr>
            <w:tcW w:type="dxa" w:w="2556"/>
            <w:vAlign w:val="top"/>
          </w:tcPr>
          <w:p>
            <w:r>
              <w:rPr>
                <w:sz w:val="17"/>
              </w:rPr>
            </w:r>
            <w:r>
              <w:rPr>
                <w:b w:val="0"/>
                <w:sz w:val="17"/>
              </w:rPr>
              <w:t>Confirm HR/compliance calendar scope and owner.</w:t>
            </w:r>
          </w:p>
        </w:tc>
      </w:tr>
      <w:tr>
        <w:tc>
          <w:tcPr>
            <w:tcW w:type="dxa" w:w="2556"/>
            <w:vAlign w:val="top"/>
          </w:tcPr>
          <w:p>
            <w:r>
              <w:rPr>
                <w:sz w:val="17"/>
              </w:rPr>
            </w:r>
            <w:r>
              <w:rPr>
                <w:b w:val="0"/>
                <w:sz w:val="17"/>
              </w:rPr>
              <w:t>#42</w:t>
            </w:r>
          </w:p>
        </w:tc>
        <w:tc>
          <w:tcPr>
            <w:tcW w:type="dxa" w:w="2556"/>
            <w:vAlign w:val="top"/>
          </w:tcPr>
          <w:p>
            <w:r>
              <w:rPr>
                <w:sz w:val="17"/>
              </w:rPr>
            </w:r>
            <w:r>
              <w:rPr>
                <w:b w:val="0"/>
                <w:sz w:val="17"/>
              </w:rPr>
              <w:t>Customer-Specific Compliance Tracking</w:t>
            </w:r>
          </w:p>
        </w:tc>
        <w:tc>
          <w:tcPr>
            <w:tcW w:type="dxa" w:w="2556"/>
            <w:vAlign w:val="top"/>
          </w:tcPr>
          <w:p>
            <w:r>
              <w:rPr>
                <w:sz w:val="17"/>
              </w:rPr>
            </w:r>
            <w:r>
              <w:rPr>
                <w:b w:val="0"/>
                <w:sz w:val="17"/>
              </w:rPr>
              <w:t>0–90 days</w:t>
            </w:r>
          </w:p>
        </w:tc>
        <w:tc>
          <w:tcPr>
            <w:tcW w:type="dxa" w:w="2556"/>
            <w:vAlign w:val="top"/>
          </w:tcPr>
          <w:p>
            <w:r>
              <w:rPr>
                <w:sz w:val="17"/>
              </w:rPr>
            </w:r>
            <w:r>
              <w:rPr>
                <w:b w:val="0"/>
                <w:sz w:val="17"/>
              </w:rPr>
              <w:t>Confirm HR/compliance calendar scope and owner.</w:t>
            </w:r>
          </w:p>
        </w:tc>
      </w:tr>
    </w:tbl>
    <w:p>
      <w:pPr>
        <w:pStyle w:val="Heading1"/>
      </w:pPr>
      <w:r>
        <w:t>7. Out-of-Scope Items</w:t>
      </w:r>
    </w:p>
    <w:p>
      <w:r>
        <w:t>The modernization plan should not become a catch-all business plan. The items below may matter strategically, but they should be tracked separately unless they directly remediate a gap-analysis finding.</w:t>
      </w:r>
    </w:p>
    <w:p>
      <w:pPr>
        <w:pStyle w:val="ListBullet"/>
      </w:pPr>
      <w:r>
        <w:t>New product-line investigations not tied to an identified gap.</w:t>
      </w:r>
    </w:p>
    <w:p>
      <w:pPr>
        <w:pStyle w:val="ListBullet"/>
      </w:pPr>
      <w:r>
        <w:t>Marquette warehouse / facility expansion options except where required for document retention, backup, or operations continuity.</w:t>
      </w:r>
    </w:p>
    <w:p>
      <w:pPr>
        <w:pStyle w:val="ListBullet"/>
      </w:pPr>
      <w:r>
        <w:t>Sister-company concepts such as extinguisher service unless Justin chooses to tie them to declined inspection-adjacent inbound demand.</w:t>
      </w:r>
    </w:p>
    <w:p>
      <w:pPr>
        <w:pStyle w:val="ListBullet"/>
      </w:pPr>
      <w:r>
        <w:t>Long-range M&amp;A / buyer-readiness positioning beyond maintaining the gap analysis as a dated diagnostic artifact.</w:t>
      </w:r>
    </w:p>
    <w:p>
      <w:r>
        <w:rPr>
          <w:b/>
        </w:rPr>
        <w:t xml:space="preserve">Drafting note: </w:t>
      </w:r>
      <w:r>
        <w:t>This scaffold uses the current gap-analysis numbering as of May 12, 2026. In particular, Absence of Written QA/QC Program is Finding #20 in the live document.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