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jc w:val="center"/>
      </w:pPr>
      <w:r>
        <w:rPr>
          <w:rFonts w:ascii="Aptos" w:hAnsi="Aptos" w:eastAsia="Aptos"/>
          <w:b/>
          <w:color w:val="1F4E79"/>
          <w:sz w:val="36"/>
        </w:rPr>
        <w:t>Modernization Plan &amp; Roadmap</w:t>
      </w:r>
    </w:p>
    <w:p>
      <w:pPr>
        <w:spacing w:after="40" w:before="0"/>
        <w:jc w:val="center"/>
      </w:pPr>
      <w:r>
        <w:rPr>
          <w:rFonts w:ascii="Aptos" w:hAnsi="Aptos" w:eastAsia="Aptos"/>
          <w:b w:val="0"/>
          <w:color w:val="595959"/>
          <w:sz w:val="22"/>
        </w:rPr>
        <w:t>Operational Assessment &amp; Process Documentation</w:t>
      </w:r>
    </w:p>
    <w:p>
      <w:pPr>
        <w:spacing w:after="120" w:before="0"/>
        <w:jc w:val="center"/>
      </w:pPr>
      <w:r>
        <w:rPr>
          <w:rFonts w:ascii="Aptos" w:hAnsi="Aptos" w:eastAsia="Aptos"/>
          <w:b/>
          <w:color w:val="1F4E79"/>
          <w:sz w:val="24"/>
        </w:rPr>
        <w:t>Excel Fire Protection Co., Inc.</w:t>
      </w:r>
    </w:p>
    <w:p>
      <w:pPr>
        <w:spacing w:after="20" w:before="0"/>
        <w:jc w:val="center"/>
      </w:pPr>
      <w:r>
        <w:rPr>
          <w:rFonts w:ascii="Aptos" w:hAnsi="Aptos" w:eastAsia="Aptos"/>
          <w:b w:val="0"/>
          <w:sz w:val="20"/>
        </w:rPr>
        <w:t>Prepared by: Predictive Lines</w:t>
      </w:r>
    </w:p>
    <w:p>
      <w:pPr>
        <w:spacing w:after="20" w:before="0"/>
        <w:jc w:val="center"/>
      </w:pPr>
      <w:r>
        <w:rPr>
          <w:rFonts w:ascii="Aptos" w:hAnsi="Aptos" w:eastAsia="Aptos"/>
          <w:b w:val="0"/>
          <w:sz w:val="20"/>
        </w:rPr>
        <w:t>Prepared for: Kevin Masich / Excel Fire Protection</w:t>
      </w:r>
    </w:p>
    <w:p>
      <w:pPr>
        <w:spacing w:after="20" w:before="0"/>
        <w:jc w:val="center"/>
      </w:pPr>
      <w:r>
        <w:rPr>
          <w:rFonts w:ascii="Aptos" w:hAnsi="Aptos" w:eastAsia="Aptos"/>
          <w:b w:val="0"/>
          <w:sz w:val="20"/>
        </w:rPr>
        <w:t>Date: May 2026</w:t>
      </w:r>
    </w:p>
    <w:p>
      <w:pPr>
        <w:spacing w:after="160" w:before="0"/>
        <w:jc w:val="center"/>
      </w:pPr>
      <w:r>
        <w:rPr>
          <w:rFonts w:ascii="Aptos" w:hAnsi="Aptos" w:eastAsia="Aptos"/>
          <w:b/>
          <w:sz w:val="20"/>
        </w:rPr>
        <w:t>Status: Draft for Kevin review</w:t>
      </w:r>
    </w:p>
    <w:p/>
    <w:p>
      <w:pPr>
        <w:pStyle w:val="Heading1"/>
      </w:pPr>
      <w:r>
        <w:rPr>
          <w:rFonts w:ascii="Aptos Display" w:hAnsi="Aptos Display" w:eastAsia="Aptos Display"/>
          <w:b/>
          <w:color w:val="1F4E79"/>
          <w:sz w:val="28"/>
        </w:rPr>
        <w:t>1. Purpose &amp; Scope</w:t>
      </w:r>
    </w:p>
    <w:p>
      <w:r>
        <w:rPr>
          <w:rFonts w:ascii="Aptos" w:hAnsi="Aptos" w:eastAsia="Aptos"/>
          <w:b w:val="0"/>
          <w:sz w:val="20"/>
        </w:rPr>
        <w:t>This document is the Modernization Plan &amp; Roadmap deliverable contemplated by the March 30, 2026 Statement of Work. It is designed to read alongside, not replace, the Current-State Process Documentation and Gap Analysis &amp; Risk Assessment.</w:t>
      </w:r>
    </w:p>
    <w:p>
      <w:r>
        <w:rPr>
          <w:rFonts w:ascii="Aptos" w:hAnsi="Aptos" w:eastAsia="Aptos"/>
          <w:b w:val="0"/>
          <w:sz w:val="20"/>
        </w:rPr>
        <w:t>The gap analysis remains the dated diagnostic snapshot. This roadmap is the action document: it translates findings into sequencing, ownership, success criteria, dependencies, effort, and milestones. As remediation progresses, this document should move; the diagnostic text in the gap analysis should remain comparatively stable.</w:t>
      </w:r>
    </w:p>
    <w:p>
      <w:r>
        <w:rPr>
          <w:rFonts w:ascii="Aptos" w:hAnsi="Aptos" w:eastAsia="Aptos"/>
          <w:b w:val="0"/>
          <w:sz w:val="20"/>
        </w:rPr>
        <w:t>This draft establishes the document structure, roadmap table, dependency model, and sample finding-entry format. The finding inventory is populated from the current gap-analysis draft; several workstream entries intentionally remain in template form pending Justin / Kevin / Jaclyn decisions and May 2026 on-site outcomes.</w:t>
      </w:r>
    </w:p>
    <w:p>
      <w:pPr>
        <w:pStyle w:val="Heading1"/>
      </w:pPr>
      <w:r>
        <w:rPr>
          <w:rFonts w:ascii="Aptos Display" w:hAnsi="Aptos Display" w:eastAsia="Aptos Display"/>
          <w:b/>
          <w:color w:val="1F4E79"/>
          <w:sz w:val="28"/>
        </w:rPr>
        <w:t>2. Roadmap Overview</w:t>
      </w:r>
    </w:p>
    <w:p>
      <w:r>
        <w:rPr>
          <w:rFonts w:ascii="Aptos" w:hAnsi="Aptos" w:eastAsia="Aptos"/>
          <w:b w:val="0"/>
          <w:sz w:val="20"/>
        </w:rPr>
        <w:t>The table below groups the full finding inventory by the remediation horizon assigned in the gap analysis. Within each horizon, items are sorted by severity and current remediation status so the work can be reviewed as an execution queue rather than as a narrative report.</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Severity</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Status</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1704"/>
            <w:shd w:fill="D9EAF7"/>
            <w:vAlign w:val="top"/>
          </w:tcPr>
          <w:p>
            <w:pPr>
              <w:spacing w:after="40"/>
            </w:pPr>
            <w:r>
              <w:rPr>
                <w:rFonts w:ascii="Aptos" w:hAnsi="Aptos" w:eastAsia="Aptos"/>
                <w:b/>
                <w:color w:val="1F4E79"/>
                <w:sz w:val="18"/>
              </w:rPr>
            </w:r>
            <w:r>
              <w:rPr>
                <w:rFonts w:ascii="Aptos" w:hAnsi="Aptos" w:eastAsia="Aptos"/>
                <w:b/>
                <w:color w:val="1F4E79"/>
                <w:sz w:val="18"/>
              </w:rPr>
              <w:t>Workstream</w:t>
            </w:r>
          </w:p>
        </w:tc>
      </w:tr>
      <w:tr>
        <w:tc>
          <w:tcPr>
            <w:tcW w:type="dxa" w:w="1704"/>
            <w:vAlign w:val="top"/>
          </w:tcPr>
          <w:p>
            <w:pPr>
              <w:spacing w:after="40"/>
            </w:pPr>
            <w:r>
              <w:rPr>
                <w:sz w:val="17"/>
              </w:rPr>
            </w:r>
            <w:r>
              <w:rPr>
                <w:b w:val="0"/>
                <w:sz w:val="17"/>
              </w:rPr>
              <w:t>#2</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Missing Federal &amp; State New-Hire Forms (Form I-9, W-4, MI-W4)</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#39</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Michigan Unemployment Insurance Filings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#27</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Office Succession — Betty Retirement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Banking Signature-Stamp Practice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#44</w:t>
            </w:r>
          </w:p>
        </w:tc>
        <w:tc>
          <w:tcPr>
            <w:tcW w:type="dxa" w:w="1704"/>
            <w:vAlign w:val="top"/>
          </w:tcPr>
          <w:p>
            <w:pPr>
              <w:spacing w:after="40"/>
            </w:pPr>
            <w:r>
              <w:rPr>
                <w:sz w:val="17"/>
              </w:rPr>
            </w:r>
            <w:r>
              <w:rPr>
                <w:b w:val="0"/>
                <w:sz w:val="17"/>
              </w:rPr>
              <w:t>Pre-close</w:t>
            </w:r>
          </w:p>
        </w:tc>
        <w:tc>
          <w:tcPr>
            <w:tcW w:type="dxa" w:w="1704"/>
            <w:vAlign w:val="top"/>
          </w:tcPr>
          <w:p>
            <w:pPr>
              <w:spacing w:after="40"/>
            </w:pPr>
            <w:r>
              <w:rPr>
                <w:sz w:val="17"/>
              </w:rPr>
            </w:r>
            <w:r>
              <w:rPr>
                <w:b w:val="0"/>
                <w:sz w:val="17"/>
              </w:rPr>
              <w:t>Low</w:t>
            </w:r>
          </w:p>
        </w:tc>
        <w:tc>
          <w:tcPr>
            <w:tcW w:type="dxa" w:w="1704"/>
            <w:vAlign w:val="top"/>
          </w:tcPr>
          <w:p>
            <w:pPr>
              <w:spacing w:after="40"/>
            </w:pPr>
            <w:r>
              <w:rPr>
                <w:sz w:val="18"/>
              </w:rPr>
            </w:r>
            <w:r>
              <w:rPr>
                <w:sz w:val="18"/>
              </w:rPr>
              <w:t>Verified / Sequenced</w:t>
            </w:r>
          </w:p>
        </w:tc>
        <w:tc>
          <w:tcPr>
            <w:tcW w:type="dxa" w:w="1704"/>
            <w:vAlign w:val="top"/>
          </w:tcPr>
          <w:p>
            <w:pPr>
              <w:spacing w:after="40"/>
            </w:pPr>
            <w:r>
              <w:rPr>
                <w:sz w:val="18"/>
              </w:rPr>
            </w:r>
            <w:r>
              <w:rPr>
                <w:sz w:val="18"/>
              </w:rPr>
              <w:t>BFS / S-0440 Fire Suppression Firm Certification Continuity</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#37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Undocumented Owner Knowledge</w:t>
            </w:r>
          </w:p>
        </w:tc>
        <w:tc>
          <w:tcPr>
            <w:tcW w:type="dxa" w:w="1704"/>
            <w:vAlign w:val="top"/>
          </w:tcPr>
          <w:p>
            <w:pPr>
              <w:spacing w:after="40"/>
            </w:pPr>
            <w:r>
              <w:rPr>
                <w:sz w:val="17"/>
              </w:rPr>
            </w:r>
            <w:r>
              <w:rPr>
                <w:b w:val="0"/>
                <w:sz w:val="17"/>
              </w:rPr>
              <w:t>Institutional Knowledge &amp; Key Relationships</w:t>
            </w:r>
          </w:p>
        </w:tc>
      </w:tr>
      <w:tr>
        <w:tc>
          <w:tcPr>
            <w:tcW w:type="dxa" w:w="1704"/>
            <w:vAlign w:val="top"/>
          </w:tcPr>
          <w:p>
            <w:pPr>
              <w:spacing w:after="40"/>
            </w:pPr>
            <w:r>
              <w:rPr>
                <w:sz w:val="17"/>
              </w:rPr>
            </w:r>
            <w:r>
              <w:rPr>
                <w:b w:val="0"/>
                <w:sz w:val="17"/>
              </w:rPr>
              <w:t>#16</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Delivery Concentration — Single Point of Failure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Estimating Methodology Not Documented</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#17</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Field-to-Office Communication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#18</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Safety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#29</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Backup, Disaster Recovery, and Continuity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#30</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IT Security Posture Beyond the Email Account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Cyber Insurance Gap and Property-Form Cyber-Incident Exclusion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Deal Mechanics</w:t>
            </w:r>
          </w:p>
        </w:tc>
        <w:tc>
          <w:tcPr>
            <w:tcW w:type="dxa" w:w="1704"/>
            <w:vAlign w:val="top"/>
          </w:tcPr>
          <w:p>
            <w:pPr>
              <w:spacing w:after="40"/>
            </w:pPr>
            <w:r>
              <w:rPr>
                <w:sz w:val="17"/>
              </w:rPr>
            </w:r>
            <w:r>
              <w:rPr>
                <w:b w:val="0"/>
                <w:sz w:val="17"/>
              </w:rPr>
              <w:t>Internal Controls &amp; Segregation of Duties</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ISN / ISNetworld Prequalification Obligations</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#42</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Customer-Specific Compliance Tracking</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#21</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No Defined Job Intake Data Model</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#4</w:t>
            </w:r>
          </w:p>
        </w:tc>
        <w:tc>
          <w:tcPr>
            <w:tcW w:type="dxa" w:w="1704"/>
            <w:vAlign w:val="top"/>
          </w:tcPr>
          <w:p>
            <w:pPr>
              <w:spacing w:after="40"/>
            </w:pPr>
            <w:r>
              <w:rPr>
                <w:sz w:val="17"/>
              </w:rPr>
            </w:r>
            <w:r>
              <w:rPr>
                <w:b w:val="0"/>
                <w:sz w:val="17"/>
              </w:rPr>
              <w:t>0–90 days</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Stale Accounts Receivable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#40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Critical</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NFPA &amp; AHJ Knowledge Concentration</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Project Management &amp; Subcontractor Management — GC-Seat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Field Workforce Recruiting &amp; Retention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#12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Absence of Standing Inspection Service Agreements</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#13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Declining Inspection Volume &amp; Competitive Consolidation Risk</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Absence of Written QA/QC Program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#8</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Scheduled</w:t>
            </w:r>
          </w:p>
        </w:tc>
        <w:tc>
          <w:tcPr>
            <w:tcW w:type="dxa" w:w="1704"/>
            <w:vAlign w:val="top"/>
          </w:tcPr>
          <w:p>
            <w:pPr>
              <w:spacing w:after="40"/>
            </w:pPr>
            <w:r>
              <w:rPr>
                <w:sz w:val="17"/>
              </w:rPr>
            </w:r>
            <w:r>
              <w:rPr>
                <w:b w:val="0"/>
                <w:sz w:val="17"/>
              </w:rPr>
              <w:t>Certified Payroll — Tooling &amp; Data-Structure Gap</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#7</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QuickBooks Customer Master Data Quality</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#22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AHJ Rough-In / Final Re-Trip Cost Exposure</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Records Retention Obligations Going Unmet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Software Inventory and Identity Management</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Hiring, Onboarding &amp; Termination Process Definition</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#36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HR Compliance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#43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In Flight</w:t>
            </w:r>
          </w:p>
        </w:tc>
        <w:tc>
          <w:tcPr>
            <w:tcW w:type="dxa" w:w="1704"/>
            <w:vAlign w:val="top"/>
          </w:tcPr>
          <w:p>
            <w:pPr>
              <w:spacing w:after="40"/>
            </w:pPr>
            <w:r>
              <w:rPr>
                <w:sz w:val="17"/>
              </w:rPr>
            </w:r>
            <w:r>
              <w:rPr>
                <w:b w:val="0"/>
                <w:sz w:val="17"/>
              </w:rPr>
              <w:t>Absence of AHJ / Fire Marshal Register</w:t>
            </w:r>
          </w:p>
        </w:tc>
        <w:tc>
          <w:tcPr>
            <w:tcW w:type="dxa" w:w="1704"/>
            <w:vAlign w:val="top"/>
          </w:tcPr>
          <w:p>
            <w:pPr>
              <w:spacing w:after="40"/>
            </w:pPr>
            <w:r>
              <w:rPr>
                <w:sz w:val="17"/>
              </w:rPr>
            </w:r>
            <w:r>
              <w:rPr>
                <w:b w:val="0"/>
                <w:sz w:val="17"/>
              </w:rPr>
              <w:t>Regulatory &amp; Compliance</w:t>
            </w:r>
          </w:p>
        </w:tc>
      </w:tr>
      <w:tr>
        <w:tc>
          <w:tcPr>
            <w:tcW w:type="dxa" w:w="1704"/>
            <w:vAlign w:val="top"/>
          </w:tcPr>
          <w:p>
            <w:pPr>
              <w:spacing w:after="40"/>
            </w:pPr>
            <w:r>
              <w:rPr>
                <w:sz w:val="17"/>
              </w:rPr>
            </w:r>
            <w:r>
              <w:rPr>
                <w:b w:val="0"/>
                <w:sz w:val="17"/>
              </w:rPr>
              <w:t>#14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No CRM or Pipeline System</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#23</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Rough-In Artifact Preparation &amp; Centralization Gap</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#24</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Inspection Management System Absent (No ITM Platform)</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Chart of Accounts — Expense-Side Structure</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Revenue-Side Segmentation</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#9</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Certificate of Insurance Tracking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#10</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Budgeting, Forecasting &amp; Management Reporting</w:t>
            </w:r>
          </w:p>
        </w:tc>
        <w:tc>
          <w:tcPr>
            <w:tcW w:type="dxa" w:w="1704"/>
            <w:vAlign w:val="top"/>
          </w:tcPr>
          <w:p>
            <w:pPr>
              <w:spacing w:after="40"/>
            </w:pPr>
            <w:r>
              <w:rPr>
                <w:sz w:val="17"/>
              </w:rPr>
            </w:r>
            <w:r>
              <w:rPr>
                <w:b w:val="0"/>
                <w:sz w:val="17"/>
              </w:rPr>
              <w:t>Financial Operations &amp; Controls</w:t>
            </w:r>
          </w:p>
        </w:tc>
      </w:tr>
      <w:tr>
        <w:tc>
          <w:tcPr>
            <w:tcW w:type="dxa" w:w="1704"/>
            <w:vAlign w:val="top"/>
          </w:tcPr>
          <w:p>
            <w:pPr>
              <w:spacing w:after="40"/>
            </w:pPr>
            <w:r>
              <w:rPr>
                <w:sz w:val="17"/>
              </w:rPr>
            </w:r>
            <w:r>
              <w:rPr>
                <w:b w:val="0"/>
                <w:sz w:val="17"/>
              </w:rPr>
              <w:t>#15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Declined Inspection-Adjacent Inbound Service Volume (Revenue Leakage)</w:t>
            </w:r>
          </w:p>
        </w:tc>
        <w:tc>
          <w:tcPr>
            <w:tcW w:type="dxa" w:w="1704"/>
            <w:vAlign w:val="top"/>
          </w:tcPr>
          <w:p>
            <w:pPr>
              <w:spacing w:after="40"/>
            </w:pPr>
            <w:r>
              <w:rPr>
                <w:sz w:val="17"/>
              </w:rPr>
            </w:r>
            <w:r>
              <w:rPr>
                <w:b w:val="0"/>
                <w:sz w:val="17"/>
              </w:rPr>
              <w:t>Revenue Generation &amp; Customer Management</w:t>
            </w:r>
          </w:p>
        </w:tc>
      </w:tr>
      <w:tr>
        <w:tc>
          <w:tcPr>
            <w:tcW w:type="dxa" w:w="1704"/>
            <w:vAlign w:val="top"/>
          </w:tcPr>
          <w:p>
            <w:pPr>
              <w:spacing w:after="40"/>
            </w:pPr>
            <w:r>
              <w:rPr>
                <w:sz w:val="17"/>
              </w:rPr>
            </w:r>
            <w:r>
              <w:rPr>
                <w:b w:val="0"/>
                <w:sz w:val="17"/>
              </w:rPr>
              <w:t>#25</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Fleet Maintenance Tracking</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#32</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Medium</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Mobile Device Management &amp; Endpoint Posture</w:t>
            </w:r>
          </w:p>
        </w:tc>
        <w:tc>
          <w:tcPr>
            <w:tcW w:type="dxa" w:w="1704"/>
            <w:vAlign w:val="top"/>
          </w:tcPr>
          <w:p>
            <w:pPr>
              <w:spacing w:after="40"/>
            </w:pPr>
            <w:r>
              <w:rPr>
                <w:sz w:val="17"/>
              </w:rPr>
            </w:r>
            <w:r>
              <w:rPr>
                <w:b w:val="0"/>
                <w:sz w:val="17"/>
              </w:rPr>
              <w:t>People &amp; Administration</w:t>
            </w:r>
          </w:p>
        </w:tc>
      </w:tr>
      <w:tr>
        <w:tc>
          <w:tcPr>
            <w:tcW w:type="dxa" w:w="1704"/>
            <w:vAlign w:val="top"/>
          </w:tcPr>
          <w:p>
            <w:pPr>
              <w:spacing w:after="40"/>
            </w:pPr>
            <w:r>
              <w:rPr>
                <w:sz w:val="17"/>
              </w:rPr>
            </w:r>
            <w:r>
              <w:rPr>
                <w:b w:val="0"/>
                <w:sz w:val="17"/>
              </w:rPr>
              <w:t>#26</w:t>
            </w:r>
          </w:p>
        </w:tc>
        <w:tc>
          <w:tcPr>
            <w:tcW w:type="dxa" w:w="1704"/>
            <w:vAlign w:val="top"/>
          </w:tcPr>
          <w:p>
            <w:pPr>
              <w:spacing w:after="40"/>
            </w:pPr>
            <w:r>
              <w:rPr>
                <w:sz w:val="17"/>
              </w:rPr>
            </w:r>
            <w:r>
              <w:rPr>
                <w:b w:val="0"/>
                <w:sz w:val="17"/>
              </w:rPr>
              <w:t>Year 1</w:t>
            </w:r>
          </w:p>
        </w:tc>
        <w:tc>
          <w:tcPr>
            <w:tcW w:type="dxa" w:w="1704"/>
            <w:vAlign w:val="top"/>
          </w:tcPr>
          <w:p>
            <w:pPr>
              <w:spacing w:after="40"/>
            </w:pPr>
            <w:r>
              <w:rPr>
                <w:sz w:val="17"/>
              </w:rPr>
            </w:r>
            <w:r>
              <w:rPr>
                <w:b w:val="0"/>
                <w:sz w:val="17"/>
              </w:rPr>
              <w:t>Low</w:t>
            </w:r>
          </w:p>
        </w:tc>
        <w:tc>
          <w:tcPr>
            <w:tcW w:type="dxa" w:w="1704"/>
            <w:vAlign w:val="top"/>
          </w:tcPr>
          <w:p>
            <w:pPr>
              <w:spacing w:after="40"/>
            </w:pPr>
            <w:r>
              <w:rPr>
                <w:sz w:val="17"/>
              </w:rPr>
            </w:r>
            <w:r>
              <w:rPr>
                <w:b w:val="0"/>
                <w:sz w:val="17"/>
              </w:rPr>
              <w:t>Open</w:t>
            </w:r>
          </w:p>
        </w:tc>
        <w:tc>
          <w:tcPr>
            <w:tcW w:type="dxa" w:w="1704"/>
            <w:vAlign w:val="top"/>
          </w:tcPr>
          <w:p>
            <w:pPr>
              <w:spacing w:after="40"/>
            </w:pPr>
            <w:r>
              <w:rPr>
                <w:sz w:val="17"/>
              </w:rPr>
            </w:r>
            <w:r>
              <w:rPr>
                <w:b w:val="0"/>
                <w:sz w:val="17"/>
              </w:rPr>
              <w:t>Inventory Management</w:t>
            </w:r>
          </w:p>
        </w:tc>
        <w:tc>
          <w:tcPr>
            <w:tcW w:type="dxa" w:w="1704"/>
            <w:vAlign w:val="top"/>
          </w:tcPr>
          <w:p>
            <w:pPr>
              <w:spacing w:after="40"/>
            </w:pPr>
            <w:r>
              <w:rPr>
                <w:sz w:val="17"/>
              </w:rPr>
            </w:r>
            <w:r>
              <w:rPr>
                <w:b w:val="0"/>
                <w:sz w:val="17"/>
              </w:rPr>
              <w:t>Project Delivery &amp; Operations</w:t>
            </w:r>
          </w:p>
        </w:tc>
      </w:tr>
      <w:tr>
        <w:tc>
          <w:tcPr>
            <w:tcW w:type="dxa" w:w="1704"/>
            <w:vAlign w:val="top"/>
          </w:tcPr>
          <w:p>
            <w:pPr>
              <w:spacing w:after="40"/>
            </w:pPr>
            <w:r>
              <w:rPr>
                <w:sz w:val="17"/>
              </w:rPr>
            </w:r>
            <w:r>
              <w:rPr>
                <w:b w:val="0"/>
                <w:sz w:val="17"/>
              </w:rPr>
              <w:t>#38</w:t>
            </w:r>
          </w:p>
        </w:tc>
        <w:tc>
          <w:tcPr>
            <w:tcW w:type="dxa" w:w="1704"/>
            <w:vAlign w:val="top"/>
          </w:tcPr>
          <w:p>
            <w:pPr>
              <w:spacing w:after="40"/>
            </w:pPr>
            <w:r>
              <w:rPr>
                <w:sz w:val="17"/>
              </w:rPr>
            </w:r>
            <w:r>
              <w:rPr>
                <w:b w:val="0"/>
                <w:sz w:val="17"/>
              </w:rPr>
              <w:t>Strategic</w:t>
            </w:r>
          </w:p>
        </w:tc>
        <w:tc>
          <w:tcPr>
            <w:tcW w:type="dxa" w:w="1704"/>
            <w:vAlign w:val="top"/>
          </w:tcPr>
          <w:p>
            <w:pPr>
              <w:spacing w:after="40"/>
            </w:pPr>
            <w:r>
              <w:rPr>
                <w:sz w:val="17"/>
              </w:rPr>
            </w:r>
            <w:r>
              <w:rPr>
                <w:b w:val="0"/>
                <w:sz w:val="17"/>
              </w:rPr>
              <w:t>High</w:t>
            </w:r>
          </w:p>
        </w:tc>
        <w:tc>
          <w:tcPr>
            <w:tcW w:type="dxa" w:w="1704"/>
            <w:vAlign w:val="top"/>
          </w:tcPr>
          <w:p>
            <w:pPr>
              <w:spacing w:after="40"/>
            </w:pPr>
            <w:r>
              <w:rPr>
                <w:sz w:val="17"/>
              </w:rPr>
            </w:r>
            <w:r>
              <w:rPr>
                <w:b w:val="0"/>
                <w:sz w:val="17"/>
              </w:rPr>
              <w:t>Sequenced</w:t>
            </w:r>
          </w:p>
        </w:tc>
        <w:tc>
          <w:tcPr>
            <w:tcW w:type="dxa" w:w="1704"/>
            <w:vAlign w:val="top"/>
          </w:tcPr>
          <w:p>
            <w:pPr>
              <w:spacing w:after="40"/>
            </w:pPr>
            <w:r>
              <w:rPr>
                <w:sz w:val="17"/>
              </w:rPr>
            </w:r>
            <w:r>
              <w:rPr>
                <w:b w:val="0"/>
                <w:sz w:val="17"/>
              </w:rPr>
              <w:t>Customer Concentration</w:t>
            </w:r>
          </w:p>
        </w:tc>
        <w:tc>
          <w:tcPr>
            <w:tcW w:type="dxa" w:w="1704"/>
            <w:vAlign w:val="top"/>
          </w:tcPr>
          <w:p>
            <w:pPr>
              <w:spacing w:after="40"/>
            </w:pPr>
            <w:r>
              <w:rPr>
                <w:sz w:val="17"/>
              </w:rPr>
            </w:r>
            <w:r>
              <w:rPr>
                <w:b w:val="0"/>
                <w:sz w:val="17"/>
              </w:rPr>
              <w:t>Institutional Knowledge &amp; Key Relationships</w:t>
            </w:r>
          </w:p>
        </w:tc>
      </w:tr>
    </w:tbl>
    <w:p>
      <w:r>
        <w:rPr>
          <w:rFonts w:ascii="Aptos" w:hAnsi="Aptos" w:eastAsia="Aptos"/>
          <w:b w:val="0"/>
          <w:sz w:val="20"/>
        </w:rPr>
        <w:t>Narrative summary. Pre-close work is dominated by visible-state compliance and transaction-mechanics items: new-hire form verification/cleanup, UIA reconstruction, office succession, BFS/S-0440 certification continuity, and the sunset of the legacy banking signature-stamp practice. The first 90 days focus on business-continuity risks and field-data capture: inspection-delivery concentration, field-to-office communication, daily job site reporting/photo documentation, digital timecard submission, IT backup/security, safety program management, and compliance tracking. Year 1 shifts toward structural modernization: QBO/payroll, estimating documentation, inspection-service strategy, QA/QC, project-management discipline, customer/revenue segmentation, MDM, fleet and inventory hygiene, and management reporting. Strategic items should not be forced into the first 90 days unless they become prerequisites for revenue protection or buyer/lender requirements.</w:t>
      </w:r>
    </w:p>
    <w:p>
      <w:pPr>
        <w:pStyle w:val="Heading1"/>
      </w:pPr>
      <w:r>
        <w:rPr>
          <w:rFonts w:ascii="Aptos Display" w:hAnsi="Aptos Display" w:eastAsia="Aptos Display"/>
          <w:b/>
          <w:color w:val="1F4E79"/>
          <w:sz w:val="28"/>
        </w:rPr>
        <w:t>3. Sequencing &amp; Dependencies</w:t>
      </w:r>
    </w:p>
    <w:p>
      <w:r>
        <w:rPr>
          <w:rFonts w:ascii="Aptos" w:hAnsi="Aptos" w:eastAsia="Aptos"/>
          <w:b w:val="0"/>
          <w:sz w:val="20"/>
        </w:rPr>
        <w:t>The roadmap has several genuine dependencies. These should be managed explicitly; otherwise the team will create documents or tools before the operating model underneath them is settled.</w:t>
      </w:r>
    </w:p>
    <w:tbl>
      <w:tblPr>
        <w:tblStyle w:val="TableGrid"/>
        <w:tblW w:type="auto" w:w="0"/>
        <w:jc w:val="center"/>
        <w:tblLook w:firstColumn="1" w:firstRow="1" w:lastColumn="0" w:lastRow="0" w:noHBand="0" w:noVBand="1" w:val="04A0"/>
      </w:tblPr>
      <w:tblGrid>
        <w:gridCol w:w="5112"/>
        <w:gridCol w:w="5112"/>
      </w:tblGrid>
      <w:tr>
        <w:tc>
          <w:tcPr>
            <w:tcW w:type="dxa" w:w="5112"/>
            <w:shd w:fill="F2F2F2"/>
            <w:vAlign w:val="top"/>
          </w:tcPr>
          <w:p>
            <w:pPr>
              <w:spacing w:after="40"/>
            </w:pPr>
            <w:r>
              <w:rPr>
                <w:rFonts w:ascii="Aptos" w:hAnsi="Aptos" w:eastAsia="Aptos"/>
                <w:b/>
                <w:color w:val="1F4E79"/>
                <w:sz w:val="18"/>
              </w:rPr>
            </w:r>
            <w:r>
              <w:rPr>
                <w:rFonts w:ascii="Aptos" w:hAnsi="Aptos" w:eastAsia="Aptos"/>
                <w:b/>
                <w:color w:val="1F4E79"/>
                <w:sz w:val="18"/>
              </w:rPr>
              <w:t>Dependency / Critical Path Item</w:t>
            </w:r>
          </w:p>
        </w:tc>
        <w:tc>
          <w:tcPr>
            <w:tcW w:type="dxa" w:w="5112"/>
            <w:shd w:fill="D9EAF7"/>
            <w:vAlign w:val="top"/>
          </w:tcPr>
          <w:p>
            <w:pPr>
              <w:spacing w:after="40"/>
            </w:pPr>
            <w:r>
              <w:rPr>
                <w:rFonts w:ascii="Aptos" w:hAnsi="Aptos" w:eastAsia="Aptos"/>
                <w:b/>
                <w:color w:val="1F4E79"/>
                <w:sz w:val="18"/>
              </w:rPr>
            </w:r>
            <w:r>
              <w:rPr>
                <w:rFonts w:ascii="Aptos" w:hAnsi="Aptos" w:eastAsia="Aptos"/>
                <w:b/>
                <w:color w:val="1F4E79"/>
                <w:sz w:val="18"/>
              </w:rPr>
              <w:t>Downstream effect</w:t>
            </w:r>
          </w:p>
        </w:tc>
      </w:tr>
      <w:tr>
        <w:tc>
          <w:tcPr>
            <w:tcW w:type="dxa" w:w="5112"/>
            <w:vAlign w:val="top"/>
            <w:shd w:fill="F2F2F2"/>
          </w:tcPr>
          <w:p>
            <w:pPr>
              <w:spacing w:after="40"/>
            </w:pPr>
            <w:r>
              <w:rPr>
                <w:sz w:val="17"/>
              </w:rPr>
            </w:r>
            <w:r>
              <w:rPr>
                <w:b w:val="0"/>
                <w:sz w:val="17"/>
              </w:rPr>
              <w:t>Inspection-delivery hire decision</w:t>
            </w:r>
          </w:p>
        </w:tc>
        <w:tc>
          <w:tcPr>
            <w:tcW w:type="dxa" w:w="5112"/>
            <w:vAlign w:val="top"/>
          </w:tcPr>
          <w:p>
            <w:pPr>
              <w:spacing w:after="40"/>
            </w:pPr>
            <w:r>
              <w:rPr>
                <w:sz w:val="17"/>
              </w:rPr>
            </w:r>
            <w:r>
              <w:rPr>
                <w:b w:val="0"/>
                <w:sz w:val="17"/>
              </w:rPr>
              <w:t>Unlocks Finding #16 directly and materially affects Findings #12, #15, #23, #24, #38, and #40. Decide whether the mitigation path is Konner promotion/cross-training, external NFPA-25 hire, or a hybrid.</w:t>
            </w:r>
          </w:p>
        </w:tc>
      </w:tr>
      <w:tr>
        <w:tc>
          <w:tcPr>
            <w:tcW w:type="dxa" w:w="5112"/>
            <w:vAlign w:val="top"/>
            <w:shd w:fill="F2F2F2"/>
          </w:tcPr>
          <w:p>
            <w:pPr>
              <w:spacing w:after="40"/>
            </w:pPr>
            <w:r>
              <w:rPr>
                <w:sz w:val="17"/>
              </w:rPr>
            </w:r>
            <w:r>
              <w:rPr>
                <w:b w:val="0"/>
                <w:sz w:val="17"/>
              </w:rPr>
              <w:t>Deal close / buy-in mechanics</w:t>
            </w:r>
          </w:p>
        </w:tc>
        <w:tc>
          <w:tcPr>
            <w:tcW w:type="dxa" w:w="5112"/>
            <w:vAlign w:val="top"/>
          </w:tcPr>
          <w:p>
            <w:pPr>
              <w:spacing w:after="40"/>
            </w:pPr>
            <w:r>
              <w:rPr>
                <w:sz w:val="17"/>
              </w:rPr>
            </w:r>
            <w:r>
              <w:rPr>
                <w:b w:val="0"/>
                <w:sz w:val="17"/>
              </w:rPr>
              <w:t>Unlocks Findings #1 and #3 through new banking relationships, authority tiers, and dual-control thresholds in the shareholder or operating agreement.</w:t>
            </w:r>
          </w:p>
        </w:tc>
      </w:tr>
      <w:tr>
        <w:tc>
          <w:tcPr>
            <w:tcW w:type="dxa" w:w="5112"/>
            <w:vAlign w:val="top"/>
            <w:shd w:fill="F2F2F2"/>
          </w:tcPr>
          <w:p>
            <w:pPr>
              <w:spacing w:after="40"/>
            </w:pPr>
            <w:r>
              <w:rPr>
                <w:sz w:val="17"/>
              </w:rPr>
            </w:r>
            <w:r>
              <w:rPr>
                <w:b w:val="0"/>
                <w:sz w:val="17"/>
              </w:rPr>
              <w:t>QuickBooks Desktop → QBO / Payroll migration</w:t>
            </w:r>
          </w:p>
        </w:tc>
        <w:tc>
          <w:tcPr>
            <w:tcW w:type="dxa" w:w="5112"/>
            <w:vAlign w:val="top"/>
          </w:tcPr>
          <w:p>
            <w:pPr>
              <w:spacing w:after="40"/>
            </w:pPr>
            <w:r>
              <w:rPr>
                <w:sz w:val="17"/>
              </w:rPr>
            </w:r>
            <w:r>
              <w:rPr>
                <w:b w:val="0"/>
                <w:sz w:val="17"/>
              </w:rPr>
              <w:t>Provides the timing window to restructure expense categories, revenue segmentation, certified-payroll tooling, customer master data, and recurring management reporting without rebuilding twice.</w:t>
            </w:r>
          </w:p>
        </w:tc>
      </w:tr>
      <w:tr>
        <w:tc>
          <w:tcPr>
            <w:tcW w:type="dxa" w:w="5112"/>
            <w:vAlign w:val="top"/>
            <w:shd w:fill="F2F2F2"/>
          </w:tcPr>
          <w:p>
            <w:pPr>
              <w:spacing w:after="40"/>
            </w:pPr>
            <w:r>
              <w:rPr>
                <w:sz w:val="17"/>
              </w:rPr>
            </w:r>
            <w:r>
              <w:rPr>
                <w:b w:val="0"/>
                <w:sz w:val="17"/>
              </w:rPr>
              <w:t>HR / compliance calendar buildout</w:t>
            </w:r>
          </w:p>
        </w:tc>
        <w:tc>
          <w:tcPr>
            <w:tcW w:type="dxa" w:w="5112"/>
            <w:vAlign w:val="top"/>
          </w:tcPr>
          <w:p>
            <w:pPr>
              <w:spacing w:after="40"/>
            </w:pPr>
            <w:r>
              <w:rPr>
                <w:sz w:val="17"/>
              </w:rPr>
            </w:r>
            <w:r>
              <w:rPr>
                <w:b w:val="0"/>
                <w:sz w:val="17"/>
              </w:rPr>
              <w:t>Common backbone for safety program management, ISN obligations, customer-specific compliance tracking, COI expirations, certification/license tracking, and training records.</w:t>
            </w:r>
          </w:p>
        </w:tc>
      </w:tr>
      <w:tr>
        <w:tc>
          <w:tcPr>
            <w:tcW w:type="dxa" w:w="5112"/>
            <w:vAlign w:val="top"/>
            <w:shd w:fill="F2F2F2"/>
          </w:tcPr>
          <w:p>
            <w:pPr>
              <w:spacing w:after="40"/>
            </w:pPr>
            <w:r>
              <w:rPr>
                <w:sz w:val="17"/>
              </w:rPr>
            </w:r>
            <w:r>
              <w:rPr>
                <w:b w:val="0"/>
                <w:sz w:val="17"/>
              </w:rPr>
              <w:t>Field Crew Communication + Job Tracking adoption</w:t>
            </w:r>
          </w:p>
        </w:tc>
        <w:tc>
          <w:tcPr>
            <w:tcW w:type="dxa" w:w="5112"/>
            <w:vAlign w:val="top"/>
          </w:tcPr>
          <w:p>
            <w:pPr>
              <w:spacing w:after="40"/>
            </w:pPr>
            <w:r>
              <w:rPr>
                <w:sz w:val="17"/>
              </w:rPr>
            </w:r>
            <w:r>
              <w:rPr>
                <w:b w:val="0"/>
                <w:sz w:val="17"/>
              </w:rPr>
              <w:t>Provides the operating substrate for job intake, rough-in/final readiness, document centralization, permit workflow, and field-to-office communication discipline.</w:t>
            </w:r>
          </w:p>
        </w:tc>
      </w:tr>
      <w:tr>
        <w:tc>
          <w:tcPr>
            <w:tcW w:type="dxa" w:w="5112"/>
            <w:vAlign w:val="top"/>
            <w:shd w:fill="F2F2F2"/>
          </w:tcPr>
          <w:p>
            <w:pPr>
              <w:spacing w:after="40"/>
            </w:pPr>
            <w:r>
              <w:rPr>
                <w:sz w:val="17"/>
              </w:rPr>
            </w:r>
            <w:r>
              <w:rPr>
                <w:b w:val="0"/>
                <w:sz w:val="17"/>
              </w:rPr>
              <w:t>Estimating methodology capture</w:t>
            </w:r>
          </w:p>
        </w:tc>
        <w:tc>
          <w:tcPr>
            <w:tcW w:type="dxa" w:w="5112"/>
            <w:vAlign w:val="top"/>
          </w:tcPr>
          <w:p>
            <w:pPr>
              <w:spacing w:after="40"/>
            </w:pPr>
            <w:r>
              <w:rPr>
                <w:sz w:val="17"/>
              </w:rPr>
            </w:r>
            <w:r>
              <w:rPr>
                <w:b w:val="0"/>
                <w:sz w:val="17"/>
              </w:rPr>
              <w:t>Highest-leverage owner-knowledge dependency; also supports sales training, pricing discipline, budget forecasting, and eventual delegation of estimate preparation.</w:t>
            </w:r>
          </w:p>
        </w:tc>
      </w:tr>
      <w:tr>
        <w:tc>
          <w:tcPr>
            <w:tcW w:type="dxa" w:w="5112"/>
            <w:vAlign w:val="top"/>
            <w:shd w:fill="F2F2F2"/>
          </w:tcPr>
          <w:p>
            <w:pPr>
              <w:spacing w:after="40"/>
            </w:pPr>
            <w:r>
              <w:rPr>
                <w:sz w:val="18"/>
              </w:rPr>
            </w:r>
            <w:r>
              <w:rPr>
                <w:b w:val="0"/>
                <w:sz w:val="18"/>
              </w:rPr>
              <w:t>Daily job site reporting / photo documentation</w:t>
            </w:r>
          </w:p>
        </w:tc>
        <w:tc>
          <w:tcPr>
            <w:tcW w:type="dxa" w:w="5112"/>
            <w:vAlign w:val="top"/>
          </w:tcPr>
          <w:p>
            <w:pPr>
              <w:spacing w:after="40"/>
            </w:pPr>
            <w:r>
              <w:rPr>
                <w:sz w:val="18"/>
              </w:rPr>
            </w:r>
            <w:r>
              <w:rPr>
                <w:b w:val="0"/>
                <w:sz w:val="18"/>
              </w:rPr>
              <w:t>Creates daily evidence for progress, blockers, safety conditions, change-order support, QA/QC checks, customer updates, and billing readiness. This should be treated as a Project Delivery &amp; Operations control, not just a communications convenience.</w:t>
            </w:r>
          </w:p>
        </w:tc>
      </w:tr>
      <w:tr>
        <w:tc>
          <w:tcPr>
            <w:tcW w:type="dxa" w:w="5112"/>
            <w:vAlign w:val="top"/>
            <w:shd w:fill="F2F2F2"/>
          </w:tcPr>
          <w:p>
            <w:pPr>
              <w:spacing w:after="40"/>
            </w:pPr>
            <w:r>
              <w:rPr>
                <w:sz w:val="18"/>
              </w:rPr>
            </w:r>
            <w:r>
              <w:rPr>
                <w:b w:val="0"/>
                <w:sz w:val="18"/>
              </w:rPr>
              <w:t>Digital timecard submission / labor cost capture</w:t>
            </w:r>
          </w:p>
        </w:tc>
        <w:tc>
          <w:tcPr>
            <w:tcW w:type="dxa" w:w="5112"/>
            <w:vAlign w:val="top"/>
          </w:tcPr>
          <w:p>
            <w:pPr>
              <w:spacing w:after="40"/>
            </w:pPr>
            <w:r>
              <w:rPr>
                <w:sz w:val="18"/>
              </w:rPr>
            </w:r>
            <w:r>
              <w:rPr>
                <w:b w:val="0"/>
                <w:sz w:val="18"/>
              </w:rPr>
              <w:t>Feeds payroll, certified payroll, job-costing, WIP timing, and revenue recognition. Phase 1 can be photo/email/text submission of handwritten sheets; later phases can move to QBO Time, Workyard, busybusy, ExakTime, or another field-labor platform once union payroll and job-costing requirements are known.</w:t>
            </w:r>
          </w:p>
        </w:tc>
      </w:tr>
    </w:tbl>
    <w:p>
      <w:pPr>
        <w:pStyle w:val="Heading2"/>
      </w:pPr>
      <w:r>
        <w:rPr>
          <w:rFonts w:ascii="Aptos Display" w:hAnsi="Aptos Display" w:eastAsia="Aptos Display"/>
          <w:b/>
          <w:color w:val="1F4E79"/>
          <w:sz w:val="24"/>
        </w:rPr>
        <w:t>3.1 Workflow Documentation Backlog</w:t>
      </w:r>
    </w:p>
    <w:p>
      <w:r>
        <w:rPr>
          <w:rFonts w:ascii="Aptos" w:hAnsi="Aptos" w:eastAsia="Aptos"/>
          <w:b w:val="0"/>
          <w:sz w:val="20"/>
        </w:rPr>
        <w:t>The modernization effort should document the highest-friction workflows both as written current-state narratives and as simple Mermaid-style flowcharts during discovery. Final versions can be rendered into graphical diagrams for Word/PDF deliverables once the flow is stable.</w:t>
      </w:r>
    </w:p>
    <w:p>
      <w:r>
        <w:rPr>
          <w:rFonts w:ascii="Aptos" w:hAnsi="Aptos" w:eastAsia="Aptos"/>
          <w:b w:val="0"/>
          <w:sz w:val="20"/>
        </w:rPr>
        <w:t>Two field-data workflows should be explicit in this backlog rather than implied: daily job site reporting/photo documentation and digital timecard submission. Both are foundational controls because they convert field activity into timely evidence for project tracking, QA/QC, payroll, job costing, WIP, revenue timing, and billing readiness.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Workflow</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Current-state flow to capture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Modernization linkage</w:t>
            </w:r>
          </w:p>
        </w:tc>
      </w:tr>
      <w:tr>
        <w:tc>
          <w:tcPr>
            <w:tcW w:type="dxa" w:w="3408"/>
            <w:vAlign w:val="top"/>
          </w:tcPr>
          <w:p>
            <w:pPr>
              <w:spacing w:after="40"/>
            </w:pPr>
            <w:r>
              <w:rPr>
                <w:sz w:val="17"/>
              </w:rPr>
            </w:r>
            <w:r>
              <w:rPr>
                <w:b w:val="0"/>
                <w:sz w:val="17"/>
              </w:rPr>
              <w:t>Service Work Order → Pricing → Invoicing</w:t>
            </w:r>
          </w:p>
        </w:tc>
        <w:tc>
          <w:tcPr>
            <w:tcW w:type="dxa" w:w="3408"/>
            <w:vAlign w:val="top"/>
          </w:tcPr>
          <w:p>
            <w:pPr>
              <w:spacing w:after="40"/>
            </w:pPr>
            <w:r>
              <w:rPr>
                <w:sz w:val="17"/>
              </w:rPr>
            </w:r>
            <w:r>
              <w:rPr>
                <w:b w:val="0"/>
                <w:sz w:val="17"/>
              </w:rPr>
              <w:t>Repair/service call completed; paper Service Work Order prepared by Keith or Bud; Kevin prices parts from ETNA list and calculates overhead/margin; Krissy invoices in QuickBooks.</w:t>
            </w:r>
          </w:p>
        </w:tc>
        <w:tc>
          <w:tcPr>
            <w:tcW w:type="dxa" w:w="3408"/>
            <w:vAlign w:val="top"/>
          </w:tcPr>
          <w:p>
            <w:pPr>
              <w:spacing w:after="40"/>
            </w:pPr>
            <w:r>
              <w:rPr>
                <w:sz w:val="17"/>
              </w:rPr>
            </w:r>
            <w:r>
              <w:rPr>
                <w:b w:val="0"/>
                <w:sz w:val="17"/>
              </w:rPr>
              <w:t>Current-State §2.3; supports billing-control and service-margin modernization.</w:t>
            </w:r>
          </w:p>
        </w:tc>
      </w:tr>
      <w:tr>
        <w:tc>
          <w:tcPr>
            <w:tcW w:type="dxa" w:w="3408"/>
            <w:vAlign w:val="top"/>
          </w:tcPr>
          <w:p>
            <w:pPr>
              <w:spacing w:after="40"/>
            </w:pPr>
            <w:r>
              <w:rPr>
                <w:sz w:val="17"/>
              </w:rPr>
            </w:r>
            <w:r>
              <w:rPr>
                <w:b w:val="0"/>
                <w:sz w:val="17"/>
              </w:rPr>
              <w:t>Marketing &amp; Sales Funnel / Inbound Opportunity Intake</w:t>
            </w:r>
          </w:p>
        </w:tc>
        <w:tc>
          <w:tcPr>
            <w:tcW w:type="dxa" w:w="3408"/>
            <w:vAlign w:val="top"/>
          </w:tcPr>
          <w:p>
            <w:pPr>
              <w:spacing w:after="40"/>
            </w:pPr>
            <w:r>
              <w:rPr>
                <w:sz w:val="17"/>
              </w:rPr>
            </w:r>
            <w:r>
              <w:rPr>
                <w:b w:val="0"/>
                <w:sz w:val="17"/>
              </w:rPr>
              <w:t>Inbound phone calls, emails, referrals, GC/customer requests, inspection/service inquiries, and declined/deflected opportunities from first contact through routing, estimate/service decision, and whether the lead is captured anywhere.</w:t>
            </w:r>
          </w:p>
        </w:tc>
        <w:tc>
          <w:tcPr>
            <w:tcW w:type="dxa" w:w="3408"/>
            <w:vAlign w:val="top"/>
          </w:tcPr>
          <w:p>
            <w:pPr>
              <w:spacing w:after="40"/>
            </w:pPr>
            <w:r>
              <w:rPr>
                <w:sz w:val="17"/>
              </w:rPr>
            </w:r>
            <w:r>
              <w:rPr>
                <w:b w:val="0"/>
                <w:sz w:val="17"/>
              </w:rPr>
              <w:t>Ties directly to Findings #12, #14, #15, #28, and #38; captures the current low-system, relationship-driven sales motion before CRM design.</w:t>
            </w:r>
          </w:p>
        </w:tc>
      </w:tr>
      <w:tr>
        <w:tc>
          <w:tcPr>
            <w:tcW w:type="dxa" w:w="3408"/>
            <w:vAlign w:val="top"/>
          </w:tcPr>
          <w:p>
            <w:pPr>
              <w:spacing w:after="40"/>
            </w:pPr>
            <w:r>
              <w:rPr>
                <w:sz w:val="17"/>
              </w:rPr>
            </w:r>
            <w:r>
              <w:rPr>
                <w:b w:val="0"/>
                <w:sz w:val="17"/>
              </w:rPr>
              <w:t>Installation Job Award → Contract Review → Execution → Billing/Retainage</w:t>
            </w:r>
          </w:p>
        </w:tc>
        <w:tc>
          <w:tcPr>
            <w:tcW w:type="dxa" w:w="3408"/>
            <w:vAlign w:val="top"/>
          </w:tcPr>
          <w:p>
            <w:pPr>
              <w:spacing w:after="40"/>
            </w:pPr>
            <w:r>
              <w:rPr>
                <w:sz w:val="17"/>
              </w:rPr>
            </w:r>
            <w:r>
              <w:rPr>
                <w:b w:val="0"/>
                <w:sz w:val="17"/>
              </w:rPr>
              <w:t>LOI/contract receipt, office extraction of billing and operational requirements, scheduling, field execution, draw billing, AIA documents, lien waivers, and retainage billing.</w:t>
            </w:r>
          </w:p>
        </w:tc>
        <w:tc>
          <w:tcPr>
            <w:tcW w:type="dxa" w:w="3408"/>
            <w:vAlign w:val="top"/>
          </w:tcPr>
          <w:p>
            <w:pPr>
              <w:spacing w:after="40"/>
            </w:pPr>
            <w:r>
              <w:rPr>
                <w:sz w:val="17"/>
              </w:rPr>
            </w:r>
            <w:r>
              <w:rPr>
                <w:b w:val="0"/>
                <w:sz w:val="17"/>
              </w:rPr>
              <w:t>Current-State §2.2–§2.3; supports PM/subcontractor-management and billing process remediation.</w:t>
            </w:r>
          </w:p>
        </w:tc>
      </w:tr>
      <w:tr>
        <w:tc>
          <w:tcPr>
            <w:tcW w:type="dxa" w:w="3408"/>
            <w:vAlign w:val="top"/>
          </w:tcPr>
          <w:p>
            <w:pPr>
              <w:spacing w:after="40"/>
            </w:pPr>
            <w:r>
              <w:rPr>
                <w:sz w:val="17"/>
              </w:rPr>
            </w:r>
            <w:r>
              <w:rPr>
                <w:b w:val="0"/>
                <w:sz w:val="17"/>
              </w:rPr>
              <w:t>Inspection Intake → Scheduling → NFPA-25 Report → Billing / Follow-up</w:t>
            </w:r>
          </w:p>
        </w:tc>
        <w:tc>
          <w:tcPr>
            <w:tcW w:type="dxa" w:w="3408"/>
            <w:vAlign w:val="top"/>
          </w:tcPr>
          <w:p>
            <w:pPr>
              <w:spacing w:after="40"/>
            </w:pPr>
            <w:r>
              <w:rPr>
                <w:sz w:val="17"/>
              </w:rPr>
            </w:r>
            <w:r>
              <w:rPr>
                <w:b w:val="0"/>
                <w:sz w:val="17"/>
              </w:rPr>
              <w:t>Inbound inspection request, Keith scheduling, report preparation, deficiency handling, customer communication, invoice generation, and follow-up.</w:t>
            </w:r>
          </w:p>
        </w:tc>
        <w:tc>
          <w:tcPr>
            <w:tcW w:type="dxa" w:w="3408"/>
            <w:vAlign w:val="top"/>
          </w:tcPr>
          <w:p>
            <w:pPr>
              <w:spacing w:after="40"/>
            </w:pPr>
            <w:r>
              <w:rPr>
                <w:sz w:val="17"/>
              </w:rPr>
            </w:r>
            <w:r>
              <w:rPr>
                <w:b w:val="0"/>
                <w:sz w:val="17"/>
              </w:rPr>
              <w:t>Ties to inspection-delivery concentration, ITM platform decision, standing inspection agreements, and declined inspection-adjacent demand.</w:t>
            </w:r>
          </w:p>
        </w:tc>
      </w:tr>
      <w:tr>
        <w:tc>
          <w:tcPr>
            <w:tcW w:type="dxa" w:w="3408"/>
            <w:vAlign w:val="top"/>
          </w:tcPr>
          <w:p>
            <w:pPr>
              <w:spacing w:after="40"/>
            </w:pPr>
            <w:r>
              <w:rPr>
                <w:sz w:val="18"/>
              </w:rPr>
            </w:r>
            <w:r>
              <w:rPr>
                <w:b w:val="0"/>
                <w:sz w:val="18"/>
              </w:rPr>
              <w:t>Payroll / Digital Timecard Submission Flow</w:t>
            </w:r>
          </w:p>
        </w:tc>
        <w:tc>
          <w:tcPr>
            <w:tcW w:type="dxa" w:w="3408"/>
            <w:vAlign w:val="top"/>
          </w:tcPr>
          <w:p>
            <w:pPr>
              <w:spacing w:after="40"/>
            </w:pPr>
            <w:r>
              <w:rPr>
                <w:sz w:val="18"/>
              </w:rPr>
            </w:r>
            <w:r>
              <w:rPr>
                <w:b w:val="0"/>
                <w:sz w:val="18"/>
              </w:rPr>
              <w:t>Current paper timesheets; near-term option for crews to email/text photos of handwritten sheets; structured interim form if needed; later platform options include QBO Time/QuickBooks Payroll, Workyard, busybusy, ExakTime, or another field-labor system.</w:t>
            </w:r>
          </w:p>
        </w:tc>
        <w:tc>
          <w:tcPr>
            <w:tcW w:type="dxa" w:w="3408"/>
            <w:vAlign w:val="top"/>
          </w:tcPr>
          <w:p>
            <w:pPr>
              <w:spacing w:after="40"/>
            </w:pPr>
            <w:r>
              <w:rPr>
                <w:sz w:val="18"/>
              </w:rPr>
            </w:r>
            <w:r>
              <w:rPr>
                <w:b w:val="0"/>
                <w:sz w:val="18"/>
              </w:rPr>
              <w:t>Supports Finding #8 and payroll modernization, while also improving job-costing, certified payroll data, WIP timing, labor productivity visibility, and revenue/cost cut-off.</w:t>
            </w:r>
          </w:p>
        </w:tc>
      </w:tr>
      <w:tr>
        <w:tc>
          <w:tcPr>
            <w:tcW w:type="dxa" w:w="3408"/>
            <w:vAlign w:val="top"/>
          </w:tcPr>
          <w:p>
            <w:pPr>
              <w:spacing w:after="40"/>
            </w:pPr>
            <w:r>
              <w:rPr>
                <w:sz w:val="17"/>
              </w:rPr>
            </w:r>
            <w:r>
              <w:rPr>
                <w:b w:val="0"/>
                <w:sz w:val="17"/>
              </w:rPr>
              <w:t>New Hire / Onboarding Flow</w:t>
            </w:r>
          </w:p>
        </w:tc>
        <w:tc>
          <w:tcPr>
            <w:tcW w:type="dxa" w:w="3408"/>
            <w:vAlign w:val="top"/>
          </w:tcPr>
          <w:p>
            <w:pPr>
              <w:spacing w:after="40"/>
            </w:pPr>
            <w:r>
              <w:rPr>
                <w:sz w:val="17"/>
              </w:rPr>
            </w:r>
            <w:r>
              <w:rPr>
                <w:b w:val="0"/>
                <w:sz w:val="17"/>
              </w:rPr>
              <w:t>Local 669 dispatch, StangDS recruiting funnel, interview stages, pre-start paperwork, I-9/W-4/MI-W4, safety/training records, and onboarding checklist completion.</w:t>
            </w:r>
          </w:p>
        </w:tc>
        <w:tc>
          <w:tcPr>
            <w:tcW w:type="dxa" w:w="3408"/>
            <w:vAlign w:val="top"/>
          </w:tcPr>
          <w:p>
            <w:pPr>
              <w:spacing w:after="40"/>
            </w:pPr>
            <w:r>
              <w:rPr>
                <w:sz w:val="17"/>
              </w:rPr>
            </w:r>
            <w:r>
              <w:rPr>
                <w:b w:val="0"/>
                <w:sz w:val="17"/>
              </w:rPr>
              <w:t>Supports Findings #2, #18, #28, #35, and #36.</w:t>
            </w:r>
          </w:p>
        </w:tc>
      </w:tr>
      <w:tr>
        <w:tc>
          <w:tcPr>
            <w:tcW w:type="dxa" w:w="3408"/>
            <w:vAlign w:val="top"/>
          </w:tcPr>
          <w:p>
            <w:pPr>
              <w:spacing w:after="40"/>
            </w:pPr>
            <w:r>
              <w:rPr>
                <w:sz w:val="18"/>
              </w:rPr>
            </w:r>
            <w:r>
              <w:rPr>
                <w:b w:val="0"/>
                <w:sz w:val="18"/>
              </w:rPr>
              <w:t>Daily Job Site Reporting / Photo Documentation</w:t>
            </w:r>
          </w:p>
        </w:tc>
        <w:tc>
          <w:tcPr>
            <w:tcW w:type="dxa" w:w="3408"/>
            <w:vAlign w:val="top"/>
          </w:tcPr>
          <w:p>
            <w:pPr>
              <w:spacing w:after="40"/>
            </w:pPr>
            <w:r>
              <w:rPr>
                <w:sz w:val="18"/>
              </w:rPr>
            </w:r>
            <w:r>
              <w:rPr>
                <w:b w:val="0"/>
                <w:sz w:val="18"/>
              </w:rPr>
              <w:t>Daily foreman or crew-lead update by job: photos, manpower, percent-complete signal, material constraints, inspections/AHJ readiness, safety incidents/near misses, blockers, change-order indicators, and work completed since prior report.</w:t>
            </w:r>
          </w:p>
        </w:tc>
        <w:tc>
          <w:tcPr>
            <w:tcW w:type="dxa" w:w="3408"/>
            <w:vAlign w:val="top"/>
          </w:tcPr>
          <w:p>
            <w:pPr>
              <w:spacing w:after="40"/>
            </w:pPr>
            <w:r>
              <w:rPr>
                <w:sz w:val="18"/>
              </w:rPr>
            </w:r>
            <w:r>
              <w:rPr>
                <w:b w:val="0"/>
                <w:sz w:val="18"/>
              </w:rPr>
              <w:t>Supports Findings #17, #19, #20, #22, and #23; candidate tools include CompanyCam or an equivalent photo/reporting workflow. Provides evidence for project tracking, QA/QC, change orders, customer communication, and billing readiness.</w:t>
            </w:r>
          </w:p>
        </w:tc>
      </w:tr>
    </w:tbl>
    <w:p>
      <w:pPr>
        <w:pStyle w:val="Heading1"/>
      </w:pPr>
      <w:r>
        <w:rPr>
          <w:rFonts w:ascii="Aptos Display" w:hAnsi="Aptos Display" w:eastAsia="Aptos Display"/>
          <w:b/>
          <w:color w:val="1F4E79"/>
          <w:sz w:val="28"/>
        </w:rPr>
        <w:t>4. Resource &amp; Effort Summary</w:t>
      </w:r>
    </w:p>
    <w:p>
      <w:r>
        <w:rPr>
          <w:rFonts w:ascii="Aptos" w:hAnsi="Aptos" w:eastAsia="Aptos"/>
          <w:b w:val="0"/>
          <w:sz w:val="20"/>
        </w:rPr>
        <w:t>This section should become a lightweight capacity model, not a consulting-theater estimate. The immediate practical question is whether the remediation queue can fit inside Justin, Jaclyn, Kevin, Krissy, AT&amp;C, Lee Init, Gauthier, StangDS, and field-leadership capacity without starving day-to-day operations.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Resource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Likely role</w:t>
            </w:r>
          </w:p>
        </w:tc>
        <w:tc>
          <w:tcPr>
            <w:tcW w:type="dxa" w:w="3408"/>
            <w:shd w:fill="D9EAF7"/>
            <w:vAlign w:val="top"/>
          </w:tcPr>
          <w:p>
            <w:pPr>
              <w:spacing w:after="40"/>
            </w:pPr>
            <w:r>
              <w:rPr>
                <w:rFonts w:ascii="Aptos" w:hAnsi="Aptos" w:eastAsia="Aptos"/>
                <w:b/>
                <w:color w:val="1F4E79"/>
                <w:sz w:val="18"/>
              </w:rPr>
            </w:r>
            <w:r>
              <w:rPr>
                <w:rFonts w:ascii="Aptos" w:hAnsi="Aptos" w:eastAsia="Aptos"/>
                <w:b/>
                <w:color w:val="1F4E79"/>
                <w:sz w:val="18"/>
              </w:rPr>
              <w:t>Capacity note</w:t>
            </w:r>
          </w:p>
        </w:tc>
      </w:tr>
      <w:tr>
        <w:tc>
          <w:tcPr>
            <w:tcW w:type="dxa" w:w="3408"/>
            <w:vAlign w:val="top"/>
          </w:tcPr>
          <w:p>
            <w:pPr>
              <w:spacing w:after="40"/>
            </w:pPr>
            <w:r>
              <w:rPr>
                <w:sz w:val="17"/>
              </w:rPr>
            </w:r>
            <w:r>
              <w:rPr>
                <w:b w:val="0"/>
                <w:sz w:val="17"/>
              </w:rPr>
              <w:t>Justin / Predictive Lines</w:t>
            </w:r>
          </w:p>
        </w:tc>
        <w:tc>
          <w:tcPr>
            <w:tcW w:type="dxa" w:w="3408"/>
            <w:vAlign w:val="top"/>
          </w:tcPr>
          <w:p>
            <w:pPr>
              <w:spacing w:after="40"/>
            </w:pPr>
            <w:r>
              <w:rPr>
                <w:sz w:val="17"/>
              </w:rPr>
            </w:r>
            <w:r>
              <w:rPr>
                <w:b w:val="0"/>
                <w:sz w:val="17"/>
              </w:rPr>
              <w:t>Roadmap owner; document/process design; Notion + OpenClaw implementation; operating-model decisions; May 11/18 working sessions.</w:t>
            </w:r>
          </w:p>
        </w:tc>
        <w:tc>
          <w:tcPr>
            <w:tcW w:type="dxa" w:w="3408"/>
            <w:vAlign w:val="top"/>
          </w:tcPr>
          <w:p>
            <w:pPr>
              <w:spacing w:after="40"/>
            </w:pPr>
            <w:r>
              <w:rPr>
                <w:sz w:val="17"/>
              </w:rPr>
            </w:r>
            <w:r>
              <w:rPr>
                <w:b w:val="0"/>
                <w:sz w:val="17"/>
              </w:rPr>
              <w:t>High through first 90 days, tapering in Year 1.</w:t>
            </w:r>
          </w:p>
        </w:tc>
      </w:tr>
      <w:tr>
        <w:tc>
          <w:tcPr>
            <w:tcW w:type="dxa" w:w="3408"/>
            <w:vAlign w:val="top"/>
          </w:tcPr>
          <w:p>
            <w:pPr>
              <w:spacing w:after="40"/>
            </w:pPr>
            <w:r>
              <w:rPr>
                <w:sz w:val="17"/>
              </w:rPr>
            </w:r>
            <w:r>
              <w:rPr>
                <w:b w:val="0"/>
                <w:sz w:val="17"/>
              </w:rPr>
              <w:t>Kevin</w:t>
            </w:r>
          </w:p>
        </w:tc>
        <w:tc>
          <w:tcPr>
            <w:tcW w:type="dxa" w:w="3408"/>
            <w:vAlign w:val="top"/>
          </w:tcPr>
          <w:p>
            <w:pPr>
              <w:spacing w:after="40"/>
            </w:pPr>
            <w:r>
              <w:rPr>
                <w:sz w:val="17"/>
              </w:rPr>
            </w:r>
            <w:r>
              <w:rPr>
                <w:b w:val="0"/>
                <w:sz w:val="17"/>
              </w:rPr>
              <w:t>Source of owner knowledge, estimating methodology, customer relationships, banking authority transition, PM/subcontractor-management discussion.</w:t>
            </w:r>
          </w:p>
        </w:tc>
        <w:tc>
          <w:tcPr>
            <w:tcW w:type="dxa" w:w="3408"/>
            <w:vAlign w:val="top"/>
          </w:tcPr>
          <w:p>
            <w:pPr>
              <w:spacing w:after="40"/>
            </w:pPr>
            <w:r>
              <w:rPr>
                <w:sz w:val="17"/>
              </w:rPr>
            </w:r>
            <w:r>
              <w:rPr>
                <w:b w:val="0"/>
                <w:sz w:val="17"/>
              </w:rPr>
              <w:t>High but must be tightly scheduled; use interviews/workshops, not open-ended asks.</w:t>
            </w:r>
          </w:p>
        </w:tc>
      </w:tr>
      <w:tr>
        <w:tc>
          <w:tcPr>
            <w:tcW w:type="dxa" w:w="3408"/>
            <w:vAlign w:val="top"/>
          </w:tcPr>
          <w:p>
            <w:pPr>
              <w:spacing w:after="40"/>
            </w:pPr>
            <w:r>
              <w:rPr>
                <w:sz w:val="17"/>
              </w:rPr>
            </w:r>
            <w:r>
              <w:rPr>
                <w:b w:val="0"/>
                <w:sz w:val="17"/>
              </w:rPr>
              <w:t>Jaclyn</w:t>
            </w:r>
          </w:p>
        </w:tc>
        <w:tc>
          <w:tcPr>
            <w:tcW w:type="dxa" w:w="3408"/>
            <w:vAlign w:val="top"/>
          </w:tcPr>
          <w:p>
            <w:pPr>
              <w:spacing w:after="40"/>
            </w:pPr>
            <w:r>
              <w:rPr>
                <w:sz w:val="17"/>
              </w:rPr>
            </w:r>
            <w:r>
              <w:rPr>
                <w:b w:val="0"/>
                <w:sz w:val="17"/>
              </w:rPr>
              <w:t>Finance/control environment, QBO/payroll migration decisions, reporting cadence, approval authority, vendor/payment controls.</w:t>
            </w:r>
          </w:p>
        </w:tc>
        <w:tc>
          <w:tcPr>
            <w:tcW w:type="dxa" w:w="3408"/>
            <w:vAlign w:val="top"/>
          </w:tcPr>
          <w:p>
            <w:pPr>
              <w:spacing w:after="40"/>
            </w:pPr>
            <w:r>
              <w:rPr>
                <w:sz w:val="17"/>
              </w:rPr>
            </w:r>
            <w:r>
              <w:rPr>
                <w:b w:val="0"/>
                <w:sz w:val="17"/>
              </w:rPr>
              <w:t>Moderate; spikes around finance migration and internal controls.</w:t>
            </w:r>
          </w:p>
        </w:tc>
      </w:tr>
      <w:tr>
        <w:tc>
          <w:tcPr>
            <w:tcW w:type="dxa" w:w="3408"/>
            <w:vAlign w:val="top"/>
          </w:tcPr>
          <w:p>
            <w:pPr>
              <w:spacing w:after="40"/>
            </w:pPr>
            <w:r>
              <w:rPr>
                <w:sz w:val="17"/>
              </w:rPr>
            </w:r>
            <w:r>
              <w:rPr>
                <w:b w:val="0"/>
                <w:sz w:val="17"/>
              </w:rPr>
              <w:t>AT&amp;C</w:t>
            </w:r>
          </w:p>
        </w:tc>
        <w:tc>
          <w:tcPr>
            <w:tcW w:type="dxa" w:w="3408"/>
            <w:vAlign w:val="top"/>
          </w:tcPr>
          <w:p>
            <w:pPr>
              <w:spacing w:after="40"/>
            </w:pPr>
            <w:r>
              <w:rPr>
                <w:sz w:val="17"/>
              </w:rPr>
            </w:r>
            <w:r>
              <w:rPr>
                <w:b w:val="0"/>
                <w:sz w:val="17"/>
              </w:rPr>
              <w:t>UIA reconstruction, payroll/tax support, QuickBooks transition support, chart-of-accounts cleanup.</w:t>
            </w:r>
          </w:p>
        </w:tc>
        <w:tc>
          <w:tcPr>
            <w:tcW w:type="dxa" w:w="3408"/>
            <w:vAlign w:val="top"/>
          </w:tcPr>
          <w:p>
            <w:pPr>
              <w:spacing w:after="40"/>
            </w:pPr>
            <w:r>
              <w:rPr>
                <w:sz w:val="17"/>
              </w:rPr>
            </w:r>
            <w:r>
              <w:rPr>
                <w:b w:val="0"/>
                <w:sz w:val="17"/>
              </w:rPr>
              <w:t>Moderate; external dependency and possible bottleneck.</w:t>
            </w:r>
          </w:p>
        </w:tc>
      </w:tr>
      <w:tr>
        <w:tc>
          <w:tcPr>
            <w:tcW w:type="dxa" w:w="3408"/>
            <w:vAlign w:val="top"/>
          </w:tcPr>
          <w:p>
            <w:pPr>
              <w:spacing w:after="40"/>
            </w:pPr>
            <w:r>
              <w:rPr>
                <w:sz w:val="17"/>
              </w:rPr>
            </w:r>
            <w:r>
              <w:rPr>
                <w:b w:val="0"/>
                <w:sz w:val="17"/>
              </w:rPr>
              <w:t>External vendors</w:t>
            </w:r>
          </w:p>
        </w:tc>
        <w:tc>
          <w:tcPr>
            <w:tcW w:type="dxa" w:w="3408"/>
            <w:vAlign w:val="top"/>
          </w:tcPr>
          <w:p>
            <w:pPr>
              <w:spacing w:after="40"/>
            </w:pPr>
            <w:r>
              <w:rPr>
                <w:sz w:val="17"/>
              </w:rPr>
            </w:r>
            <w:r>
              <w:rPr>
                <w:b w:val="0"/>
                <w:sz w:val="17"/>
              </w:rPr>
              <w:t>Lee Init / IT, Gauthier Insurance, StangDS, potential ITM platform vendor, possible HR/payroll support.</w:t>
            </w:r>
          </w:p>
        </w:tc>
        <w:tc>
          <w:tcPr>
            <w:tcW w:type="dxa" w:w="3408"/>
            <w:vAlign w:val="top"/>
          </w:tcPr>
          <w:p>
            <w:pPr>
              <w:spacing w:after="40"/>
            </w:pPr>
            <w:r>
              <w:rPr>
                <w:sz w:val="17"/>
              </w:rPr>
            </w:r>
            <w:r>
              <w:rPr>
                <w:b w:val="0"/>
                <w:sz w:val="17"/>
              </w:rPr>
              <w:t>Use where specialized capacity prevents Justin/Kevin bottlenecks.</w:t>
            </w:r>
          </w:p>
        </w:tc>
      </w:tr>
    </w:tbl>
    <w:p>
      <w:pPr>
        <w:pStyle w:val="Heading1"/>
      </w:pPr>
      <w:r>
        <w:rPr>
          <w:rFonts w:ascii="Aptos Display" w:hAnsi="Aptos Display" w:eastAsia="Aptos Display"/>
          <w:b/>
          <w:color w:val="1F4E79"/>
          <w:sz w:val="28"/>
        </w:rPr>
        <w:t>5. Workstream-Aligned Remediation Plans</w:t>
      </w:r>
    </w:p>
    <w:p>
      <w:r>
        <w:rPr>
          <w:rFonts w:ascii="Aptos" w:hAnsi="Aptos" w:eastAsia="Aptos"/>
          <w:b w:val="0"/>
          <w:sz w:val="20"/>
        </w:rPr>
        <w:t>Each entry below should stay short and action-shaped. The format deliberately avoids re-stating the diagnostic prose from the gap analysis. The diagnosis lives there; this section should answer: who owns it, what depends on it, how we know it is done, and what happens next.</w:t>
      </w:r>
    </w:p>
    <w:p>
      <w:pPr>
        <w:pStyle w:val="Heading2"/>
      </w:pPr>
      <w:r>
        <w:rPr>
          <w:rFonts w:ascii="Aptos Display" w:hAnsi="Aptos Display" w:eastAsia="Aptos Display"/>
          <w:b/>
          <w:color w:val="1F4E79"/>
          <w:sz w:val="24"/>
        </w:rPr>
        <w:t>5.1 Financial Operations &amp; Controls</w:t>
      </w:r>
    </w:p>
    <w:p>
      <w:pPr>
        <w:pStyle w:val="Heading3"/>
      </w:pPr>
      <w:r>
        <w:rPr>
          <w:rFonts w:ascii="Aptos Display" w:hAnsi="Aptos Display" w:eastAsia="Aptos Display"/>
          <w:b/>
          <w:color w:val="5B9BD5"/>
          <w:sz w:val="22"/>
        </w:rPr>
        <w:t>Finding #1 — Banking Signature-Stamp Practice (Critical)</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Sunsets at Betty's mid-May 2026 retirement and the buy-in; spending-authority tiers and dual-control thresholds being pulled forward from the existing operating agreement into the new shareholders' agreement at close.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 — Missing Federal &amp; State New-Hire Forms (Form I-9, W-4, MI-W4) (Critical)</w:t>
      </w:r>
    </w:p>
    <w:p>
      <w:r>
        <w:rPr>
          <w:rFonts w:ascii="Aptos" w:hAnsi="Aptos" w:eastAsia="Aptos"/>
          <w:b/>
          <w:sz w:val="20"/>
        </w:rPr>
        <w:t xml:space="preserve">Cross-reference: </w:t>
      </w:r>
      <w:r>
        <w:rPr>
          <w:rFonts w:ascii="Aptos" w:hAnsi="Aptos" w:eastAsia="Aptos"/>
          <w:b w:val="0"/>
          <w:sz w:val="20"/>
        </w:rPr>
        <w:t>Gap Analysis §3.1; Current-State §2.4</w:t>
      </w:r>
    </w:p>
    <w:p>
      <w:r>
        <w:rPr>
          <w:rFonts w:ascii="Aptos" w:hAnsi="Aptos" w:eastAsia="Aptos"/>
          <w:b/>
          <w:sz w:val="20"/>
        </w:rPr>
        <w:t xml:space="preserve">Status: </w:t>
      </w:r>
      <w:r>
        <w:rPr>
          <w:rFonts w:ascii="Aptos" w:hAnsi="Aptos" w:eastAsia="Aptos"/>
          <w:b w:val="0"/>
          <w:sz w:val="20"/>
        </w:rPr>
        <w:t>Scheduled — Workforce-wide audit and replacement-form collection on the May 11 on-site agenda; the New Employee Onboarding Checklist (Notion) is the standing process for new hires going forward.</w:t>
      </w:r>
    </w:p>
    <w:p>
      <w:r>
        <w:rPr>
          <w:rFonts w:ascii="Aptos" w:hAnsi="Aptos" w:eastAsia="Aptos"/>
          <w:b/>
          <w:sz w:val="20"/>
        </w:rPr>
        <w:t xml:space="preserve">Owner: </w:t>
      </w:r>
      <w:r>
        <w:rPr>
          <w:rFonts w:ascii="Aptos" w:hAnsi="Aptos" w:eastAsia="Aptos"/>
          <w:b w:val="0"/>
          <w:sz w:val="20"/>
        </w:rPr>
        <w:t>Justin / Krissy, with Kevin support as needed</w:t>
      </w:r>
    </w:p>
    <w:p>
      <w:r>
        <w:rPr>
          <w:rFonts w:ascii="Aptos" w:hAnsi="Aptos" w:eastAsia="Aptos"/>
          <w:b/>
          <w:sz w:val="20"/>
        </w:rPr>
        <w:t xml:space="preserve">Sequence: </w:t>
      </w:r>
      <w:r>
        <w:rPr>
          <w:rFonts w:ascii="Aptos" w:hAnsi="Aptos" w:eastAsia="Aptos"/>
          <w:b w:val="0"/>
          <w:sz w:val="20"/>
        </w:rPr>
        <w:t>Pre-close scheduled item; feeds the standing new-hire onboarding process and employee-records cleanup.</w:t>
      </w:r>
    </w:p>
    <w:p>
      <w:r>
        <w:rPr>
          <w:rFonts w:ascii="Aptos" w:hAnsi="Aptos" w:eastAsia="Aptos"/>
          <w:b/>
          <w:sz w:val="20"/>
        </w:rPr>
        <w:t xml:space="preserve">Success Criteria: </w:t>
      </w:r>
      <w:r>
        <w:rPr>
          <w:rFonts w:ascii="Aptos" w:hAnsi="Aptos" w:eastAsia="Aptos"/>
          <w:b w:val="0"/>
          <w:sz w:val="20"/>
        </w:rPr>
        <w:t>For every current employee, either a complete I-9, W-4, and MI-W4 is located and filed, or replacement forms are collected and retained in the employee record. The New Employee Onboarding Checklist becomes the forward process so the gap does not recur.</w:t>
      </w:r>
    </w:p>
    <w:p>
      <w:r>
        <w:rPr>
          <w:rFonts w:ascii="Aptos" w:hAnsi="Aptos" w:eastAsia="Aptos"/>
          <w:b/>
          <w:sz w:val="20"/>
        </w:rPr>
        <w:t xml:space="preserve">Estimated Effort: </w:t>
      </w:r>
      <w:r>
        <w:rPr>
          <w:rFonts w:ascii="Aptos" w:hAnsi="Aptos" w:eastAsia="Aptos"/>
          <w:b w:val="0"/>
          <w:sz w:val="20"/>
        </w:rPr>
        <w:t>Low to moderate; one focused office audit plus employee follow-up for missing forms.</w:t>
      </w:r>
    </w:p>
    <w:p>
      <w:r>
        <w:rPr>
          <w:rFonts w:ascii="Aptos" w:hAnsi="Aptos" w:eastAsia="Aptos"/>
          <w:b/>
          <w:sz w:val="20"/>
        </w:rPr>
        <w:t xml:space="preserve">Milestones: </w:t>
      </w:r>
      <w:r>
        <w:rPr>
          <w:rFonts w:ascii="Aptos" w:hAnsi="Aptos" w:eastAsia="Aptos"/>
          <w:b w:val="0"/>
          <w:sz w:val="20"/>
        </w:rPr>
        <w:t>May 11 on-site: audit existing files and identify gaps. Week of May 11: collect replacements. Post-close: spot-check onboarding checklist against next new hire.</w:t>
      </w:r>
    </w:p>
    <w:p>
      <w:r>
        <w:rPr>
          <w:rFonts w:ascii="Aptos" w:hAnsi="Aptos" w:eastAsia="Aptos"/>
          <w:b/>
          <w:sz w:val="20"/>
        </w:rPr>
        <w:t xml:space="preserve">Open Questions: </w:t>
      </w:r>
      <w:r>
        <w:rPr>
          <w:rFonts w:ascii="Aptos" w:hAnsi="Aptos" w:eastAsia="Aptos"/>
          <w:b w:val="0"/>
          <w:sz w:val="20"/>
        </w:rPr>
        <w:t>Confirm where employee files will live long-term: Paperless / controlled Drive / M365 / other canonical repository.</w:t>
      </w:r>
    </w:p>
    <w:p>
      <w:pPr>
        <w:pStyle w:val="Heading3"/>
      </w:pPr>
      <w:r>
        <w:rPr>
          <w:rFonts w:ascii="Aptos Display" w:hAnsi="Aptos Display" w:eastAsia="Aptos Display"/>
          <w:b/>
          <w:color w:val="5B9BD5"/>
          <w:sz w:val="22"/>
        </w:rPr>
        <w:t>Finding #3 — Internal Controls &amp; Segregation of Duties (High)</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Deal Mechanics — Same path as Finding #1; spending-authority tiers and dual-control thresholds formalized in the new shareholders' agreement at buy-in.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 — Stale Accounts Receivable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recommend folding into the broader chart-of-accounts and AR cleanup pass scheduled for Year 1.</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#5 — Chart of Accounts — Expense-Side Structure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so the expense hierarchy is restructured once rather than twice.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#6 — Revenue-Side Segmentation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cleanup item; paired with the QuickBooks Desktop → QuickBooks Online migration to introduce installation-vs-service and new-construction-vs-renovation revenue accounts.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#7 — QuickBooks Customer Master Data Quality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In Flight — The Customers database in EFP Job Tracking (Notion) is the target canonical store; QuickBooks-side reconciliation in flight as part of the QB Desktop → QB Online migration.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#8 — Certified Payroll — Tooling &amp; Data-Structure Gap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val="0"/>
          <w:sz w:val="20"/>
        </w:rPr>
        <w:t>Status: Scheduled — QuickBooks Desktop → QuickBooks Online with QuickBooks Payroll migration, paired with a digital timecard submission path. Phase 1 may be as simple as emailed/texted photos of handwritten timesheets; later phases can evaluate QBO Time, Workyard, busybusy, ExakTime, or another field-labor system depending on union payroll, certified payroll, job-costing, and crew-adoption requirements.</w:t>
      </w:r>
    </w:p>
    <w:p>
      <w:r>
        <w:rPr>
          <w:rFonts w:ascii="Aptos" w:hAnsi="Aptos" w:eastAsia="Aptos"/>
          <w:b w:val="0"/>
          <w:sz w:val="20"/>
        </w:rPr>
        <w:t>Owner: To confirm during Kevin / Justin review.</w:t>
      </w:r>
    </w:p>
    <w:p>
      <w:r>
        <w:rPr>
          <w:rFonts w:ascii="Aptos" w:hAnsi="Aptos" w:eastAsia="Aptos"/>
          <w:b w:val="0"/>
          <w:sz w:val="20"/>
        </w:rPr>
        <w:t>Sequence: Do not wait for the final payroll platform to improve capture. First standardize submission timing and required fields; then align the durable tool decision with the QBO/payroll migration and job-costing design.</w:t>
      </w:r>
    </w:p>
    <w:p>
      <w:r>
        <w:rPr>
          <w:rFonts w:ascii="Aptos" w:hAnsi="Aptos" w:eastAsia="Aptos"/>
          <w:b w:val="0"/>
          <w:sz w:val="20"/>
        </w:rPr>
        <w:t>Success Criteria: Time is submitted on schedule, legible, retained, and attributable by employee/job/work type; payroll can be processed without chasing paper; certified payroll and job-costing data can be produced from the same source of truth or a controlled reconciliation.</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#9 — Certificate of Insurance Tracking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Year-1 item; candidate to fold into the consolidated compliance / training / certification calendar that the HR agent is building under Finding #23.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#10 — Budgeting, Forecasting &amp; Management Reporting (Medium)</w:t>
      </w:r>
    </w:p>
    <w:p>
      <w:r>
        <w:rPr>
          <w:rFonts w:ascii="Aptos" w:hAnsi="Aptos" w:eastAsia="Aptos"/>
          <w:b/>
          <w:sz w:val="20"/>
        </w:rPr>
        <w:t xml:space="preserve">Cross-reference: </w:t>
      </w:r>
      <w:r>
        <w:rPr>
          <w:rFonts w:ascii="Aptos" w:hAnsi="Aptos" w:eastAsia="Aptos"/>
          <w:b w:val="0"/>
          <w:sz w:val="20"/>
        </w:rPr>
        <w:t>Gap Analysis §3.1; Current-State §2.1</w:t>
      </w:r>
    </w:p>
    <w:p>
      <w:r>
        <w:rPr>
          <w:rFonts w:ascii="Aptos" w:hAnsi="Aptos" w:eastAsia="Aptos"/>
          <w:b/>
          <w:sz w:val="20"/>
        </w:rPr>
        <w:t xml:space="preserve">Status: </w:t>
      </w:r>
      <w:r>
        <w:rPr>
          <w:rFonts w:ascii="Aptos" w:hAnsi="Aptos" w:eastAsia="Aptos"/>
          <w:b w:val="0"/>
          <w:sz w:val="20"/>
        </w:rPr>
        <w:t>Open — No modernization workstream yet; baseline forecasting exists in the three-year business plan model that informed the SBA package, but a recurring management-reporting cadence is not yet defined.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5.2 Revenue Generation &amp; Customer Management</w:t>
      </w:r>
    </w:p>
    <w:p>
      <w:pPr>
        <w:pStyle w:val="Heading3"/>
      </w:pPr>
      <w:r>
        <w:rPr>
          <w:rFonts w:ascii="Aptos Display" w:hAnsi="Aptos Display" w:eastAsia="Aptos Display"/>
          <w:b/>
          <w:color w:val="5B9BD5"/>
          <w:sz w:val="22"/>
        </w:rPr>
        <w:t>Finding #11 — Estimating Methodology Not Documented (High)</w:t>
      </w:r>
    </w:p>
    <w:p>
      <w:r>
        <w:rPr>
          <w:rFonts w:ascii="Aptos" w:hAnsi="Aptos" w:eastAsia="Aptos"/>
          <w:b/>
          <w:sz w:val="20"/>
        </w:rPr>
        <w:t xml:space="preserve">Cross-reference: </w:t>
      </w:r>
      <w:r>
        <w:rPr>
          <w:rFonts w:ascii="Aptos" w:hAnsi="Aptos" w:eastAsia="Aptos"/>
          <w:b w:val="0"/>
          <w:sz w:val="20"/>
        </w:rPr>
        <w:t>Gap Analysis §3.2; Current-State §2.2</w:t>
      </w:r>
    </w:p>
    <w:p>
      <w:r>
        <w:t>Status: Scheduled — Focus weeks of May 11 and May 18; success criterion is a documented process that can be followed without Kevin or Keith’s assistance. The draft should capture Keith’s current head-count, pipe-per-head, and heads-per-day labor heuristics and benchmark them against Scott’s more modern shop if the Wisconsin visit occurs.</w:t>
      </w:r>
    </w:p>
    <w:p>
      <w:r>
        <w:rPr>
          <w:rFonts w:ascii="Aptos" w:hAnsi="Aptos" w:eastAsia="Aptos"/>
          <w:b/>
          <w:sz w:val="20"/>
        </w:rPr>
        <w:t xml:space="preserve">Owner: </w:t>
      </w:r>
      <w:r>
        <w:rPr>
          <w:rFonts w:ascii="Aptos" w:hAnsi="Aptos" w:eastAsia="Aptos"/>
          <w:b w:val="0"/>
          <w:sz w:val="20"/>
        </w:rPr>
        <w:t>Justin + Kevin, with Keith input and Scott benchmarking input if the Wisconsin visit occurs.</w:t>
      </w:r>
    </w:p>
    <w:p>
      <w:r>
        <w:rPr>
          <w:rFonts w:ascii="Aptos" w:hAnsi="Aptos" w:eastAsia="Aptos"/>
          <w:b/>
          <w:sz w:val="20"/>
        </w:rPr>
        <w:t xml:space="preserve">Sequence: </w:t>
      </w:r>
      <w:r>
        <w:rPr>
          <w:rFonts w:ascii="Aptos" w:hAnsi="Aptos" w:eastAsia="Aptos"/>
          <w:b w:val="0"/>
          <w:sz w:val="20"/>
        </w:rPr>
        <w:t>Highest-leverage owner-knowledge capture item. Should happen before broader sales process or estimating delegation decisions.</w:t>
      </w:r>
    </w:p>
    <w:p>
      <w:r>
        <w:t>Success Criteria: A documented estimating process exists that can be followed without Kevin or Keith’s assistance, including: plan review inputs; sprinkler head count from space/layout; material buildup by head count, pipe size, and Keith’s approximate 15-feet-of-pipe-per-head rule of thumb; labor buildup using approximately five heads installed per person per day; subcontractor/material inputs; material-suitability review against system type, pipe size, and job conditions (including whether specifications such as Schedule 40 steel pipe are actually required); markup/contingency logic; Kevin review/approval points; and examples from recent bids.</w:t>
      </w:r>
    </w:p>
    <w:p>
      <w:r>
        <w:rPr>
          <w:rFonts w:ascii="Aptos" w:hAnsi="Aptos" w:eastAsia="Aptos"/>
          <w:b/>
          <w:sz w:val="20"/>
        </w:rPr>
        <w:t xml:space="preserve">Estimated Effort: </w:t>
      </w:r>
      <w:r>
        <w:rPr>
          <w:rFonts w:ascii="Aptos" w:hAnsi="Aptos" w:eastAsia="Aptos"/>
          <w:b w:val="0"/>
          <w:sz w:val="20"/>
        </w:rPr>
        <w:t>Moderate to high; two working sessions plus one test pass by someone other than Kevin/Keith.</w:t>
      </w:r>
    </w:p>
    <w:p>
      <w:r>
        <w:t>Milestones: Week of May 11: map Keith’s current method and collect example estimates, including head-count assumptions, pipe-size/material assumptions, 15-feet-per-head rule of thumb, five-heads-per-person-per-day labor assumption, and observed Kevin review checks such as Schedule 40 steel pipe suitability. Week of May 18: draft v0 and test against one historical job. Follow-up: revise based on test failure points and decide whether to build a controlled estimating calculator/template.</w:t>
      </w:r>
    </w:p>
    <w:p>
      <w:r>
        <w:t>Open Questions: Decide whether the first version should be a Word/Notion SOP only, or include spreadsheet templates / calculators as controlled artifacts. Confirm when Kevin materially adjusts Keith’s estimate versus simply reviewing it, and document the technical review thresholds for materials suitability, pipe schedule, system type, and job-specific conditions.</w:t>
      </w:r>
    </w:p>
    <w:p>
      <w:pPr>
        <w:pStyle w:val="Heading3"/>
      </w:pPr>
      <w:r>
        <w:rPr>
          <w:rFonts w:ascii="Aptos Display" w:hAnsi="Aptos Display" w:eastAsia="Aptos Display"/>
          <w:b/>
          <w:color w:val="5B9BD5"/>
          <w:sz w:val="22"/>
        </w:rPr>
        <w:t>Finding #12 — Absence of Standing Inspection Service Agreements (High)</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Depends on Finding #6 (inspection-delivery hire decision); MSA template development begins after the delivery model is decided.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#13 — Declining Inspection Volume &amp; Competitive Consolidation Risk (High)</w:t>
      </w:r>
    </w:p>
    <w:p>
      <w:r>
        <w:rPr>
          <w:rFonts w:ascii="Aptos" w:hAnsi="Aptos" w:eastAsia="Aptos"/>
          <w:b/>
          <w:sz w:val="20"/>
        </w:rPr>
        <w:t xml:space="preserve">Cross-reference: </w:t>
      </w:r>
      <w:r>
        <w:rPr>
          <w:rFonts w:ascii="Aptos" w:hAnsi="Aptos" w:eastAsia="Aptos"/>
          <w:b w:val="0"/>
          <w:sz w:val="20"/>
        </w:rPr>
        <w:t>Gap Analysis §3.2; Current-State §2.3</w:t>
      </w:r>
    </w:p>
    <w:p>
      <w:r>
        <w:rPr>
          <w:rFonts w:ascii="Aptos" w:hAnsi="Aptos" w:eastAsia="Aptos"/>
          <w:b/>
          <w:sz w:val="20"/>
        </w:rPr>
        <w:t xml:space="preserve">Status: </w:t>
      </w:r>
      <w:r>
        <w:rPr>
          <w:rFonts w:ascii="Aptos" w:hAnsi="Aptos" w:eastAsia="Aptos"/>
          <w:b w:val="0"/>
          <w:sz w:val="20"/>
        </w:rPr>
        <w:t>Open — Strategic context exists in the UP Michigan Fire Protection Market Analysis (Notion); no defensive product offering or customer-conversion plan in motion. Trade Organization Membership Plan in Notion is an adjacent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#14 — No CRM or Pipeline System (Medium)</w:t>
      </w:r>
    </w:p>
    <w:p>
      <w:r>
        <w:rPr>
          <w:rFonts w:ascii="Aptos" w:hAnsi="Aptos" w:eastAsia="Aptos"/>
          <w:b/>
          <w:sz w:val="20"/>
        </w:rPr>
        <w:t xml:space="preserve">Cross-reference: </w:t>
      </w:r>
      <w:r>
        <w:rPr>
          <w:rFonts w:ascii="Aptos" w:hAnsi="Aptos" w:eastAsia="Aptos"/>
          <w:b w:val="0"/>
          <w:sz w:val="20"/>
        </w:rPr>
        <w:t>Gap Analysis §3.2; Current-State §2.2</w:t>
      </w:r>
    </w:p>
    <w:p>
      <w:r>
        <w:rPr>
          <w:rFonts w:ascii="Aptos" w:hAnsi="Aptos" w:eastAsia="Aptos"/>
          <w:b/>
          <w:sz w:val="20"/>
        </w:rPr>
        <w:t xml:space="preserve">Status: </w:t>
      </w:r>
      <w:r>
        <w:rPr>
          <w:rFonts w:ascii="Aptos" w:hAnsi="Aptos" w:eastAsia="Aptos"/>
          <w:b w:val="0"/>
          <w:sz w:val="20"/>
        </w:rPr>
        <w:t>Sequenced — Customers database in EFP Job Tracking provides the foundation; full CRM/pipeline functionality follows the inspection-line and PM workstream decisions.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#15 — Declined Inspection-Adjacent Inbound Service Volume (Revenue Leakage) (Medium)</w:t>
      </w:r>
    </w:p>
    <w:p>
      <w:r>
        <w:rPr>
          <w:rFonts w:ascii="Aptos" w:hAnsi="Aptos" w:eastAsia="Aptos"/>
          <w:b/>
          <w:sz w:val="20"/>
        </w:rPr>
        <w:t xml:space="preserve">Cross-reference: </w:t>
      </w:r>
      <w:r>
        <w:rPr>
          <w:rFonts w:ascii="Aptos" w:hAnsi="Aptos" w:eastAsia="Aptos"/>
          <w:b w:val="0"/>
          <w:sz w:val="20"/>
        </w:rPr>
        <w:t>Gap Analysis §3.2; Current-State §2.2 / 2.3</w:t>
      </w:r>
    </w:p>
    <w:p>
      <w:r>
        <w:rPr>
          <w:rFonts w:ascii="Aptos" w:hAnsi="Aptos" w:eastAsia="Aptos"/>
          <w:b/>
          <w:sz w:val="20"/>
        </w:rPr>
        <w:t xml:space="preserve">Status: </w:t>
      </w:r>
      <w:r>
        <w:rPr>
          <w:rFonts w:ascii="Aptos" w:hAnsi="Aptos" w:eastAsia="Aptos"/>
          <w:b w:val="0"/>
          <w:sz w:val="20"/>
        </w:rPr>
        <w:t>Open — Measurement gap; lightweight intake-logging at the front desk would unlock the service-line decision. Sister-company fire extinguisher service concept (agent memory) is a partial defensive move.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5.3 Project Delivery &amp; Operations</w:t>
      </w:r>
    </w:p>
    <w:p>
      <w:pPr>
        <w:pStyle w:val="Heading3"/>
      </w:pPr>
      <w:r>
        <w:rPr>
          <w:rFonts w:ascii="Aptos Display" w:hAnsi="Aptos Display" w:eastAsia="Aptos Display"/>
          <w:b/>
          <w:color w:val="5B9BD5"/>
          <w:sz w:val="22"/>
        </w:rPr>
        <w:t>Finding #16 — Inspection Delivery Concentration — Single Point of Failure (Critical)</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Mitigation depends on the inspection-delivery hire decision (internal Konner promotion vs. external NFPA-25 hire); cross-training plan defined post-decision. Strategic conversation seeded on the May 11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#17 — Field-to-Office Communication Gap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Field Crew Communication Architecture (Quo + Notion + OpenClaw) in pilot; the four live Job Tracking databases (Installation Jobs, Inspection Jobs, Billing Log, Change Orders) provide the office-side structure. Add explicit daily job site reporting/photo documentation and digital timecard submission workstreams so field communication produces usable project, payroll, job-costing, and billing evidence.</w:t>
      </w:r>
    </w:p>
    <w:p>
      <w:r>
        <w:rPr>
          <w:rFonts w:ascii="Aptos" w:hAnsi="Aptos" w:eastAsia="Aptos"/>
          <w:b w:val="0"/>
          <w:sz w:val="20"/>
        </w:rPr>
        <w:t>Owner: To confirm during Kevin / Justin review.</w:t>
      </w:r>
    </w:p>
    <w:p>
      <w:r>
        <w:rPr>
          <w:rFonts w:ascii="Aptos" w:hAnsi="Aptos" w:eastAsia="Aptos"/>
          <w:b w:val="0"/>
          <w:sz w:val="20"/>
        </w:rPr>
        <w:t>Sequence: Start with the lowest-friction capture method immediately (photo/email/text submissions for timecards; daily photo/report habit by foreman or crew lead), then select a durable tool once field adoption, union payroll requirements, QBO migration timing, and job-costing data needs are confirmed.</w:t>
      </w:r>
    </w:p>
    <w:p>
      <w:r>
        <w:rPr>
          <w:rFonts w:ascii="Aptos" w:hAnsi="Aptos" w:eastAsia="Aptos"/>
          <w:b w:val="0"/>
          <w:sz w:val="20"/>
        </w:rPr>
        <w:t>Success Criteria: Every active job has a daily field record containing photos or notes sufficient to understand manpower, work completed, blockers, safety issues, inspection readiness, and billing/change-order implications; every payroll period has time submitted in a format that can be tied back to employee, job, cost code/category, and payroll processing.</w:t>
      </w:r>
    </w:p>
    <w:p>
      <w:r>
        <w:rPr>
          <w:rFonts w:ascii="Aptos" w:hAnsi="Aptos" w:eastAsia="Aptos"/>
          <w:b w:val="0"/>
          <w:sz w:val="20"/>
        </w:rPr>
        <w:t>Estimated Effort: Moderate. Phase 1 is process design and adoption management; Phase 2 may require vendor selection, device policy decisions, QBO/payroll integration, and field training.</w:t>
      </w:r>
    </w:p>
    <w:p>
      <w:r>
        <w:rPr>
          <w:rFonts w:ascii="Aptos" w:hAnsi="Aptos" w:eastAsia="Aptos"/>
          <w:b w:val="0"/>
          <w:sz w:val="20"/>
        </w:rPr>
        <w:t>Milestones: 0–30 days: pilot daily reporting and photo/timecard submission on a small number of jobs. 0–90 days: decide whether CompanyCam/QBO Time/Workyard/busybusy/ExakTime or a lighter-weight workflow is the right permanent fit. Year 1: integrate with payroll, job costing, and billing/WIP reporting.</w:t>
      </w:r>
    </w:p>
    <w:p>
      <w:r>
        <w:rPr>
          <w:rFonts w:ascii="Aptos" w:hAnsi="Aptos" w:eastAsia="Aptos"/>
          <w:b w:val="0"/>
          <w:sz w:val="20"/>
        </w:rPr>
        <w:t>Open Questions: Which field employees should submit daily reports; whether company phones are required; how to handle union/certified payroll data; whether the reporting tool must integrate with QuickBooks/Notion or can operate as a standalone evidence repository.</w:t>
      </w:r>
    </w:p>
    <w:p>
      <w:pPr>
        <w:pStyle w:val="Heading3"/>
      </w:pPr>
      <w:r>
        <w:rPr>
          <w:rFonts w:ascii="Aptos Display" w:hAnsi="Aptos Display" w:eastAsia="Aptos Display"/>
          <w:b/>
          <w:color w:val="5B9BD5"/>
          <w:sz w:val="22"/>
        </w:rPr>
        <w:t>Finding #18 — Safety Program (High)</w:t>
      </w:r>
    </w:p>
    <w:p>
      <w:r>
        <w:rPr>
          <w:rFonts w:ascii="Aptos" w:hAnsi="Aptos" w:eastAsia="Aptos"/>
          <w:b/>
          <w:sz w:val="20"/>
        </w:rPr>
        <w:t xml:space="preserve">Cross-reference: </w:t>
      </w:r>
      <w:r>
        <w:rPr>
          <w:rFonts w:ascii="Aptos" w:hAnsi="Aptos" w:eastAsia="Aptos"/>
          <w:b w:val="0"/>
          <w:sz w:val="20"/>
        </w:rPr>
        <w:t>Gap Analysis §3.3; Current-State §2.3 / 2.6</w:t>
      </w:r>
    </w:p>
    <w:p>
      <w:r>
        <w:rPr>
          <w:rFonts w:ascii="Aptos" w:hAnsi="Aptos" w:eastAsia="Aptos"/>
          <w:b/>
          <w:sz w:val="20"/>
        </w:rPr>
        <w:t xml:space="preserve">Status: </w:t>
      </w:r>
      <w:r>
        <w:rPr>
          <w:rFonts w:ascii="Aptos" w:hAnsi="Aptos" w:eastAsia="Aptos"/>
          <w:b w:val="0"/>
          <w:sz w:val="20"/>
        </w:rPr>
        <w:t>In Flight — Under the HR agent in the modernization effort, including a standing safety calendar — the piece that's missing in the current state. New Employee Onboarding Checklist owns the at-hire MIOSHA orientation.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#19 — Project Management &amp; Subcontractor Management — GC-Seat Exposure (High)</w:t>
      </w:r>
    </w:p>
    <w:p>
      <w:r>
        <w:rPr>
          <w:rFonts w:ascii="Aptos" w:hAnsi="Aptos" w:eastAsia="Aptos"/>
          <w:b/>
          <w:sz w:val="20"/>
        </w:rPr>
        <w:t xml:space="preserve">Cross-reference: </w:t>
      </w:r>
      <w:r>
        <w:rPr>
          <w:rFonts w:ascii="Aptos" w:hAnsi="Aptos" w:eastAsia="Aptos"/>
          <w:b w:val="0"/>
          <w:sz w:val="20"/>
        </w:rPr>
        <w:t>Gap Analysis §3.3; Current-State §2.3 / 2.5</w:t>
      </w:r>
    </w:p>
    <w:p>
      <w:r>
        <w:rPr>
          <w:rFonts w:ascii="Aptos" w:hAnsi="Aptos" w:eastAsia="Aptos"/>
          <w:b/>
          <w:sz w:val="20"/>
        </w:rPr>
        <w:t xml:space="preserve">Status: </w:t>
      </w:r>
      <w:r>
        <w:rPr>
          <w:rFonts w:ascii="Aptos" w:hAnsi="Aptos" w:eastAsia="Aptos"/>
          <w:b w:val="0"/>
          <w:sz w:val="20"/>
        </w:rPr>
        <w:t>Scheduled — Kevin/Justin working session on the May 11 on-site, anchored by the EMP / Advanced Products case.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#20 — Absence of Written QA/QC Program (High)</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No modernization workstream yet; ownership question to be surfaced on the May 11 trip. The most material un-anchored High finding.</w:t>
      </w:r>
    </w:p>
    <w:p>
      <w:r>
        <w:rPr>
          <w:rFonts w:ascii="Aptos" w:hAnsi="Aptos" w:eastAsia="Aptos"/>
          <w:b/>
          <w:sz w:val="20"/>
        </w:rPr>
        <w:t xml:space="preserve">Owner: </w:t>
      </w:r>
      <w:r>
        <w:rPr>
          <w:rFonts w:ascii="Aptos" w:hAnsi="Aptos" w:eastAsia="Aptos"/>
          <w:b w:val="0"/>
          <w:sz w:val="20"/>
        </w:rPr>
        <w:t>Not yet assigned; likely Justin + Keith/Kevin initially, then inspection/project delivery owner once named.</w:t>
      </w:r>
    </w:p>
    <w:p>
      <w:r>
        <w:rPr>
          <w:rFonts w:ascii="Aptos" w:hAnsi="Aptos" w:eastAsia="Aptos"/>
          <w:b/>
          <w:sz w:val="20"/>
        </w:rPr>
        <w:t xml:space="preserve">Sequence: </w:t>
      </w:r>
      <w:r>
        <w:rPr>
          <w:rFonts w:ascii="Aptos" w:hAnsi="Aptos" w:eastAsia="Aptos"/>
          <w:b w:val="0"/>
          <w:sz w:val="20"/>
        </w:rPr>
        <w:t>Open item. Should not be overbuilt until the inspection-delivery and PM ownership decisions are clearer, but the absence of a QA/QC baseline is a High finding and needs an owner.</w:t>
      </w:r>
    </w:p>
    <w:p>
      <w:r>
        <w:rPr>
          <w:rFonts w:ascii="Aptos" w:hAnsi="Aptos" w:eastAsia="Aptos"/>
          <w:b/>
          <w:sz w:val="20"/>
        </w:rPr>
        <w:t xml:space="preserve">Success Criteria: </w:t>
      </w:r>
      <w:r>
        <w:rPr>
          <w:rFonts w:ascii="Aptos" w:hAnsi="Aptos" w:eastAsia="Aptos"/>
          <w:b w:val="0"/>
          <w:sz w:val="20"/>
        </w:rPr>
        <w:t>A written QA/QC program defines minimum review points, inspection/readiness checks, documentation artifacts, correction tracking, and accountability for install and inspection work. The program is light enough to be used by the field, not just filed.</w:t>
      </w:r>
    </w:p>
    <w:p>
      <w:r>
        <w:rPr>
          <w:rFonts w:ascii="Aptos" w:hAnsi="Aptos" w:eastAsia="Aptos"/>
          <w:b/>
          <w:sz w:val="20"/>
        </w:rPr>
        <w:t xml:space="preserve">Estimated Effort: </w:t>
      </w:r>
      <w:r>
        <w:rPr>
          <w:rFonts w:ascii="Aptos" w:hAnsi="Aptos" w:eastAsia="Aptos"/>
          <w:b w:val="0"/>
          <w:sz w:val="20"/>
        </w:rPr>
        <w:t>Moderate; best built from actual rework/callback patterns and AHJ re-trip causes rather than from a generic template.</w:t>
      </w:r>
    </w:p>
    <w:p>
      <w:r>
        <w:rPr>
          <w:rFonts w:ascii="Aptos" w:hAnsi="Aptos" w:eastAsia="Aptos"/>
          <w:b/>
          <w:sz w:val="20"/>
        </w:rPr>
        <w:t xml:space="preserve">Milestones: </w:t>
      </w:r>
      <w:r>
        <w:rPr>
          <w:rFonts w:ascii="Aptos" w:hAnsi="Aptos" w:eastAsia="Aptos"/>
          <w:b w:val="0"/>
          <w:sz w:val="20"/>
        </w:rPr>
        <w:t>May on-site: identify current informal QA checks and common failure modes. 0–90 days: name owner and define minimum QA gates. Year 1: fold QA artifacts into job tracking / permit / inspection workflows.</w:t>
      </w:r>
    </w:p>
    <w:p>
      <w:r>
        <w:rPr>
          <w:rFonts w:ascii="Aptos" w:hAnsi="Aptos" w:eastAsia="Aptos"/>
          <w:b/>
          <w:sz w:val="20"/>
        </w:rPr>
        <w:t xml:space="preserve">Open Questions: </w:t>
      </w:r>
      <w:r>
        <w:rPr>
          <w:rFonts w:ascii="Aptos" w:hAnsi="Aptos" w:eastAsia="Aptos"/>
          <w:b w:val="0"/>
          <w:sz w:val="20"/>
        </w:rPr>
        <w:t>Who owns QA/QC after Keith’s eventual transition: field lead, inspector, office PM function, or new operations manager?</w:t>
      </w:r>
    </w:p>
    <w:p>
      <w:pPr>
        <w:pStyle w:val="Heading3"/>
      </w:pPr>
      <w:r>
        <w:rPr>
          <w:rFonts w:ascii="Aptos Display" w:hAnsi="Aptos Display" w:eastAsia="Aptos Display"/>
          <w:b/>
          <w:color w:val="5B9BD5"/>
          <w:sz w:val="22"/>
        </w:rPr>
        <w:t>Finding #21 — No Defined Job Intake Data Model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In Flight — Installation Jobs and Inspection Jobs databases in EFP Job Tracking define the canonical intake data model; office adoption is the remaining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#22 — AHJ Rough-In / Final Re-Trip Cost Exposure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val="0"/>
          <w:sz w:val="20"/>
        </w:rPr>
        <w:t>Status: In Flight — Permit Management Process page in Notion documents the workflow; per-trip cost exposure addressed indirectly through pre-inspection readiness improvements paired with QA/QC (Finding #20, open).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#23 — Rough-In Artifact Preparation &amp; Centralization Gap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Depends on the inspection-delivery hire and the eventual choice of ITM platform (Inspect Point or alternative); document centralization follows.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#24 — Inspection Management System Absent (No ITM Platform)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Sequenced — Inspection Jobs database provides interim tracking; full ITM platform adoption sequenced behind the inspection-delivery model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#25 — Fleet Maintenance Tracking (Medium)</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Year-1 item; vehicles themselves are well maintained, so this is a documentation and diligence-readability gap.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#26 — Inventory Management (Low)</w:t>
      </w:r>
    </w:p>
    <w:p>
      <w:r>
        <w:rPr>
          <w:rFonts w:ascii="Aptos" w:hAnsi="Aptos" w:eastAsia="Aptos"/>
          <w:b/>
          <w:sz w:val="20"/>
        </w:rPr>
        <w:t xml:space="preserve">Cross-reference: </w:t>
      </w:r>
      <w:r>
        <w:rPr>
          <w:rFonts w:ascii="Aptos" w:hAnsi="Aptos" w:eastAsia="Aptos"/>
          <w:b w:val="0"/>
          <w:sz w:val="20"/>
        </w:rPr>
        <w:t>Gap Analysis §3.3; Current-State §2.3</w:t>
      </w:r>
    </w:p>
    <w:p>
      <w:r>
        <w:rPr>
          <w:rFonts w:ascii="Aptos" w:hAnsi="Aptos" w:eastAsia="Aptos"/>
          <w:b/>
          <w:sz w:val="20"/>
        </w:rPr>
        <w:t xml:space="preserve">Status: </w:t>
      </w:r>
      <w:r>
        <w:rPr>
          <w:rFonts w:ascii="Aptos" w:hAnsi="Aptos" w:eastAsia="Aptos"/>
          <w:b w:val="0"/>
          <w:sz w:val="20"/>
        </w:rPr>
        <w:t>Open — Low-severity item; no modernization workstream attached. Defer until inventory volume or shrink justifies the management overhead.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5.4 People &amp; Administration</w:t>
      </w:r>
    </w:p>
    <w:p>
      <w:pPr>
        <w:pStyle w:val="Heading3"/>
      </w:pPr>
      <w:r>
        <w:rPr>
          <w:rFonts w:ascii="Aptos Display" w:hAnsi="Aptos Display" w:eastAsia="Aptos Display"/>
          <w:b/>
          <w:color w:val="5B9BD5"/>
          <w:sz w:val="22"/>
        </w:rPr>
        <w:t>Finding #27 — Office Succession — Betty Retirement (Critical)</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Krissy cross-training underway; Betty-functions runbook interview scheduled for the May 11 on-site (before the May 15 retirement).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#28 — Field Workforce Recruiting &amp; Retention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#29 — IT Backup, Disaster Recovery, and Continuity Posture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Site Infrastructure Standard (SIS-003) in Notion is the architectural reference (S3 with Object Lock, cross-region replication, PostgreSQL daily backups, Git config repo, 4-hour recovery target); deployment in progress.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#30 — IT Security Posture Beyond the Email Account (High)</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IT Policies (EFP-ITP-004) and M365 Email &amp; Identity Architecture pages in Notion define the target; Bitwarden/Vaultwarden mandated for all employees with system access. Implementation tracks the SIS-003 deployment.</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#31 — Cyber Insurance Gap and Property-Form Cyber-Incident Exclusion (High)</w:t>
      </w:r>
    </w:p>
    <w:p>
      <w:r>
        <w:rPr>
          <w:rFonts w:ascii="Aptos" w:hAnsi="Aptos" w:eastAsia="Aptos"/>
          <w:b/>
          <w:sz w:val="20"/>
        </w:rPr>
        <w:t xml:space="preserve">Cross-reference: </w:t>
      </w:r>
      <w:r>
        <w:rPr>
          <w:rFonts w:ascii="Aptos" w:hAnsi="Aptos" w:eastAsia="Aptos"/>
          <w:b w:val="0"/>
          <w:sz w:val="20"/>
        </w:rPr>
        <w:t>Gap Analysis §3.4; Current-State §2.1 / 2.4</w:t>
      </w:r>
    </w:p>
    <w:p>
      <w:r>
        <w:rPr>
          <w:rFonts w:ascii="Aptos" w:hAnsi="Aptos" w:eastAsia="Aptos"/>
          <w:b/>
          <w:sz w:val="20"/>
        </w:rPr>
        <w:t xml:space="preserve">Status: </w:t>
      </w:r>
      <w:r>
        <w:rPr>
          <w:rFonts w:ascii="Aptos" w:hAnsi="Aptos" w:eastAsia="Aptos"/>
          <w:b w:val="0"/>
          <w:sz w:val="20"/>
        </w:rPr>
        <w:t>In Flight — Gauthier Insurance currently quoting a cyber liability line per the IT Policies page §4.3.</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#32 — Mobile Device Management &amp; Endpoint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Open — Linked to broader M365 / Intune decision per IT Policies; deferred until M365 Business Premium licensing is in place. Currently only Kevin and Keith carry Company-provided phones; all others on personal devices.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#33 — Records Retention Obligations Going Unmet (Medium)</w:t>
      </w:r>
    </w:p>
    <w:p>
      <w:r>
        <w:rPr>
          <w:rFonts w:ascii="Aptos" w:hAnsi="Aptos" w:eastAsia="Aptos"/>
          <w:b/>
          <w:sz w:val="20"/>
        </w:rPr>
        <w:t xml:space="preserve">Cross-reference: </w:t>
      </w:r>
      <w:r>
        <w:rPr>
          <w:rFonts w:ascii="Aptos" w:hAnsi="Aptos" w:eastAsia="Aptos"/>
          <w:b w:val="0"/>
          <w:sz w:val="20"/>
        </w:rPr>
        <w:t>Gap Analysis §3.4; Current-State §2.4 / 2.6</w:t>
      </w:r>
    </w:p>
    <w:p>
      <w:r>
        <w:rPr>
          <w:rFonts w:ascii="Aptos" w:hAnsi="Aptos" w:eastAsia="Aptos"/>
          <w:b/>
          <w:sz w:val="20"/>
        </w:rPr>
        <w:t xml:space="preserve">Status: </w:t>
      </w:r>
      <w:r>
        <w:rPr>
          <w:rFonts w:ascii="Aptos" w:hAnsi="Aptos" w:eastAsia="Aptos"/>
          <w:b w:val="0"/>
          <w:sz w:val="20"/>
        </w:rPr>
        <w:t>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#34 — Software Inventory and Identity Management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M365 Email &amp; Identity Architecture page in Notion defines the target (named user inboxes, shared mailboxes, AI agent identity, vendor-account migration); Bitwarden as the password manager.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#35 — Hiring, Onboarding &amp; Termination Process Definition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New Employee Onboarding Checklist published in Notion covers hiring/onboarding end-to-end; termination side and broader hiring pipeline still being scoped.</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#36 — HR Compliance Posture (Medium)</w:t>
      </w:r>
    </w:p>
    <w:p>
      <w:r>
        <w:rPr>
          <w:rFonts w:ascii="Aptos" w:hAnsi="Aptos" w:eastAsia="Aptos"/>
          <w:b/>
          <w:sz w:val="20"/>
        </w:rPr>
        <w:t xml:space="preserve">Cross-reference: </w:t>
      </w:r>
      <w:r>
        <w:rPr>
          <w:rFonts w:ascii="Aptos" w:hAnsi="Aptos" w:eastAsia="Aptos"/>
          <w:b w:val="0"/>
          <w:sz w:val="20"/>
        </w:rPr>
        <w:t>Gap Analysis §3.4; Current-State §2.4</w:t>
      </w:r>
    </w:p>
    <w:p>
      <w:r>
        <w:rPr>
          <w:rFonts w:ascii="Aptos" w:hAnsi="Aptos" w:eastAsia="Aptos"/>
          <w:b/>
          <w:sz w:val="20"/>
        </w:rPr>
        <w:t xml:space="preserve">Status: </w:t>
      </w:r>
      <w:r>
        <w:rPr>
          <w:rFonts w:ascii="Aptos" w:hAnsi="Aptos" w:eastAsia="Aptos"/>
          <w:b w:val="0"/>
          <w:sz w:val="20"/>
        </w:rPr>
        <w:t>In Flight — HR Compliance &amp; Functions Guide published in Notion covering federal, Michigan state, and Marquette local HR regulatory framework.</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5.5 Institutional Knowledge &amp; Key Relationships</w:t>
      </w:r>
    </w:p>
    <w:p>
      <w:pPr>
        <w:pStyle w:val="Heading3"/>
      </w:pPr>
      <w:r>
        <w:rPr>
          <w:rFonts w:ascii="Aptos Display" w:hAnsi="Aptos Display" w:eastAsia="Aptos Display"/>
          <w:b/>
          <w:color w:val="5B9BD5"/>
          <w:sz w:val="22"/>
        </w:rPr>
        <w:t>Finding #37 — Undocumented Owner Knowledge (Critical)</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Scheduled — Focus weeks of May 11 and May 18; estimating is the highest-leverage piece (see Finding #11). Other elements (customer relationships, pricing posture, vendor arrangements) are captured opportunistically through the EFP Interviews and the in-process conversations.</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#38 — Customer Concentration (High)</w:t>
      </w:r>
    </w:p>
    <w:p>
      <w:r>
        <w:rPr>
          <w:rFonts w:ascii="Aptos" w:hAnsi="Aptos" w:eastAsia="Aptos"/>
          <w:b/>
          <w:sz w:val="20"/>
        </w:rPr>
        <w:t xml:space="preserve">Cross-reference: </w:t>
      </w:r>
      <w:r>
        <w:rPr>
          <w:rFonts w:ascii="Aptos" w:hAnsi="Aptos" w:eastAsia="Aptos"/>
          <w:b w:val="0"/>
          <w:sz w:val="20"/>
        </w:rPr>
        <w:t>Gap Analysis §3.5; Current-State §2.5</w:t>
      </w:r>
    </w:p>
    <w:p>
      <w:r>
        <w:rPr>
          <w:rFonts w:ascii="Aptos" w:hAnsi="Aptos" w:eastAsia="Aptos"/>
          <w:b/>
          <w:sz w:val="20"/>
        </w:rPr>
        <w:t xml:space="preserve">Status: </w:t>
      </w:r>
      <w:r>
        <w:rPr>
          <w:rFonts w:ascii="Aptos" w:hAnsi="Aptos" w:eastAsia="Aptos"/>
          <w:b w:val="0"/>
          <w:sz w:val="20"/>
        </w:rPr>
        <w:t>Sequenced — Pairs with Finding #12 on the inspection-customer side and Finding #16 on the GC-seat side; MSA development sequenced behind the inspection-delivery decision.</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2"/>
      </w:pPr>
      <w:r>
        <w:rPr>
          <w:rFonts w:ascii="Aptos Display" w:hAnsi="Aptos Display" w:eastAsia="Aptos Display"/>
          <w:b/>
          <w:color w:val="1F4E79"/>
          <w:sz w:val="24"/>
        </w:rPr>
        <w:t>5.6 Regulatory &amp; Compliance</w:t>
      </w:r>
    </w:p>
    <w:p>
      <w:pPr>
        <w:pStyle w:val="Heading3"/>
      </w:pPr>
      <w:r>
        <w:rPr>
          <w:rFonts w:ascii="Aptos Display" w:hAnsi="Aptos Display" w:eastAsia="Aptos Display"/>
          <w:b/>
          <w:color w:val="5B9BD5"/>
          <w:sz w:val="22"/>
        </w:rPr>
        <w:t>Finding #39 — Michigan Unemployment Insurance Filings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Scheduled — AT&amp;C TPA assignment complete; reconstruction kickoff on the May 11 on-site.</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#40 — NFPA &amp; AHJ Knowledge Concentration (Critical)</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documents the AHJ piece; full NFPA-25 procedural documentation sequenced behind the inspection-delivery hire (Finding #6).</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#41 — ISN / ISNetworld Prequalification Obligations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Recommend folding into the consolidated compliance / training / certification calendar that the HR agent is building under Finding #23 (Safety Program).</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#42 — Customer-Specific Compliance Tracking (High)</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Open — Same consolidation recommendation as Finding #21 — fold into the HR agent compliance calendar.</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#43 — Absence of AHJ / Fire Marshal Register (Medium)</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sz w:val="20"/>
        </w:rPr>
        <w:t xml:space="preserve">Status: </w:t>
      </w:r>
      <w:r>
        <w:rPr>
          <w:rFonts w:ascii="Aptos" w:hAnsi="Aptos" w:eastAsia="Aptos"/>
          <w:b w:val="0"/>
          <w:sz w:val="20"/>
        </w:rPr>
        <w:t>In Flight — Permit Management Process is the seed (state-level Michigan BCC contact (Phil Myron) documented); full register including county fire marshals pending.</w:t>
      </w:r>
    </w:p>
    <w:p>
      <w:r>
        <w:rPr>
          <w:rFonts w:ascii="Aptos" w:hAnsi="Aptos" w:eastAsia="Aptos"/>
          <w:b w:val="0"/>
          <w:sz w:val="20"/>
        </w:rPr>
        <w:t>Owner: To confirm during Kevin / Justin review.</w:t>
      </w:r>
    </w:p>
    <w:p>
      <w:r>
        <w:rPr>
          <w:rFonts w:ascii="Aptos" w:hAnsi="Aptos" w:eastAsia="Aptos"/>
          <w:b w:val="0"/>
          <w:sz w:val="20"/>
        </w:rPr>
        <w:t>Sequence: To confirm during Kevin / Justin review; identify predecessors, successors, and any required operating-model decision before execution.</w:t>
      </w:r>
    </w:p>
    <w:p>
      <w:r>
        <w:rPr>
          <w:rFonts w:ascii="Aptos" w:hAnsi="Aptos" w:eastAsia="Aptos"/>
          <w:b w:val="0"/>
          <w:sz w:val="20"/>
        </w:rPr>
        <w:t>Success Criteria: To define as a testable done condition during Kevin / Justin review.</w:t>
      </w:r>
    </w:p>
    <w:p>
      <w:r>
        <w:rPr>
          <w:rFonts w:ascii="Aptos" w:hAnsi="Aptos" w:eastAsia="Aptos"/>
          <w:b w:val="0"/>
          <w:sz w:val="20"/>
        </w:rPr>
        <w:t>Estimated Effort: To size after owner and workstream decision are confirmed.</w:t>
      </w:r>
    </w:p>
    <w:p>
      <w:r>
        <w:rPr>
          <w:rFonts w:ascii="Aptos" w:hAnsi="Aptos" w:eastAsia="Aptos"/>
          <w:b w:val="0"/>
          <w:sz w:val="20"/>
        </w:rPr>
        <w:t>Milestones: To assign once the item is prioritized; use transaction close, first 90 days, or Year 1 gates where specific dates are not yet known.</w:t>
      </w:r>
    </w:p>
    <w:p>
      <w:r>
        <w:rPr>
          <w:rFonts w:ascii="Aptos" w:hAnsi="Aptos" w:eastAsia="Aptos"/>
          <w:b w:val="0"/>
          <w:sz w:val="20"/>
        </w:rPr>
        <w:t>Open Questions: Confirm owner, priority, and whether this item should be handled by process documentation, system implementation, training, or policy.</w:t>
      </w:r>
    </w:p>
    <w:p>
      <w:pPr>
        <w:pStyle w:val="Heading3"/>
      </w:pPr>
      <w:r>
        <w:rPr>
          <w:rFonts w:ascii="Aptos Display" w:hAnsi="Aptos Display" w:eastAsia="Aptos Display"/>
          <w:b/>
          <w:color w:val="5B9BD5"/>
          <w:sz w:val="22"/>
        </w:rPr>
        <w:t>Finding #44 — BFS / S-0440 Fire Suppression Firm Certification Continuity (Low)</w:t>
      </w:r>
    </w:p>
    <w:p>
      <w:r>
        <w:rPr>
          <w:rFonts w:ascii="Aptos" w:hAnsi="Aptos" w:eastAsia="Aptos"/>
          <w:b/>
          <w:sz w:val="20"/>
        </w:rPr>
        <w:t xml:space="preserve">Cross-reference: </w:t>
      </w:r>
      <w:r>
        <w:rPr>
          <w:rFonts w:ascii="Aptos" w:hAnsi="Aptos" w:eastAsia="Aptos"/>
          <w:b w:val="0"/>
          <w:sz w:val="20"/>
        </w:rPr>
        <w:t>Gap Analysis §3.6; Current-State §2.6</w:t>
      </w:r>
    </w:p>
    <w:p>
      <w:r>
        <w:rPr>
          <w:rFonts w:ascii="Aptos" w:hAnsi="Aptos" w:eastAsia="Aptos"/>
          <w:b w:val="0"/>
          <w:sz w:val="20"/>
        </w:rPr>
        <w:t>Status: Verified / Sequenced — Excel Fire Protection Co., Inc. certificate S-0440 confirmed valid through September 2028 for categories J/K/P; continuity work remains because Kevin is the current qualifying person.</w:t>
      </w:r>
    </w:p>
    <w:p>
      <w:r>
        <w:rPr>
          <w:rFonts w:ascii="Aptos" w:hAnsi="Aptos" w:eastAsia="Aptos"/>
          <w:b w:val="0"/>
          <w:sz w:val="20"/>
        </w:rPr>
        <w:t>Owner: Justin, with Kevin input; BFS/LARA as external regulatory source.</w:t>
      </w:r>
    </w:p>
    <w:p>
      <w:r>
        <w:rPr>
          <w:rFonts w:ascii="Aptos" w:hAnsi="Aptos" w:eastAsia="Aptos"/>
          <w:b w:val="0"/>
          <w:sz w:val="20"/>
        </w:rPr>
        <w:t>Sequence: Certificate verification is complete. Next step is to map Kevin’s qualifying-person role, confirm BFS notice/replacement requirements, and build an owner/additional-employee licensing and certification path so S-0440 continuity is not dependent on one person.</w:t>
      </w:r>
    </w:p>
    <w:p>
      <w:r>
        <w:rPr>
          <w:rFonts w:ascii="Aptos" w:hAnsi="Aptos" w:eastAsia="Aptos"/>
          <w:b w:val="0"/>
          <w:sz w:val="20"/>
        </w:rPr>
        <w:t>Success Criteria: Excel Fire maintains S-0440 certification without interruption; at least one backup path is documented for mechanical contractor fire suppression licensing and BFS qualifying-person coverage; expiration, renewal, and notice deadlines are tracked in the compliance calendar.</w:t>
      </w:r>
    </w:p>
    <w:p>
      <w:r>
        <w:rPr>
          <w:rFonts w:ascii="Aptos" w:hAnsi="Aptos" w:eastAsia="Aptos"/>
          <w:b w:val="0"/>
          <w:sz w:val="20"/>
        </w:rPr>
        <w:t>Estimated Effort: Moderate; mostly requirements research, LARA/BFS correspondence, application/exam planning, and internal candidate development.</w:t>
      </w:r>
    </w:p>
    <w:p>
      <w:r>
        <w:rPr>
          <w:rFonts w:ascii="Aptos" w:hAnsi="Aptos" w:eastAsia="Aptos"/>
          <w:b w:val="0"/>
          <w:sz w:val="20"/>
        </w:rPr>
        <w:t>Milestones: May 2026: capture certificate and Kevin qualifying-person facts. 0–90 days: confirm Justin licensing/experience-waiver path and BFS qualifying-person requirements. Year 1: begin execution of owner/backup certification plan.</w:t>
      </w:r>
    </w:p>
    <w:p>
      <w:r>
        <w:rPr>
          <w:rFonts w:ascii="Aptos" w:hAnsi="Aptos" w:eastAsia="Aptos"/>
          <w:b w:val="0"/>
          <w:sz w:val="20"/>
        </w:rPr>
        <w:t>Open Questions: Which associate degree programs, if any, qualify for the one-year Michigan mechanical contractor experience waiver; what experience/training BFS will accept for S-0440 qualifying-person status; which internal employee could become the second qualified option.</w:t>
      </w:r>
    </w:p>
    <w:p>
      <w:pPr>
        <w:pStyle w:val="Heading1"/>
      </w:pPr>
      <w:r>
        <w:rPr>
          <w:rFonts w:ascii="Aptos Display" w:hAnsi="Aptos Display" w:eastAsia="Aptos Display"/>
          <w:b/>
          <w:color w:val="1F4E79"/>
          <w:sz w:val="28"/>
        </w:rPr>
        <w:t>6. Items Not Yet Scoped</w:t>
      </w:r>
    </w:p>
    <w:p>
      <w:r>
        <w:rPr>
          <w:rFonts w:ascii="Aptos" w:hAnsi="Aptos" w:eastAsia="Aptos"/>
          <w:b w:val="0"/>
          <w:sz w:val="20"/>
        </w:rPr>
        <w:t>The following open items do not yet have a sufficiently concrete modernization workstream. Each needs a decision trigger before the plan should pretend there is an execution path.</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Finding</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Horizon</w:t>
            </w:r>
          </w:p>
        </w:tc>
        <w:tc>
          <w:tcPr>
            <w:tcW w:type="dxa" w:w="2556"/>
            <w:shd w:fill="D9EAF7"/>
            <w:vAlign w:val="top"/>
          </w:tcPr>
          <w:p>
            <w:pPr>
              <w:spacing w:after="40"/>
            </w:pPr>
            <w:r>
              <w:rPr>
                <w:rFonts w:ascii="Aptos" w:hAnsi="Aptos" w:eastAsia="Aptos"/>
                <w:b/>
                <w:color w:val="1F4E79"/>
                <w:sz w:val="18"/>
              </w:rPr>
            </w:r>
            <w:r>
              <w:rPr>
                <w:rFonts w:ascii="Aptos" w:hAnsi="Aptos" w:eastAsia="Aptos"/>
                <w:b/>
                <w:color w:val="1F4E79"/>
                <w:sz w:val="18"/>
              </w:rPr>
              <w:t>Decision trigger</w:t>
            </w:r>
          </w:p>
        </w:tc>
      </w:tr>
      <w:tr>
        <w:tc>
          <w:tcPr>
            <w:tcW w:type="dxa" w:w="2556"/>
            <w:vAlign w:val="top"/>
          </w:tcPr>
          <w:p>
            <w:pPr>
              <w:spacing w:after="40"/>
            </w:pPr>
            <w:r>
              <w:rPr>
                <w:sz w:val="17"/>
              </w:rPr>
            </w:r>
            <w:r>
              <w:rPr>
                <w:b w:val="0"/>
                <w:sz w:val="17"/>
              </w:rPr>
              <w:t>#4</w:t>
            </w:r>
          </w:p>
        </w:tc>
        <w:tc>
          <w:tcPr>
            <w:tcW w:type="dxa" w:w="2556"/>
            <w:vAlign w:val="top"/>
          </w:tcPr>
          <w:p>
            <w:pPr>
              <w:spacing w:after="40"/>
            </w:pPr>
            <w:r>
              <w:rPr>
                <w:sz w:val="17"/>
              </w:rPr>
            </w:r>
            <w:r>
              <w:rPr>
                <w:b w:val="0"/>
                <w:sz w:val="17"/>
              </w:rPr>
              <w:t>Stale Accounts Receivable</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#5</w:t>
            </w:r>
          </w:p>
        </w:tc>
        <w:tc>
          <w:tcPr>
            <w:tcW w:type="dxa" w:w="2556"/>
            <w:vAlign w:val="top"/>
          </w:tcPr>
          <w:p>
            <w:pPr>
              <w:spacing w:after="40"/>
            </w:pPr>
            <w:r>
              <w:rPr>
                <w:sz w:val="17"/>
              </w:rPr>
            </w:r>
            <w:r>
              <w:rPr>
                <w:b w:val="0"/>
                <w:sz w:val="17"/>
              </w:rPr>
              <w:t>Chart of Accounts — Expense-Side Structure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#6</w:t>
            </w:r>
          </w:p>
        </w:tc>
        <w:tc>
          <w:tcPr>
            <w:tcW w:type="dxa" w:w="2556"/>
            <w:vAlign w:val="top"/>
          </w:tcPr>
          <w:p>
            <w:pPr>
              <w:spacing w:after="40"/>
            </w:pPr>
            <w:r>
              <w:rPr>
                <w:sz w:val="17"/>
              </w:rPr>
            </w:r>
            <w:r>
              <w:rPr>
                <w:b w:val="0"/>
                <w:sz w:val="17"/>
              </w:rPr>
              <w:t>Revenue-Side Segmentation</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#9</w:t>
            </w:r>
          </w:p>
        </w:tc>
        <w:tc>
          <w:tcPr>
            <w:tcW w:type="dxa" w:w="2556"/>
            <w:vAlign w:val="top"/>
          </w:tcPr>
          <w:p>
            <w:pPr>
              <w:spacing w:after="40"/>
            </w:pPr>
            <w:r>
              <w:rPr>
                <w:sz w:val="17"/>
              </w:rPr>
            </w:r>
            <w:r>
              <w:rPr>
                <w:b w:val="0"/>
                <w:sz w:val="17"/>
              </w:rPr>
              <w:t>Certificate of Insurance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#10</w:t>
            </w:r>
          </w:p>
        </w:tc>
        <w:tc>
          <w:tcPr>
            <w:tcW w:type="dxa" w:w="2556"/>
            <w:vAlign w:val="top"/>
          </w:tcPr>
          <w:p>
            <w:pPr>
              <w:spacing w:after="40"/>
            </w:pPr>
            <w:r>
              <w:rPr>
                <w:sz w:val="17"/>
              </w:rPr>
            </w:r>
            <w:r>
              <w:rPr>
                <w:b w:val="0"/>
                <w:sz w:val="17"/>
              </w:rPr>
              <w:t>Budgeting, Forecasting &amp; Management Reporting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Tie to QBO migration / finance modernization scope.</w:t>
            </w:r>
          </w:p>
        </w:tc>
      </w:tr>
      <w:tr>
        <w:tc>
          <w:tcPr>
            <w:tcW w:type="dxa" w:w="2556"/>
            <w:vAlign w:val="top"/>
          </w:tcPr>
          <w:p>
            <w:pPr>
              <w:spacing w:after="40"/>
            </w:pPr>
            <w:r>
              <w:rPr>
                <w:sz w:val="17"/>
              </w:rPr>
            </w:r>
            <w:r>
              <w:rPr>
                <w:b w:val="0"/>
                <w:sz w:val="17"/>
              </w:rPr>
              <w:t>#13</w:t>
            </w:r>
          </w:p>
        </w:tc>
        <w:tc>
          <w:tcPr>
            <w:tcW w:type="dxa" w:w="2556"/>
            <w:vAlign w:val="top"/>
          </w:tcPr>
          <w:p>
            <w:pPr>
              <w:spacing w:after="40"/>
            </w:pPr>
            <w:r>
              <w:rPr>
                <w:sz w:val="17"/>
              </w:rPr>
            </w:r>
            <w:r>
              <w:rPr>
                <w:b w:val="0"/>
                <w:sz w:val="17"/>
              </w:rPr>
              <w:t>Declining Inspection Volume &amp; Competitive Consolidation Risk</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#15</w:t>
            </w:r>
          </w:p>
        </w:tc>
        <w:tc>
          <w:tcPr>
            <w:tcW w:type="dxa" w:w="2556"/>
            <w:vAlign w:val="top"/>
          </w:tcPr>
          <w:p>
            <w:pPr>
              <w:spacing w:after="40"/>
            </w:pPr>
            <w:r>
              <w:rPr>
                <w:sz w:val="17"/>
              </w:rPr>
            </w:r>
            <w:r>
              <w:rPr>
                <w:b w:val="0"/>
                <w:sz w:val="17"/>
              </w:rPr>
              <w:t>Declined Inspection-Adjacent Inbound Service Volume (Revenue Leakage)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inspection-service strategy and whether to measure declined inbound volume first.</w:t>
            </w:r>
          </w:p>
        </w:tc>
      </w:tr>
      <w:tr>
        <w:tc>
          <w:tcPr>
            <w:tcW w:type="dxa" w:w="2556"/>
            <w:vAlign w:val="top"/>
          </w:tcPr>
          <w:p>
            <w:pPr>
              <w:spacing w:after="40"/>
            </w:pPr>
            <w:r>
              <w:rPr>
                <w:sz w:val="17"/>
              </w:rPr>
            </w:r>
            <w:r>
              <w:rPr>
                <w:b w:val="0"/>
                <w:sz w:val="17"/>
              </w:rPr>
              <w:t>#20</w:t>
            </w:r>
          </w:p>
        </w:tc>
        <w:tc>
          <w:tcPr>
            <w:tcW w:type="dxa" w:w="2556"/>
            <w:vAlign w:val="top"/>
          </w:tcPr>
          <w:p>
            <w:pPr>
              <w:spacing w:after="40"/>
            </w:pPr>
            <w:r>
              <w:rPr>
                <w:sz w:val="17"/>
              </w:rPr>
            </w:r>
            <w:r>
              <w:rPr>
                <w:b w:val="0"/>
                <w:sz w:val="17"/>
              </w:rPr>
              <w:t>Absence of Written QA/QC Program</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Decide QA/QC ownership after the field-leadership / inspection-delivery discussion.</w:t>
            </w:r>
          </w:p>
        </w:tc>
      </w:tr>
      <w:tr>
        <w:tc>
          <w:tcPr>
            <w:tcW w:type="dxa" w:w="2556"/>
            <w:vAlign w:val="top"/>
          </w:tcPr>
          <w:p>
            <w:pPr>
              <w:spacing w:after="40"/>
            </w:pPr>
            <w:r>
              <w:rPr>
                <w:sz w:val="17"/>
              </w:rPr>
            </w:r>
            <w:r>
              <w:rPr>
                <w:b w:val="0"/>
                <w:sz w:val="17"/>
              </w:rPr>
              <w:t>#25</w:t>
            </w:r>
          </w:p>
        </w:tc>
        <w:tc>
          <w:tcPr>
            <w:tcW w:type="dxa" w:w="2556"/>
            <w:vAlign w:val="top"/>
          </w:tcPr>
          <w:p>
            <w:pPr>
              <w:spacing w:after="40"/>
            </w:pPr>
            <w:r>
              <w:rPr>
                <w:sz w:val="17"/>
              </w:rPr>
            </w:r>
            <w:r>
              <w:rPr>
                <w:b w:val="0"/>
                <w:sz w:val="17"/>
              </w:rPr>
              <w:t>Fleet Maintenance Tracking</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#26</w:t>
            </w:r>
          </w:p>
        </w:tc>
        <w:tc>
          <w:tcPr>
            <w:tcW w:type="dxa" w:w="2556"/>
            <w:vAlign w:val="top"/>
          </w:tcPr>
          <w:p>
            <w:pPr>
              <w:spacing w:after="40"/>
            </w:pPr>
            <w:r>
              <w:rPr>
                <w:sz w:val="17"/>
              </w:rPr>
            </w:r>
            <w:r>
              <w:rPr>
                <w:b w:val="0"/>
                <w:sz w:val="17"/>
              </w:rPr>
              <w:t>Inventory Management</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#32</w:t>
            </w:r>
          </w:p>
        </w:tc>
        <w:tc>
          <w:tcPr>
            <w:tcW w:type="dxa" w:w="2556"/>
            <w:vAlign w:val="top"/>
          </w:tcPr>
          <w:p>
            <w:pPr>
              <w:spacing w:after="40"/>
            </w:pPr>
            <w:r>
              <w:rPr>
                <w:sz w:val="17"/>
              </w:rPr>
            </w:r>
            <w:r>
              <w:rPr>
                <w:b w:val="0"/>
                <w:sz w:val="17"/>
              </w:rPr>
              <w:t>Mobile Device Management &amp; Endpoint Posture</w:t>
            </w:r>
          </w:p>
        </w:tc>
        <w:tc>
          <w:tcPr>
            <w:tcW w:type="dxa" w:w="2556"/>
            <w:vAlign w:val="top"/>
          </w:tcPr>
          <w:p>
            <w:pPr>
              <w:spacing w:after="40"/>
            </w:pPr>
            <w:r>
              <w:rPr>
                <w:sz w:val="17"/>
              </w:rPr>
            </w:r>
            <w:r>
              <w:rPr>
                <w:b w:val="0"/>
                <w:sz w:val="17"/>
              </w:rPr>
              <w:t>Year 1</w:t>
            </w:r>
          </w:p>
        </w:tc>
        <w:tc>
          <w:tcPr>
            <w:tcW w:type="dxa" w:w="2556"/>
            <w:vAlign w:val="top"/>
          </w:tcPr>
          <w:p>
            <w:pPr>
              <w:spacing w:after="40"/>
            </w:pPr>
            <w:r>
              <w:rPr>
                <w:sz w:val="17"/>
              </w:rPr>
            </w:r>
            <w:r>
              <w:rPr>
                <w:b w:val="0"/>
                <w:sz w:val="17"/>
              </w:rPr>
              <w:t>Assign an owner and decide whether to fold into an existing workstream or defer intentionally.</w:t>
            </w:r>
          </w:p>
        </w:tc>
      </w:tr>
      <w:tr>
        <w:tc>
          <w:tcPr>
            <w:tcW w:type="dxa" w:w="2556"/>
            <w:vAlign w:val="top"/>
          </w:tcPr>
          <w:p>
            <w:pPr>
              <w:spacing w:after="40"/>
            </w:pPr>
            <w:r>
              <w:rPr>
                <w:sz w:val="17"/>
              </w:rPr>
            </w:r>
            <w:r>
              <w:rPr>
                <w:b w:val="0"/>
                <w:sz w:val="17"/>
              </w:rPr>
              <w:t>#41</w:t>
            </w:r>
          </w:p>
        </w:tc>
        <w:tc>
          <w:tcPr>
            <w:tcW w:type="dxa" w:w="2556"/>
            <w:vAlign w:val="top"/>
          </w:tcPr>
          <w:p>
            <w:pPr>
              <w:spacing w:after="40"/>
            </w:pPr>
            <w:r>
              <w:rPr>
                <w:sz w:val="17"/>
              </w:rPr>
            </w:r>
            <w:r>
              <w:rPr>
                <w:b w:val="0"/>
                <w:sz w:val="17"/>
              </w:rPr>
              <w:t>ISN / ISNetworld Prequalification Obligations</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r>
        <w:tc>
          <w:tcPr>
            <w:tcW w:type="dxa" w:w="2556"/>
            <w:vAlign w:val="top"/>
          </w:tcPr>
          <w:p>
            <w:pPr>
              <w:spacing w:after="40"/>
            </w:pPr>
            <w:r>
              <w:rPr>
                <w:sz w:val="17"/>
              </w:rPr>
            </w:r>
            <w:r>
              <w:rPr>
                <w:b w:val="0"/>
                <w:sz w:val="17"/>
              </w:rPr>
              <w:t>#42</w:t>
            </w:r>
          </w:p>
        </w:tc>
        <w:tc>
          <w:tcPr>
            <w:tcW w:type="dxa" w:w="2556"/>
            <w:vAlign w:val="top"/>
          </w:tcPr>
          <w:p>
            <w:pPr>
              <w:spacing w:after="40"/>
            </w:pPr>
            <w:r>
              <w:rPr>
                <w:sz w:val="17"/>
              </w:rPr>
            </w:r>
            <w:r>
              <w:rPr>
                <w:b w:val="0"/>
                <w:sz w:val="17"/>
              </w:rPr>
              <w:t>Customer-Specific Compliance Tracking</w:t>
            </w:r>
          </w:p>
        </w:tc>
        <w:tc>
          <w:tcPr>
            <w:tcW w:type="dxa" w:w="2556"/>
            <w:vAlign w:val="top"/>
          </w:tcPr>
          <w:p>
            <w:pPr>
              <w:spacing w:after="40"/>
            </w:pPr>
            <w:r>
              <w:rPr>
                <w:sz w:val="17"/>
              </w:rPr>
            </w:r>
            <w:r>
              <w:rPr>
                <w:b w:val="0"/>
                <w:sz w:val="17"/>
              </w:rPr>
              <w:t>0–90 days</w:t>
            </w:r>
          </w:p>
        </w:tc>
        <w:tc>
          <w:tcPr>
            <w:tcW w:type="dxa" w:w="2556"/>
            <w:vAlign w:val="top"/>
          </w:tcPr>
          <w:p>
            <w:pPr>
              <w:spacing w:after="40"/>
            </w:pPr>
            <w:r>
              <w:rPr>
                <w:sz w:val="17"/>
              </w:rPr>
            </w:r>
            <w:r>
              <w:rPr>
                <w:b w:val="0"/>
                <w:sz w:val="17"/>
              </w:rPr>
              <w:t>Confirm HR/compliance calendar scope and owner.</w:t>
            </w:r>
          </w:p>
        </w:tc>
      </w:tr>
    </w:tbl>
    <w:p>
      <w:pPr>
        <w:pStyle w:val="Heading1"/>
      </w:pPr>
      <w:r>
        <w:rPr>
          <w:rFonts w:ascii="Aptos Display" w:hAnsi="Aptos Display" w:eastAsia="Aptos Display"/>
          <w:b/>
          <w:color w:val="1F4E79"/>
          <w:sz w:val="28"/>
        </w:rPr>
        <w:t>7. Out-of-Scope Items</w:t>
      </w:r>
    </w:p>
    <w:p>
      <w:r>
        <w:rPr>
          <w:rFonts w:ascii="Aptos" w:hAnsi="Aptos" w:eastAsia="Aptos"/>
          <w:b w:val="0"/>
          <w:sz w:val="20"/>
        </w:rPr>
        <w:t>The modernization plan should not become a catch-all business plan. The items below may matter strategically, but they should be tracked separately unless they directly remediate a gap-analysis finding.</w:t>
      </w:r>
    </w:p>
    <w:p>
      <w:pPr>
        <w:pStyle w:val="ListBullet"/>
      </w:pPr>
      <w:r>
        <w:rPr>
          <w:rFonts w:ascii="Aptos" w:hAnsi="Aptos" w:eastAsia="Aptos"/>
          <w:b w:val="0"/>
          <w:sz w:val="20"/>
        </w:rPr>
        <w:t>New product-line investigations not tied to an identified gap.</w:t>
      </w:r>
    </w:p>
    <w:p>
      <w:pPr>
        <w:pStyle w:val="ListBullet"/>
      </w:pPr>
      <w:r>
        <w:rPr>
          <w:rFonts w:ascii="Aptos" w:hAnsi="Aptos" w:eastAsia="Aptos"/>
          <w:b w:val="0"/>
          <w:sz w:val="20"/>
        </w:rPr>
        <w:t>Marquette warehouse / facility expansion options except where required for document retention, backup, or operations continuity.</w:t>
      </w:r>
    </w:p>
    <w:p>
      <w:pPr>
        <w:pStyle w:val="ListBullet"/>
      </w:pPr>
      <w:r>
        <w:rPr>
          <w:rFonts w:ascii="Aptos" w:hAnsi="Aptos" w:eastAsia="Aptos"/>
          <w:b w:val="0"/>
          <w:sz w:val="20"/>
        </w:rPr>
        <w:t>Sister-company concepts such as extinguisher service unless Justin chooses to tie them to declined inspection-adjacent inbound demand.</w:t>
      </w:r>
    </w:p>
    <w:p>
      <w:pPr>
        <w:pStyle w:val="ListBullet"/>
      </w:pPr>
      <w:r>
        <w:rPr>
          <w:rFonts w:ascii="Aptos" w:hAnsi="Aptos" w:eastAsia="Aptos"/>
          <w:b w:val="0"/>
          <w:sz w:val="20"/>
        </w:rPr>
        <w:t>Long-range M&amp;A / buyer-readiness positioning beyond maintaining the gap analysis as a dated diagnostic artifact.</w:t>
      </w:r>
    </w:p>
    <w:p>
      <w:r>
        <w:rPr>
          <w:rFonts w:ascii="Aptos" w:hAnsi="Aptos" w:eastAsia="Aptos"/>
          <w:b w:val="0"/>
          <w:sz w:val="20"/>
        </w:rPr>
        <w:t>Drafting note: This draft uses the current gap-analysis numbering as of May 12, 2026. In particular, Absence of Written QA/QC Program is Finding #20 in the live document.</w:t>
      </w:r>
    </w:p>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Aptos Display" w:hAnsi="Aptos Display" w:eastAsia="Aptos Display"/>
      <w:b/>
      <w:bCs/>
      <w:color w:val="5B9BD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