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r>
              <w:t>Inbound inspection request, Krissy intake / customer coordination, Keith scheduling and inspection performance, paper NFPA-25 report preparation, return of report to the office, Krissy invoice preparation and transmittal, deficiency / follow-up handling, and customer communication.</w:t>
            </w:r>
          </w:p>
        </w:tc>
        <w:tc>
          <w:tcPr>
            <w:tcW w:type="dxa" w:w="3408"/>
            <w:vAlign w:val="top"/>
          </w:tcPr>
          <w:p>
            <w:r>
              <w:t>Ties to inspection-delivery concentration, ITM platform decision, standing inspection agreements, and declined inspection-adjacent demand. Inspection invoicing is lower risk because Krissy already handles it, but it should still be captured as a written SOP so report completion, billing contact, invoice issuance, and follow-up do not live only in office memory.</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 As a transition-control item, the migration should explicitly map which payroll taxes, filings, and remittances QuickBooks Payroll will own; which agency accounts and authorizations must be connected; and which obligations remain outside the payroll provider.</w:t>
      </w:r>
    </w:p>
    <w:p>
      <w:r>
        <w:rPr>
          <w:rFonts w:ascii="Aptos" w:hAnsi="Aptos" w:eastAsia="Aptos"/>
          <w:b w:val="0"/>
          <w:sz w:val="20"/>
        </w:rPr>
        <w:t>Owner: To confirm during Kevin / Justin review.</w:t>
      </w:r>
    </w:p>
    <w:p>
      <w:r>
        <w:t>Sequence: Do not wait for the final payroll platform to improve capture. First standardize submission timing and required fields; then align the durable tool decision with the QBO/payroll migration and job-costing design. Before or during setup, confirm federal and Michigan withholding, employer payroll taxes, Michigan UIA, quarterly payroll tax filings, year-end W-2 processing, union Local 669 fringe-benefit remittances, certified payroll reporting, workers’ compensation payroll reporting/audits, and any job/classification reporting requirements. The deliverable should be a responsibility matrix showing whether each item is handled by QuickBooks Payroll, AT&amp;C, Betty/current office staff during transition, Justin/Jaclyn, the union/fringe administrator, or another outside advisor.</w:t>
      </w:r>
    </w:p>
    <w:p>
      <w:r>
        <w:t>Success Criteria: Time is submitted on schedule, legible, retained, and attributable by employee/job/work type; payroll can be processed without chasing paper; certified payroll and job-costing data can be produced from the same source of truth or a controlled reconciliation; and payroll compliance ownership is explicit enough that no federal/state withholding, FICA, FUTA, Michigan UIA, union fringe, certified-payroll, or workers’ compensation reporting obligation depends on undocumented office memory.</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t>Status: In Flight — Installation Jobs and Inspection Jobs databases in EFP Job Tracking define the canonical intake data model; office adoption is the remaining piece. Inspection invoicing should be included in the intake/data-model pass: even though Krissy currently handles it, the process depends on having billing contact, billing address, report status, and customer transmittal details available when the inspection is complete.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t>Success Criteria: Job and inspection intake records contain the minimum information required to schedule, perform, invoice, and close out the work without downstream chasing: site address, billing contact, billing address, on-site contact, report/customer transmittal details, pay terms, permit/inspection requirements where applicable, and follow-up owner.</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