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Modernization Plan &amp; Roadmap</w:t>
      </w:r>
    </w:p>
    <w:p>
      <w:pPr>
        <w:jc w:val="center"/>
      </w:pPr>
      <w:r>
        <w:t>Operational Assessment &amp; Process Documentation</w:t>
      </w:r>
    </w:p>
    <w:p>
      <w:pPr>
        <w:jc w:val="center"/>
      </w:pPr>
      <w:r>
        <w:t>Excel Fire Protection Co., Inc.</w:t>
      </w:r>
    </w:p>
    <w:p>
      <w:pPr>
        <w:jc w:val="center"/>
      </w:pPr>
      <w:r>
        <w:t>Prepared by: Predictive Lines</w:t>
      </w:r>
    </w:p>
    <w:p>
      <w:pPr>
        <w:jc w:val="center"/>
      </w:pPr>
      <w:r>
        <w:t>Prepared for: Kevin Masich / Excel Fire Protection</w:t>
      </w:r>
    </w:p>
    <w:p>
      <w:pPr>
        <w:jc w:val="center"/>
      </w:pPr>
      <w:r>
        <w:t>Date: May 2026</w:t>
      </w:r>
    </w:p>
    <w:p>
      <w:pPr>
        <w:jc w:val="center"/>
      </w:pPr>
      <w:r>
        <w:t>Status: Draft scaffold</w:t>
      </w:r>
    </w:p>
    <w:p/>
    <w:p>
      <w:pPr>
        <w:pStyle w:val="Heading1"/>
      </w:pPr>
      <w:r>
        <w:t>1. Purpose &amp; Scope</w:t>
      </w:r>
    </w:p>
    <w:p>
      <w:r>
        <w:t>This document is the Modernization Plan &amp; Roadmap deliverable contemplated by the March 30, 2026 Statement of Work. It is designed to read alongside, not replace, the Current-State Process Documentation and Gap Analysis &amp; Risk Assessment.</w:t>
      </w:r>
    </w:p>
    <w:p>
      <w: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t>This scaffold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t>2. Roadmap Overview</w:t>
      </w:r>
    </w:p>
    <w:p>
      <w: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sz w:val="17"/>
              </w:rPr>
            </w:r>
            <w:r>
              <w:rPr>
                <w:b/>
                <w:sz w:val="17"/>
              </w:rPr>
              <w:t>#</w:t>
            </w:r>
          </w:p>
        </w:tc>
        <w:tc>
          <w:tcPr>
            <w:tcW w:type="dxa" w:w="1704"/>
            <w:shd w:fill="D9EAF7"/>
          </w:tcPr>
          <w:p>
            <w:r>
              <w:rPr>
                <w:sz w:val="17"/>
              </w:rPr>
            </w:r>
            <w:r>
              <w:rPr>
                <w:b/>
                <w:sz w:val="17"/>
              </w:rPr>
              <w:t>Horizon</w:t>
            </w:r>
          </w:p>
        </w:tc>
        <w:tc>
          <w:tcPr>
            <w:tcW w:type="dxa" w:w="1704"/>
            <w:shd w:fill="D9EAF7"/>
          </w:tcPr>
          <w:p>
            <w:r>
              <w:rPr>
                <w:sz w:val="17"/>
              </w:rPr>
            </w:r>
            <w:r>
              <w:rPr>
                <w:b/>
                <w:sz w:val="17"/>
              </w:rPr>
              <w:t>Severity</w:t>
            </w:r>
          </w:p>
        </w:tc>
        <w:tc>
          <w:tcPr>
            <w:tcW w:type="dxa" w:w="1704"/>
            <w:shd w:fill="D9EAF7"/>
          </w:tcPr>
          <w:p>
            <w:r>
              <w:rPr>
                <w:sz w:val="17"/>
              </w:rPr>
            </w:r>
            <w:r>
              <w:rPr>
                <w:b/>
                <w:sz w:val="17"/>
              </w:rPr>
              <w:t>Status</w:t>
            </w:r>
          </w:p>
        </w:tc>
        <w:tc>
          <w:tcPr>
            <w:tcW w:type="dxa" w:w="1704"/>
            <w:shd w:fill="D9EAF7"/>
          </w:tcPr>
          <w:p>
            <w:r>
              <w:rPr>
                <w:sz w:val="17"/>
              </w:rPr>
            </w:r>
            <w:r>
              <w:rPr>
                <w:b/>
                <w:sz w:val="17"/>
              </w:rPr>
              <w:t>Finding</w:t>
            </w:r>
          </w:p>
        </w:tc>
        <w:tc>
          <w:tcPr>
            <w:tcW w:type="dxa" w:w="1704"/>
            <w:shd w:fill="D9EAF7"/>
          </w:tcPr>
          <w:p>
            <w:r>
              <w:rPr>
                <w:sz w:val="17"/>
              </w:rPr>
            </w:r>
            <w:r>
              <w:rPr>
                <w:b/>
                <w:sz w:val="17"/>
              </w:rPr>
              <w:t>Workstream</w:t>
            </w:r>
          </w:p>
        </w:tc>
      </w:tr>
      <w:tr>
        <w:tc>
          <w:tcPr>
            <w:tcW w:type="dxa" w:w="1704"/>
            <w:vAlign w:val="top"/>
          </w:tcPr>
          <w:p>
            <w:r>
              <w:rPr>
                <w:sz w:val="17"/>
              </w:rPr>
            </w:r>
            <w:r>
              <w:rPr>
                <w:b w:val="0"/>
                <w:sz w:val="17"/>
              </w:rPr>
              <w:t>#2</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Missing Federal &amp; State New-Hire Forms (Form I-9, W-4, MI-W4)</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#39</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Michigan Unemployment Insurance Filings</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#27</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In Flight</w:t>
            </w:r>
          </w:p>
        </w:tc>
        <w:tc>
          <w:tcPr>
            <w:tcW w:type="dxa" w:w="1704"/>
            <w:vAlign w:val="top"/>
          </w:tcPr>
          <w:p>
            <w:r>
              <w:rPr>
                <w:sz w:val="17"/>
              </w:rPr>
            </w:r>
            <w:r>
              <w:rPr>
                <w:b w:val="0"/>
                <w:sz w:val="17"/>
              </w:rPr>
              <w:t>Office Succession — Betty Retirement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#1</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Deal Mechanics</w:t>
            </w:r>
          </w:p>
        </w:tc>
        <w:tc>
          <w:tcPr>
            <w:tcW w:type="dxa" w:w="1704"/>
            <w:vAlign w:val="top"/>
          </w:tcPr>
          <w:p>
            <w:r>
              <w:rPr>
                <w:sz w:val="17"/>
              </w:rPr>
            </w:r>
            <w:r>
              <w:rPr>
                <w:b w:val="0"/>
                <w:sz w:val="17"/>
              </w:rPr>
              <w:t>Banking Signature-Stamp Practice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#44</w:t>
            </w:r>
          </w:p>
        </w:tc>
        <w:tc>
          <w:tcPr>
            <w:tcW w:type="dxa" w:w="1704"/>
            <w:vAlign w:val="top"/>
          </w:tcPr>
          <w:p>
            <w:r>
              <w:rPr>
                <w:sz w:val="17"/>
              </w:rPr>
            </w:r>
            <w:r>
              <w:rPr>
                <w:b w:val="0"/>
                <w:sz w:val="17"/>
              </w:rPr>
              <w:t>Pre-close</w:t>
            </w:r>
          </w:p>
        </w:tc>
        <w:tc>
          <w:tcPr>
            <w:tcW w:type="dxa" w:w="1704"/>
            <w:vAlign w:val="top"/>
          </w:tcPr>
          <w:p>
            <w:r>
              <w:rPr>
                <w:sz w:val="17"/>
              </w:rPr>
            </w:r>
            <w:r>
              <w:rPr>
                <w:b w:val="0"/>
                <w:sz w:val="17"/>
              </w:rPr>
              <w:t>Low</w:t>
            </w:r>
          </w:p>
        </w:tc>
        <w:tc>
          <w:tcPr>
            <w:tcW w:type="dxa" w:w="1704"/>
            <w:vAlign w:val="top"/>
          </w:tcPr>
          <w:p>
            <w:r>
              <w:rPr>
                <w:sz w:val="17"/>
              </w:rPr>
            </w:r>
            <w:r>
              <w:rPr>
                <w:b w:val="0"/>
                <w:sz w:val="17"/>
              </w:rPr>
              <w:t>Scheduled</w:t>
            </w:r>
          </w:p>
        </w:tc>
        <w:tc>
          <w:tcPr>
            <w:tcW w:type="dxa" w:w="1704"/>
            <w:vAlign w:val="top"/>
          </w:tcPr>
          <w:p>
            <w:r>
              <w:rPr>
                <w:sz w:val="17"/>
              </w:rPr>
            </w:r>
            <w:r>
              <w:rPr>
                <w:b w:val="0"/>
                <w:sz w:val="17"/>
              </w:rPr>
              <w:t>BFS Act 144 Certification Verification</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#37</w:t>
            </w:r>
          </w:p>
        </w:tc>
        <w:tc>
          <w:tcPr>
            <w:tcW w:type="dxa" w:w="1704"/>
            <w:vAlign w:val="top"/>
          </w:tcPr>
          <w:p>
            <w:r>
              <w:rPr>
                <w:sz w:val="17"/>
              </w:rPr>
            </w:r>
            <w:r>
              <w:rPr>
                <w:b w:val="0"/>
                <w:sz w:val="17"/>
              </w:rPr>
              <w:t>0–90 days</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Undocumented Owner Knowledge</w:t>
            </w:r>
          </w:p>
        </w:tc>
        <w:tc>
          <w:tcPr>
            <w:tcW w:type="dxa" w:w="1704"/>
            <w:vAlign w:val="top"/>
          </w:tcPr>
          <w:p>
            <w:r>
              <w:rPr>
                <w:sz w:val="17"/>
              </w:rPr>
            </w:r>
            <w:r>
              <w:rPr>
                <w:b w:val="0"/>
                <w:sz w:val="17"/>
              </w:rPr>
              <w:t>Institutional Knowledge &amp; Key Relationships</w:t>
            </w:r>
          </w:p>
        </w:tc>
      </w:tr>
      <w:tr>
        <w:tc>
          <w:tcPr>
            <w:tcW w:type="dxa" w:w="1704"/>
            <w:vAlign w:val="top"/>
          </w:tcPr>
          <w:p>
            <w:r>
              <w:rPr>
                <w:sz w:val="17"/>
              </w:rPr>
            </w:r>
            <w:r>
              <w:rPr>
                <w:b w:val="0"/>
                <w:sz w:val="17"/>
              </w:rPr>
              <w:t>#16</w:t>
            </w:r>
          </w:p>
        </w:tc>
        <w:tc>
          <w:tcPr>
            <w:tcW w:type="dxa" w:w="1704"/>
            <w:vAlign w:val="top"/>
          </w:tcPr>
          <w:p>
            <w:r>
              <w:rPr>
                <w:sz w:val="17"/>
              </w:rPr>
            </w:r>
            <w:r>
              <w:rPr>
                <w:b w:val="0"/>
                <w:sz w:val="17"/>
              </w:rPr>
              <w:t>0–90 days</w:t>
            </w:r>
          </w:p>
        </w:tc>
        <w:tc>
          <w:tcPr>
            <w:tcW w:type="dxa" w:w="1704"/>
            <w:vAlign w:val="top"/>
          </w:tcPr>
          <w:p>
            <w:r>
              <w:rPr>
                <w:sz w:val="17"/>
              </w:rPr>
            </w:r>
            <w:r>
              <w:rPr>
                <w:b w:val="0"/>
                <w:sz w:val="17"/>
              </w:rPr>
              <w:t>Critical</w:t>
            </w:r>
          </w:p>
        </w:tc>
        <w:tc>
          <w:tcPr>
            <w:tcW w:type="dxa" w:w="1704"/>
            <w:vAlign w:val="top"/>
          </w:tcPr>
          <w:p>
            <w:r>
              <w:rPr>
                <w:sz w:val="17"/>
              </w:rPr>
            </w:r>
            <w:r>
              <w:rPr>
                <w:b w:val="0"/>
                <w:sz w:val="17"/>
              </w:rPr>
              <w:t>Sequenced</w:t>
            </w:r>
          </w:p>
        </w:tc>
        <w:tc>
          <w:tcPr>
            <w:tcW w:type="dxa" w:w="1704"/>
            <w:vAlign w:val="top"/>
          </w:tcPr>
          <w:p>
            <w:r>
              <w:rPr>
                <w:sz w:val="17"/>
              </w:rPr>
            </w:r>
            <w:r>
              <w:rPr>
                <w:b w:val="0"/>
                <w:sz w:val="17"/>
              </w:rPr>
              <w:t>Inspection Delivery Concentration — Single Point of Failure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#11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Scheduled</w:t>
            </w:r>
          </w:p>
        </w:tc>
        <w:tc>
          <w:tcPr>
            <w:tcW w:type="dxa" w:w="1704"/>
            <w:vAlign w:val="top"/>
          </w:tcPr>
          <w:p>
            <w:r>
              <w:rPr>
                <w:sz w:val="17"/>
              </w:rPr>
            </w:r>
            <w:r>
              <w:rPr>
                <w:b w:val="0"/>
                <w:sz w:val="17"/>
              </w:rPr>
              <w:t>Estimating Methodology Not Documented</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#17</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Field-to-Office Communication Gap</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#18</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Safety Program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#29</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IT Backup, Disaster Recovery, and Continuity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#30</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IT Security Posture Beyond the Email Account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Cyber Insurance Gap and Property-Form Cyber-Incident Exclusion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Deal Mechanics</w:t>
            </w:r>
          </w:p>
        </w:tc>
        <w:tc>
          <w:tcPr>
            <w:tcW w:type="dxa" w:w="1704"/>
            <w:vAlign w:val="top"/>
          </w:tcPr>
          <w:p>
            <w:r>
              <w:rPr>
                <w:sz w:val="17"/>
              </w:rPr>
            </w:r>
            <w:r>
              <w:rPr>
                <w:b w:val="0"/>
                <w:sz w:val="17"/>
              </w:rPr>
              <w:t>Internal Controls &amp; Segregation of Duties</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ISN / ISNetworld Prequalification Obligations</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#42</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Customer-Specific Compliance Tracking</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#21</w:t>
            </w:r>
          </w:p>
        </w:tc>
        <w:tc>
          <w:tcPr>
            <w:tcW w:type="dxa" w:w="1704"/>
            <w:vAlign w:val="top"/>
          </w:tcPr>
          <w:p>
            <w:r>
              <w:rPr>
                <w:sz w:val="17"/>
              </w:rPr>
            </w:r>
            <w:r>
              <w:rPr>
                <w:b w:val="0"/>
                <w:sz w:val="17"/>
              </w:rPr>
              <w:t>0–90 days</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No Defined Job Intake Data Model</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#4</w:t>
            </w:r>
          </w:p>
        </w:tc>
        <w:tc>
          <w:tcPr>
            <w:tcW w:type="dxa" w:w="1704"/>
            <w:vAlign w:val="top"/>
          </w:tcPr>
          <w:p>
            <w:r>
              <w:rPr>
                <w:sz w:val="17"/>
              </w:rPr>
            </w:r>
            <w:r>
              <w:rPr>
                <w:b w:val="0"/>
                <w:sz w:val="17"/>
              </w:rPr>
              <w:t>0–90 days</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Stale Accounts Receivable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#40</w:t>
            </w:r>
          </w:p>
        </w:tc>
        <w:tc>
          <w:tcPr>
            <w:tcW w:type="dxa" w:w="1704"/>
            <w:vAlign w:val="top"/>
          </w:tcPr>
          <w:p>
            <w:r>
              <w:rPr>
                <w:sz w:val="17"/>
              </w:rPr>
            </w:r>
            <w:r>
              <w:rPr>
                <w:b w:val="0"/>
                <w:sz w:val="17"/>
              </w:rPr>
              <w:t>Year 1</w:t>
            </w:r>
          </w:p>
        </w:tc>
        <w:tc>
          <w:tcPr>
            <w:tcW w:type="dxa" w:w="1704"/>
            <w:vAlign w:val="top"/>
          </w:tcPr>
          <w:p>
            <w:r>
              <w:rPr>
                <w:sz w:val="17"/>
              </w:rPr>
            </w:r>
            <w:r>
              <w:rPr>
                <w:b w:val="0"/>
                <w:sz w:val="17"/>
              </w:rPr>
              <w:t>Critical</w:t>
            </w:r>
          </w:p>
        </w:tc>
        <w:tc>
          <w:tcPr>
            <w:tcW w:type="dxa" w:w="1704"/>
            <w:vAlign w:val="top"/>
          </w:tcPr>
          <w:p>
            <w:r>
              <w:rPr>
                <w:sz w:val="17"/>
              </w:rPr>
            </w:r>
            <w:r>
              <w:rPr>
                <w:b w:val="0"/>
                <w:sz w:val="17"/>
              </w:rPr>
              <w:t>In Flight</w:t>
            </w:r>
          </w:p>
        </w:tc>
        <w:tc>
          <w:tcPr>
            <w:tcW w:type="dxa" w:w="1704"/>
            <w:vAlign w:val="top"/>
          </w:tcPr>
          <w:p>
            <w:r>
              <w:rPr>
                <w:sz w:val="17"/>
              </w:rPr>
            </w:r>
            <w:r>
              <w:rPr>
                <w:b w:val="0"/>
                <w:sz w:val="17"/>
              </w:rPr>
              <w:t>NFPA &amp; AHJ Knowledge Concentration</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#19</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Scheduled</w:t>
            </w:r>
          </w:p>
        </w:tc>
        <w:tc>
          <w:tcPr>
            <w:tcW w:type="dxa" w:w="1704"/>
            <w:vAlign w:val="top"/>
          </w:tcPr>
          <w:p>
            <w:r>
              <w:rPr>
                <w:sz w:val="17"/>
              </w:rPr>
            </w:r>
            <w:r>
              <w:rPr>
                <w:b w:val="0"/>
                <w:sz w:val="17"/>
              </w:rPr>
              <w:t>Project Management &amp; Subcontractor Management — GC-Seat Exposure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#28</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Field Workforce Recruiting &amp; Retention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#12</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Sequenced</w:t>
            </w:r>
          </w:p>
        </w:tc>
        <w:tc>
          <w:tcPr>
            <w:tcW w:type="dxa" w:w="1704"/>
            <w:vAlign w:val="top"/>
          </w:tcPr>
          <w:p>
            <w:r>
              <w:rPr>
                <w:sz w:val="17"/>
              </w:rPr>
            </w:r>
            <w:r>
              <w:rPr>
                <w:b w:val="0"/>
                <w:sz w:val="17"/>
              </w:rPr>
              <w:t>Absence of Standing Inspection Service Agreements</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#13</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Declining Inspection Volume &amp; Competitive Consolidation Risk</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#20</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Absence of Written QA/QC Program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#8</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Scheduled</w:t>
            </w:r>
          </w:p>
        </w:tc>
        <w:tc>
          <w:tcPr>
            <w:tcW w:type="dxa" w:w="1704"/>
            <w:vAlign w:val="top"/>
          </w:tcPr>
          <w:p>
            <w:r>
              <w:rPr>
                <w:sz w:val="17"/>
              </w:rPr>
            </w:r>
            <w:r>
              <w:rPr>
                <w:b w:val="0"/>
                <w:sz w:val="17"/>
              </w:rPr>
              <w:t>Certified Payroll — Tooling &amp; Data-Structure Gap</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#7</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QuickBooks Customer Master Data Quality</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#22</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AHJ Rough-In / Final Re-Trip Cost Exposure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Records Retention Obligations Going Unmet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Software Inventory and Identity Management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Hiring, Onboarding &amp; Termination Process Definition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#36</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HR Compliance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#43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Absence of AHJ / Fire Marshal Register</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#14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No CRM or Pipeline System</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Rough-In Artifact Preparation &amp; Centralization Gap</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Inspection Management System Absent (No ITM Platform)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Chart of Accounts — Expense-Side Structure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#6</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Revenue-Side Segmentation</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#9</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Certificate of Insurance Tracking</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#10</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Budgeting, Forecasting &amp; Management Reporting</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#15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Declined Inspection-Adjacent Inbound Service Volume (Revenue Leakage)</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Fleet Maintenance Tracking</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#32</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Mobile Device Management &amp; Endpoint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#26</w:t>
            </w:r>
          </w:p>
        </w:tc>
        <w:tc>
          <w:tcPr>
            <w:tcW w:type="dxa" w:w="1704"/>
            <w:vAlign w:val="top"/>
          </w:tcPr>
          <w:p>
            <w:r>
              <w:rPr>
                <w:sz w:val="17"/>
              </w:rPr>
            </w:r>
            <w:r>
              <w:rPr>
                <w:b w:val="0"/>
                <w:sz w:val="17"/>
              </w:rPr>
              <w:t>Year 1</w:t>
            </w:r>
          </w:p>
        </w:tc>
        <w:tc>
          <w:tcPr>
            <w:tcW w:type="dxa" w:w="1704"/>
            <w:vAlign w:val="top"/>
          </w:tcPr>
          <w:p>
            <w:r>
              <w:rPr>
                <w:sz w:val="17"/>
              </w:rPr>
            </w:r>
            <w:r>
              <w:rPr>
                <w:b w:val="0"/>
                <w:sz w:val="17"/>
              </w:rPr>
              <w:t>Low</w:t>
            </w:r>
          </w:p>
        </w:tc>
        <w:tc>
          <w:tcPr>
            <w:tcW w:type="dxa" w:w="1704"/>
            <w:vAlign w:val="top"/>
          </w:tcPr>
          <w:p>
            <w:r>
              <w:rPr>
                <w:sz w:val="17"/>
              </w:rPr>
            </w:r>
            <w:r>
              <w:rPr>
                <w:b w:val="0"/>
                <w:sz w:val="17"/>
              </w:rPr>
              <w:t>Open</w:t>
            </w:r>
          </w:p>
        </w:tc>
        <w:tc>
          <w:tcPr>
            <w:tcW w:type="dxa" w:w="1704"/>
            <w:vAlign w:val="top"/>
          </w:tcPr>
          <w:p>
            <w:r>
              <w:rPr>
                <w:sz w:val="17"/>
              </w:rPr>
            </w:r>
            <w:r>
              <w:rPr>
                <w:b w:val="0"/>
                <w:sz w:val="17"/>
              </w:rPr>
              <w:t>Inventory Management</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#38</w:t>
            </w:r>
          </w:p>
        </w:tc>
        <w:tc>
          <w:tcPr>
            <w:tcW w:type="dxa" w:w="1704"/>
            <w:vAlign w:val="top"/>
          </w:tcPr>
          <w:p>
            <w:r>
              <w:rPr>
                <w:sz w:val="17"/>
              </w:rPr>
            </w:r>
            <w:r>
              <w:rPr>
                <w:b w:val="0"/>
                <w:sz w:val="17"/>
              </w:rPr>
              <w:t>Strategic</w:t>
            </w:r>
          </w:p>
        </w:tc>
        <w:tc>
          <w:tcPr>
            <w:tcW w:type="dxa" w:w="1704"/>
            <w:vAlign w:val="top"/>
          </w:tcPr>
          <w:p>
            <w:r>
              <w:rPr>
                <w:sz w:val="17"/>
              </w:rPr>
            </w:r>
            <w:r>
              <w:rPr>
                <w:b w:val="0"/>
                <w:sz w:val="17"/>
              </w:rPr>
              <w:t>High</w:t>
            </w:r>
          </w:p>
        </w:tc>
        <w:tc>
          <w:tcPr>
            <w:tcW w:type="dxa" w:w="1704"/>
            <w:vAlign w:val="top"/>
          </w:tcPr>
          <w:p>
            <w:r>
              <w:rPr>
                <w:sz w:val="17"/>
              </w:rPr>
            </w:r>
            <w:r>
              <w:rPr>
                <w:b w:val="0"/>
                <w:sz w:val="17"/>
              </w:rPr>
              <w:t>Sequenced</w:t>
            </w:r>
          </w:p>
        </w:tc>
        <w:tc>
          <w:tcPr>
            <w:tcW w:type="dxa" w:w="1704"/>
            <w:vAlign w:val="top"/>
          </w:tcPr>
          <w:p>
            <w:r>
              <w:rPr>
                <w:sz w:val="17"/>
              </w:rPr>
            </w:r>
            <w:r>
              <w:rPr>
                <w:b w:val="0"/>
                <w:sz w:val="17"/>
              </w:rPr>
              <w:t>Customer Concentration</w:t>
            </w:r>
          </w:p>
        </w:tc>
        <w:tc>
          <w:tcPr>
            <w:tcW w:type="dxa" w:w="1704"/>
            <w:vAlign w:val="top"/>
          </w:tcPr>
          <w:p>
            <w:r>
              <w:rPr>
                <w:sz w:val="17"/>
              </w:rPr>
            </w:r>
            <w:r>
              <w:rPr>
                <w:b w:val="0"/>
                <w:sz w:val="17"/>
              </w:rPr>
              <w:t>Institutional Knowledge &amp; Key Relationships</w:t>
            </w:r>
          </w:p>
        </w:tc>
      </w:tr>
    </w:tbl>
    <w:p>
      <w:r>
        <w:t>Narrative summary. Pre-close work is dominated by visible-state compliance and transaction-mechanics items: new-hire form cleanup, UIA reconstruction, office succession, BFS certification verification, and the sunset of the legacy banking signature-stamp practice. The first 90 days focus on business-continuity risks: inspection-delivery concentration, field-to-office communication,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t>3. Sequencing &amp; Dependencies</w:t>
      </w:r>
    </w:p>
    <w:p>
      <w: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7"/>
              </w:rPr>
            </w:r>
            <w:r>
              <w:rPr>
                <w:b/>
                <w:sz w:val="17"/>
              </w:rPr>
              <w:t>Dependency / Critical Path Item</w:t>
            </w:r>
          </w:p>
        </w:tc>
        <w:tc>
          <w:tcPr>
            <w:tcW w:type="dxa" w:w="5112"/>
            <w:shd w:fill="D9EAF7"/>
          </w:tcPr>
          <w:p>
            <w:r>
              <w:rPr>
                <w:sz w:val="17"/>
              </w:rPr>
            </w:r>
            <w:r>
              <w:rPr>
                <w:b/>
                <w:sz w:val="17"/>
              </w:rPr>
              <w:t>Downstream effect</w:t>
            </w:r>
          </w:p>
        </w:tc>
      </w:tr>
      <w:tr>
        <w:tc>
          <w:tcPr>
            <w:tcW w:type="dxa" w:w="5112"/>
            <w:vAlign w:val="top"/>
          </w:tcPr>
          <w:p>
            <w:r>
              <w:rPr>
                <w:sz w:val="17"/>
              </w:rPr>
            </w:r>
            <w:r>
              <w:rPr>
                <w:b w:val="0"/>
                <w:sz w:val="17"/>
              </w:rPr>
              <w:t>Inspection-delivery hire decision</w:t>
            </w:r>
          </w:p>
        </w:tc>
        <w:tc>
          <w:tcPr>
            <w:tcW w:type="dxa" w:w="5112"/>
            <w:vAlign w:val="top"/>
          </w:tcPr>
          <w:p>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tcPr>
          <w:p>
            <w:r>
              <w:rPr>
                <w:sz w:val="17"/>
              </w:rPr>
            </w:r>
            <w:r>
              <w:rPr>
                <w:b w:val="0"/>
                <w:sz w:val="17"/>
              </w:rPr>
              <w:t>Deal close / buy-in mechanics</w:t>
            </w:r>
          </w:p>
        </w:tc>
        <w:tc>
          <w:tcPr>
            <w:tcW w:type="dxa" w:w="5112"/>
            <w:vAlign w:val="top"/>
          </w:tcPr>
          <w:p>
            <w:r>
              <w:rPr>
                <w:sz w:val="17"/>
              </w:rPr>
            </w:r>
            <w:r>
              <w:rPr>
                <w:b w:val="0"/>
                <w:sz w:val="17"/>
              </w:rPr>
              <w:t>Unlocks Findings #1 and #3 through new banking relationships, authority tiers, and dual-control thresholds in the shareholder or operating agreement.</w:t>
            </w:r>
          </w:p>
        </w:tc>
      </w:tr>
      <w:tr>
        <w:tc>
          <w:tcPr>
            <w:tcW w:type="dxa" w:w="5112"/>
            <w:vAlign w:val="top"/>
          </w:tcPr>
          <w:p>
            <w:r>
              <w:rPr>
                <w:sz w:val="17"/>
              </w:rPr>
            </w:r>
            <w:r>
              <w:rPr>
                <w:b w:val="0"/>
                <w:sz w:val="17"/>
              </w:rPr>
              <w:t>QuickBooks Desktop → QBO / Payroll migration</w:t>
            </w:r>
          </w:p>
        </w:tc>
        <w:tc>
          <w:tcPr>
            <w:tcW w:type="dxa" w:w="5112"/>
            <w:vAlign w:val="top"/>
          </w:tcPr>
          <w:p>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tcPr>
          <w:p>
            <w:r>
              <w:rPr>
                <w:sz w:val="17"/>
              </w:rPr>
            </w:r>
            <w:r>
              <w:rPr>
                <w:b w:val="0"/>
                <w:sz w:val="17"/>
              </w:rPr>
              <w:t>HR / compliance calendar buildout</w:t>
            </w:r>
          </w:p>
        </w:tc>
        <w:tc>
          <w:tcPr>
            <w:tcW w:type="dxa" w:w="5112"/>
            <w:vAlign w:val="top"/>
          </w:tcPr>
          <w:p>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tcPr>
          <w:p>
            <w:r>
              <w:rPr>
                <w:sz w:val="17"/>
              </w:rPr>
            </w:r>
            <w:r>
              <w:rPr>
                <w:b w:val="0"/>
                <w:sz w:val="17"/>
              </w:rPr>
              <w:t>Field Crew Communication + Job Tracking adoption</w:t>
            </w:r>
          </w:p>
        </w:tc>
        <w:tc>
          <w:tcPr>
            <w:tcW w:type="dxa" w:w="5112"/>
            <w:vAlign w:val="top"/>
          </w:tcPr>
          <w:p>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tcPr>
          <w:p>
            <w:r>
              <w:rPr>
                <w:sz w:val="17"/>
              </w:rPr>
            </w:r>
            <w:r>
              <w:rPr>
                <w:b w:val="0"/>
                <w:sz w:val="17"/>
              </w:rPr>
              <w:t>Estimating methodology capture</w:t>
            </w:r>
          </w:p>
        </w:tc>
        <w:tc>
          <w:tcPr>
            <w:tcW w:type="dxa" w:w="5112"/>
            <w:vAlign w:val="top"/>
          </w:tcPr>
          <w:p>
            <w:r>
              <w:rPr>
                <w:sz w:val="17"/>
              </w:rPr>
            </w:r>
            <w:r>
              <w:rPr>
                <w:b w:val="0"/>
                <w:sz w:val="17"/>
              </w:rPr>
              <w:t>Highest-leverage owner-knowledge dependency; also supports sales training, pricing discipline, budget forecasting, and eventual delegation of estimate preparation.</w:t>
            </w:r>
          </w:p>
        </w:tc>
      </w:tr>
    </w:tbl>
    <w:p>
      <w:pPr>
        <w:pStyle w:val="Heading2"/>
      </w:pPr>
      <w:r>
        <w:t>3.1 Workflow Documentation Backlog</w:t>
      </w:r>
    </w:p>
    <w:p>
      <w: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7"/>
              </w:rPr>
            </w:r>
            <w:r>
              <w:rPr>
                <w:b/>
                <w:sz w:val="17"/>
              </w:rPr>
              <w:t>Workflow</w:t>
            </w:r>
          </w:p>
        </w:tc>
        <w:tc>
          <w:tcPr>
            <w:tcW w:type="dxa" w:w="3408"/>
            <w:shd w:fill="D9EAF7"/>
          </w:tcPr>
          <w:p>
            <w:r>
              <w:rPr>
                <w:sz w:val="17"/>
              </w:rPr>
            </w:r>
            <w:r>
              <w:rPr>
                <w:b/>
                <w:sz w:val="17"/>
              </w:rPr>
              <w:t>Current-state flow to capture</w:t>
            </w:r>
          </w:p>
        </w:tc>
        <w:tc>
          <w:tcPr>
            <w:tcW w:type="dxa" w:w="3408"/>
            <w:shd w:fill="D9EAF7"/>
          </w:tcPr>
          <w:p>
            <w:r>
              <w:rPr>
                <w:sz w:val="17"/>
              </w:rPr>
            </w:r>
            <w:r>
              <w:rPr>
                <w:b/>
                <w:sz w:val="17"/>
              </w:rPr>
              <w:t>Modernization linkage</w:t>
            </w:r>
          </w:p>
        </w:tc>
      </w:tr>
      <w:tr>
        <w:tc>
          <w:tcPr>
            <w:tcW w:type="dxa" w:w="3408"/>
            <w:vAlign w:val="top"/>
          </w:tcPr>
          <w:p>
            <w:r>
              <w:rPr>
                <w:sz w:val="17"/>
              </w:rPr>
            </w:r>
            <w:r>
              <w:rPr>
                <w:b w:val="0"/>
                <w:sz w:val="17"/>
              </w:rPr>
              <w:t>Service Work Order → Pricing → Invoicing</w:t>
            </w:r>
          </w:p>
        </w:tc>
        <w:tc>
          <w:tcPr>
            <w:tcW w:type="dxa" w:w="3408"/>
            <w:vAlign w:val="top"/>
          </w:tcPr>
          <w:p>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r>
              <w:rPr>
                <w:sz w:val="17"/>
              </w:rPr>
            </w:r>
            <w:r>
              <w:rPr>
                <w:b w:val="0"/>
                <w:sz w:val="17"/>
              </w:rPr>
              <w:t>Current-State §2.3; supports billing-control and service-margin modernization.</w:t>
            </w:r>
          </w:p>
        </w:tc>
      </w:tr>
      <w:tr>
        <w:tc>
          <w:tcPr>
            <w:tcW w:type="dxa" w:w="3408"/>
            <w:vAlign w:val="top"/>
          </w:tcPr>
          <w:p>
            <w:r>
              <w:rPr>
                <w:sz w:val="17"/>
              </w:rPr>
            </w:r>
            <w:r>
              <w:rPr>
                <w:b w:val="0"/>
                <w:sz w:val="17"/>
              </w:rPr>
              <w:t>Marketing &amp; Sales Funnel / Inbound Opportunity Intake</w:t>
            </w:r>
          </w:p>
        </w:tc>
        <w:tc>
          <w:tcPr>
            <w:tcW w:type="dxa" w:w="3408"/>
            <w:vAlign w:val="top"/>
          </w:tcPr>
          <w:p>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r>
              <w:rPr>
                <w:sz w:val="17"/>
              </w:rPr>
            </w:r>
            <w:r>
              <w:rPr>
                <w:b w:val="0"/>
                <w:sz w:val="17"/>
              </w:rPr>
              <w:t>Ties directly to Findings #12, #14, #15, #28, and #38; captures the current low-system, relationship-driven sales motion before CRM design.</w:t>
            </w:r>
          </w:p>
        </w:tc>
      </w:tr>
      <w:tr>
        <w:tc>
          <w:tcPr>
            <w:tcW w:type="dxa" w:w="3408"/>
            <w:vAlign w:val="top"/>
          </w:tcPr>
          <w:p>
            <w:r>
              <w:rPr>
                <w:sz w:val="17"/>
              </w:rPr>
            </w:r>
            <w:r>
              <w:rPr>
                <w:b w:val="0"/>
                <w:sz w:val="17"/>
              </w:rPr>
              <w:t>Installation Job Award → Contract Review → Execution → Billing/Retainage</w:t>
            </w:r>
          </w:p>
        </w:tc>
        <w:tc>
          <w:tcPr>
            <w:tcW w:type="dxa" w:w="3408"/>
            <w:vAlign w:val="top"/>
          </w:tcPr>
          <w:p>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r>
              <w:rPr>
                <w:sz w:val="17"/>
              </w:rPr>
            </w:r>
            <w:r>
              <w:rPr>
                <w:b w:val="0"/>
                <w:sz w:val="17"/>
              </w:rPr>
              <w:t>Current-State §2.2–§2.3; supports PM/subcontractor-management and billing process remediation.</w:t>
            </w:r>
          </w:p>
        </w:tc>
      </w:tr>
      <w:tr>
        <w:tc>
          <w:tcPr>
            <w:tcW w:type="dxa" w:w="3408"/>
            <w:vAlign w:val="top"/>
          </w:tcPr>
          <w:p>
            <w:r>
              <w:rPr>
                <w:sz w:val="17"/>
              </w:rPr>
            </w:r>
            <w:r>
              <w:rPr>
                <w:b w:val="0"/>
                <w:sz w:val="17"/>
              </w:rPr>
              <w:t>Inspection Intake → Scheduling → NFPA-25 Report → Billing / Follow-up</w:t>
            </w:r>
          </w:p>
        </w:tc>
        <w:tc>
          <w:tcPr>
            <w:tcW w:type="dxa" w:w="3408"/>
            <w:vAlign w:val="top"/>
          </w:tcPr>
          <w:p>
            <w:r>
              <w:rPr>
                <w:sz w:val="17"/>
              </w:rPr>
            </w:r>
            <w:r>
              <w:rPr>
                <w:b w:val="0"/>
                <w:sz w:val="17"/>
              </w:rPr>
              <w:t>Inbound inspection request, Keith scheduling, report preparation, deficiency handling, customer communication, invoice generation, and follow-up.</w:t>
            </w:r>
          </w:p>
        </w:tc>
        <w:tc>
          <w:tcPr>
            <w:tcW w:type="dxa" w:w="3408"/>
            <w:vAlign w:val="top"/>
          </w:tcPr>
          <w:p>
            <w:r>
              <w:rPr>
                <w:sz w:val="17"/>
              </w:rPr>
            </w:r>
            <w:r>
              <w:rPr>
                <w:b w:val="0"/>
                <w:sz w:val="17"/>
              </w:rPr>
              <w:t>Ties to inspection-delivery concentration, ITM platform decision, standing inspection agreements, and declined inspection-adjacent demand.</w:t>
            </w:r>
          </w:p>
        </w:tc>
      </w:tr>
      <w:tr>
        <w:tc>
          <w:tcPr>
            <w:tcW w:type="dxa" w:w="3408"/>
            <w:vAlign w:val="top"/>
          </w:tcPr>
          <w:p>
            <w:r>
              <w:rPr>
                <w:sz w:val="17"/>
              </w:rPr>
            </w:r>
            <w:r>
              <w:rPr>
                <w:b w:val="0"/>
                <w:sz w:val="17"/>
              </w:rPr>
              <w:t>Payroll / Timecard Flow</w:t>
            </w:r>
          </w:p>
        </w:tc>
        <w:tc>
          <w:tcPr>
            <w:tcW w:type="dxa" w:w="3408"/>
            <w:vAlign w:val="top"/>
          </w:tcPr>
          <w:p>
            <w:r>
              <w:rPr>
                <w:sz w:val="17"/>
              </w:rPr>
            </w:r>
            <w:r>
              <w:rPr>
                <w:b w:val="0"/>
                <w:sz w:val="17"/>
              </w:rPr>
              <w:t>Paper timesheets, field submission, AT&amp;C payroll processing, certified payroll spreadsheet maintenance, and target QBO Payroll / digital timecard transition.</w:t>
            </w:r>
          </w:p>
        </w:tc>
        <w:tc>
          <w:tcPr>
            <w:tcW w:type="dxa" w:w="3408"/>
            <w:vAlign w:val="top"/>
          </w:tcPr>
          <w:p>
            <w:r>
              <w:rPr>
                <w:sz w:val="17"/>
              </w:rPr>
            </w:r>
            <w:r>
              <w:rPr>
                <w:b w:val="0"/>
                <w:sz w:val="17"/>
              </w:rPr>
              <w:t>Supports Finding #8 and payroll modernization path.</w:t>
            </w:r>
          </w:p>
        </w:tc>
      </w:tr>
      <w:tr>
        <w:tc>
          <w:tcPr>
            <w:tcW w:type="dxa" w:w="3408"/>
            <w:vAlign w:val="top"/>
          </w:tcPr>
          <w:p>
            <w:r>
              <w:rPr>
                <w:sz w:val="17"/>
              </w:rPr>
            </w:r>
            <w:r>
              <w:rPr>
                <w:b w:val="0"/>
                <w:sz w:val="17"/>
              </w:rPr>
              <w:t>New Hire / Onboarding Flow</w:t>
            </w:r>
          </w:p>
        </w:tc>
        <w:tc>
          <w:tcPr>
            <w:tcW w:type="dxa" w:w="3408"/>
            <w:vAlign w:val="top"/>
          </w:tcPr>
          <w:p>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r>
              <w:rPr>
                <w:sz w:val="17"/>
              </w:rPr>
            </w:r>
            <w:r>
              <w:rPr>
                <w:b w:val="0"/>
                <w:sz w:val="17"/>
              </w:rPr>
              <w:t>Supports Findings #2, #18, #28, #35, and #36.</w:t>
            </w:r>
          </w:p>
        </w:tc>
      </w:tr>
    </w:tbl>
    <w:p>
      <w:pPr>
        <w:pStyle w:val="Heading1"/>
      </w:pPr>
      <w:r>
        <w:t>4. Resource &amp; Effort Summary</w:t>
      </w:r>
    </w:p>
    <w:p>
      <w: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7"/>
              </w:rPr>
            </w:r>
            <w:r>
              <w:rPr>
                <w:b/>
                <w:sz w:val="17"/>
              </w:rPr>
              <w:t>Resource</w:t>
            </w:r>
          </w:p>
        </w:tc>
        <w:tc>
          <w:tcPr>
            <w:tcW w:type="dxa" w:w="3408"/>
            <w:shd w:fill="D9EAF7"/>
          </w:tcPr>
          <w:p>
            <w:r>
              <w:rPr>
                <w:sz w:val="17"/>
              </w:rPr>
            </w:r>
            <w:r>
              <w:rPr>
                <w:b/>
                <w:sz w:val="17"/>
              </w:rPr>
              <w:t>Likely role</w:t>
            </w:r>
          </w:p>
        </w:tc>
        <w:tc>
          <w:tcPr>
            <w:tcW w:type="dxa" w:w="3408"/>
            <w:shd w:fill="D9EAF7"/>
          </w:tcPr>
          <w:p>
            <w:r>
              <w:rPr>
                <w:sz w:val="17"/>
              </w:rPr>
            </w:r>
            <w:r>
              <w:rPr>
                <w:b/>
                <w:sz w:val="17"/>
              </w:rPr>
              <w:t>Capacity note</w:t>
            </w:r>
          </w:p>
        </w:tc>
      </w:tr>
      <w:tr>
        <w:tc>
          <w:tcPr>
            <w:tcW w:type="dxa" w:w="3408"/>
            <w:vAlign w:val="top"/>
          </w:tcPr>
          <w:p>
            <w:r>
              <w:rPr>
                <w:sz w:val="17"/>
              </w:rPr>
            </w:r>
            <w:r>
              <w:rPr>
                <w:b w:val="0"/>
                <w:sz w:val="17"/>
              </w:rPr>
              <w:t>Justin / Predictive Lines</w:t>
            </w:r>
          </w:p>
        </w:tc>
        <w:tc>
          <w:tcPr>
            <w:tcW w:type="dxa" w:w="3408"/>
            <w:vAlign w:val="top"/>
          </w:tcPr>
          <w:p>
            <w:r>
              <w:rPr>
                <w:sz w:val="17"/>
              </w:rPr>
            </w:r>
            <w:r>
              <w:rPr>
                <w:b w:val="0"/>
                <w:sz w:val="17"/>
              </w:rPr>
              <w:t>Roadmap owner; document/process design; Notion + OpenClaw implementation; operating-model decisions; May 11/18 working sessions.</w:t>
            </w:r>
          </w:p>
        </w:tc>
        <w:tc>
          <w:tcPr>
            <w:tcW w:type="dxa" w:w="3408"/>
            <w:vAlign w:val="top"/>
          </w:tcPr>
          <w:p>
            <w:r>
              <w:rPr>
                <w:sz w:val="17"/>
              </w:rPr>
            </w:r>
            <w:r>
              <w:rPr>
                <w:b w:val="0"/>
                <w:sz w:val="17"/>
              </w:rPr>
              <w:t>High through first 90 days, tapering in Year 1.</w:t>
            </w:r>
          </w:p>
        </w:tc>
      </w:tr>
      <w:tr>
        <w:tc>
          <w:tcPr>
            <w:tcW w:type="dxa" w:w="3408"/>
            <w:vAlign w:val="top"/>
          </w:tcPr>
          <w:p>
            <w:r>
              <w:rPr>
                <w:sz w:val="17"/>
              </w:rPr>
            </w:r>
            <w:r>
              <w:rPr>
                <w:b w:val="0"/>
                <w:sz w:val="17"/>
              </w:rPr>
              <w:t>Kevin</w:t>
            </w:r>
          </w:p>
        </w:tc>
        <w:tc>
          <w:tcPr>
            <w:tcW w:type="dxa" w:w="3408"/>
            <w:vAlign w:val="top"/>
          </w:tcPr>
          <w:p>
            <w:r>
              <w:rPr>
                <w:sz w:val="17"/>
              </w:rPr>
            </w:r>
            <w:r>
              <w:rPr>
                <w:b w:val="0"/>
                <w:sz w:val="17"/>
              </w:rPr>
              <w:t>Source of owner knowledge, estimating methodology, customer relationships, banking authority transition, PM/subcontractor-management discussion.</w:t>
            </w:r>
          </w:p>
        </w:tc>
        <w:tc>
          <w:tcPr>
            <w:tcW w:type="dxa" w:w="3408"/>
            <w:vAlign w:val="top"/>
          </w:tcPr>
          <w:p>
            <w:r>
              <w:rPr>
                <w:sz w:val="17"/>
              </w:rPr>
            </w:r>
            <w:r>
              <w:rPr>
                <w:b w:val="0"/>
                <w:sz w:val="17"/>
              </w:rPr>
              <w:t>High but must be tightly scheduled; use interviews/workshops, not open-ended asks.</w:t>
            </w:r>
          </w:p>
        </w:tc>
      </w:tr>
      <w:tr>
        <w:tc>
          <w:tcPr>
            <w:tcW w:type="dxa" w:w="3408"/>
            <w:vAlign w:val="top"/>
          </w:tcPr>
          <w:p>
            <w:r>
              <w:rPr>
                <w:sz w:val="17"/>
              </w:rPr>
            </w:r>
            <w:r>
              <w:rPr>
                <w:b w:val="0"/>
                <w:sz w:val="17"/>
              </w:rPr>
              <w:t>Jaclyn</w:t>
            </w:r>
          </w:p>
        </w:tc>
        <w:tc>
          <w:tcPr>
            <w:tcW w:type="dxa" w:w="3408"/>
            <w:vAlign w:val="top"/>
          </w:tcPr>
          <w:p>
            <w:r>
              <w:rPr>
                <w:sz w:val="17"/>
              </w:rPr>
            </w:r>
            <w:r>
              <w:rPr>
                <w:b w:val="0"/>
                <w:sz w:val="17"/>
              </w:rPr>
              <w:t>Finance/control environment, QBO/payroll migration decisions, reporting cadence, approval authority, vendor/payment controls.</w:t>
            </w:r>
          </w:p>
        </w:tc>
        <w:tc>
          <w:tcPr>
            <w:tcW w:type="dxa" w:w="3408"/>
            <w:vAlign w:val="top"/>
          </w:tcPr>
          <w:p>
            <w:r>
              <w:rPr>
                <w:sz w:val="17"/>
              </w:rPr>
            </w:r>
            <w:r>
              <w:rPr>
                <w:b w:val="0"/>
                <w:sz w:val="17"/>
              </w:rPr>
              <w:t>Moderate; spikes around finance migration and internal controls.</w:t>
            </w:r>
          </w:p>
        </w:tc>
      </w:tr>
      <w:tr>
        <w:tc>
          <w:tcPr>
            <w:tcW w:type="dxa" w:w="3408"/>
            <w:vAlign w:val="top"/>
          </w:tcPr>
          <w:p>
            <w:r>
              <w:rPr>
                <w:sz w:val="17"/>
              </w:rPr>
            </w:r>
            <w:r>
              <w:rPr>
                <w:b w:val="0"/>
                <w:sz w:val="17"/>
              </w:rPr>
              <w:t>AT&amp;C</w:t>
            </w:r>
          </w:p>
        </w:tc>
        <w:tc>
          <w:tcPr>
            <w:tcW w:type="dxa" w:w="3408"/>
            <w:vAlign w:val="top"/>
          </w:tcPr>
          <w:p>
            <w:r>
              <w:rPr>
                <w:sz w:val="17"/>
              </w:rPr>
            </w:r>
            <w:r>
              <w:rPr>
                <w:b w:val="0"/>
                <w:sz w:val="17"/>
              </w:rPr>
              <w:t>UIA reconstruction, payroll/tax support, QuickBooks transition support, chart-of-accounts cleanup.</w:t>
            </w:r>
          </w:p>
        </w:tc>
        <w:tc>
          <w:tcPr>
            <w:tcW w:type="dxa" w:w="3408"/>
            <w:vAlign w:val="top"/>
          </w:tcPr>
          <w:p>
            <w:r>
              <w:rPr>
                <w:sz w:val="17"/>
              </w:rPr>
            </w:r>
            <w:r>
              <w:rPr>
                <w:b w:val="0"/>
                <w:sz w:val="17"/>
              </w:rPr>
              <w:t>Moderate; external dependency and possible bottleneck.</w:t>
            </w:r>
          </w:p>
        </w:tc>
      </w:tr>
      <w:tr>
        <w:tc>
          <w:tcPr>
            <w:tcW w:type="dxa" w:w="3408"/>
            <w:vAlign w:val="top"/>
          </w:tcPr>
          <w:p>
            <w:r>
              <w:rPr>
                <w:sz w:val="17"/>
              </w:rPr>
            </w:r>
            <w:r>
              <w:rPr>
                <w:b w:val="0"/>
                <w:sz w:val="17"/>
              </w:rPr>
              <w:t>External vendors</w:t>
            </w:r>
          </w:p>
        </w:tc>
        <w:tc>
          <w:tcPr>
            <w:tcW w:type="dxa" w:w="3408"/>
            <w:vAlign w:val="top"/>
          </w:tcPr>
          <w:p>
            <w:r>
              <w:rPr>
                <w:sz w:val="17"/>
              </w:rPr>
            </w:r>
            <w:r>
              <w:rPr>
                <w:b w:val="0"/>
                <w:sz w:val="17"/>
              </w:rPr>
              <w:t>Lee Init / IT, Gauthier Insurance, StangDS, potential ITM platform vendor, possible HR/payroll support.</w:t>
            </w:r>
          </w:p>
        </w:tc>
        <w:tc>
          <w:tcPr>
            <w:tcW w:type="dxa" w:w="3408"/>
            <w:vAlign w:val="top"/>
          </w:tcPr>
          <w:p>
            <w:r>
              <w:rPr>
                <w:sz w:val="17"/>
              </w:rPr>
            </w:r>
            <w:r>
              <w:rPr>
                <w:b w:val="0"/>
                <w:sz w:val="17"/>
              </w:rPr>
              <w:t>Use where specialized capacity prevents Justin/Kevin bottlenecks.</w:t>
            </w:r>
          </w:p>
        </w:tc>
      </w:tr>
    </w:tbl>
    <w:p>
      <w:pPr>
        <w:pStyle w:val="Heading1"/>
      </w:pPr>
      <w:r>
        <w:t>5. Workstream-Aligned Remediation Plans</w:t>
      </w:r>
    </w:p>
    <w:p>
      <w: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t>5.1 Financial Operations &amp; Controls</w:t>
      </w:r>
    </w:p>
    <w:p>
      <w:pPr>
        <w:pStyle w:val="Heading3"/>
      </w:pPr>
      <w:r>
        <w:t>Finding #1 — Banking Signature-Stamp Practice (Critical)</w:t>
      </w:r>
    </w:p>
    <w:p>
      <w:r>
        <w:rPr>
          <w:b/>
        </w:rPr>
        <w:t xml:space="preserve">Cross-reference: </w:t>
      </w:r>
      <w:r>
        <w:t>Gap Analysis §3.1; Current-State §2.1</w:t>
      </w:r>
    </w:p>
    <w:p>
      <w:r>
        <w:rPr>
          <w:b/>
        </w:rPr>
        <w:t xml:space="preserve">Status: </w:t>
      </w:r>
      <w:r>
        <w:t>Deal Mechanics — Sunsets at Betty's mid-May 2026 retirement and the buy-in; spending-authority tiers and dual-control thresholds being pulled forward from the existing operating agreement into the new shareholders' agreement at close.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 — Missing Federal &amp; State New-Hire Forms (Form I-9, W-4, MI-W4) (Critical)</w:t>
      </w:r>
    </w:p>
    <w:p>
      <w:r>
        <w:rPr>
          <w:b/>
        </w:rPr>
        <w:t xml:space="preserve">Cross-reference: </w:t>
      </w:r>
      <w:r>
        <w:t>Gap Analysis §3.1; Current-State §2.4</w:t>
      </w:r>
    </w:p>
    <w:p>
      <w:r>
        <w:rPr>
          <w:b/>
        </w:rPr>
        <w:t xml:space="preserve">Status: </w:t>
      </w:r>
      <w:r>
        <w:t>Scheduled — Workforce-wide audit and replacement-form collection on the May 11 on-site agenda; the New Employee Onboarding Checklist (Notion) is the standing process for new hires going forward.</w:t>
      </w:r>
    </w:p>
    <w:p>
      <w:r>
        <w:rPr>
          <w:b/>
        </w:rPr>
        <w:t xml:space="preserve">Owner: </w:t>
      </w:r>
      <w:r>
        <w:t>Justin / Krissy, with Kevin support as needed</w:t>
      </w:r>
    </w:p>
    <w:p>
      <w:r>
        <w:rPr>
          <w:b/>
        </w:rPr>
        <w:t xml:space="preserve">Sequence: </w:t>
      </w:r>
      <w:r>
        <w:t>Pre-close scheduled item; feeds the standing new-hire onboarding process and employee-records cleanup.</w:t>
      </w:r>
    </w:p>
    <w:p>
      <w:r>
        <w:rPr>
          <w:b/>
        </w:rPr>
        <w:t xml:space="preserve">Success Criteria: </w:t>
      </w:r>
      <w:r>
        <w:t>For every current employee, either a complete I-9, W-4, and MI-W4 is located and filed, or replacement forms are collected and retained in the employee record. The New Employee Onboarding Checklist becomes the forward process so the gap does not recur.</w:t>
      </w:r>
    </w:p>
    <w:p>
      <w:r>
        <w:rPr>
          <w:b/>
        </w:rPr>
        <w:t xml:space="preserve">Estimated Effort: </w:t>
      </w:r>
      <w:r>
        <w:t>Low to moderate; one focused office audit plus employee follow-up for missing forms.</w:t>
      </w:r>
    </w:p>
    <w:p>
      <w:r>
        <w:rPr>
          <w:b/>
        </w:rPr>
        <w:t xml:space="preserve">Milestones: </w:t>
      </w:r>
      <w:r>
        <w:t>May 11 on-site: audit existing files and identify gaps. Week of May 11: collect replacements. Post-close: spot-check onboarding checklist against next new hire.</w:t>
      </w:r>
    </w:p>
    <w:p>
      <w:r>
        <w:rPr>
          <w:b/>
        </w:rPr>
        <w:t xml:space="preserve">Open Questions: </w:t>
      </w:r>
      <w:r>
        <w:t>Confirm where employee files will live long-term: Paperless / controlled Drive / M365 / other canonical repository.</w:t>
      </w:r>
    </w:p>
    <w:p>
      <w:pPr>
        <w:pStyle w:val="Heading3"/>
      </w:pPr>
      <w:r>
        <w:t>Finding #3 — Internal Controls &amp; Segregation of Duties (High)</w:t>
      </w:r>
    </w:p>
    <w:p>
      <w:r>
        <w:rPr>
          <w:b/>
        </w:rPr>
        <w:t xml:space="preserve">Cross-reference: </w:t>
      </w:r>
      <w:r>
        <w:t>Gap Analysis §3.1; Current-State §2.1</w:t>
      </w:r>
    </w:p>
    <w:p>
      <w:r>
        <w:rPr>
          <w:b/>
        </w:rPr>
        <w:t xml:space="preserve">Status: </w:t>
      </w:r>
      <w:r>
        <w:t>Deal Mechanics — Same path as Finding #1; spending-authority tiers and dual-control thresholds formalized in the new shareholders' agreement at buy-in.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 — Stale Accounts Receivable (Medium)</w:t>
      </w:r>
    </w:p>
    <w:p>
      <w:r>
        <w:rPr>
          <w:b/>
        </w:rPr>
        <w:t xml:space="preserve">Cross-reference: </w:t>
      </w:r>
      <w:r>
        <w:t>Gap Analysis §3.1; Current-State §2.1</w:t>
      </w:r>
    </w:p>
    <w:p>
      <w:r>
        <w:rPr>
          <w:b/>
        </w:rPr>
        <w:t xml:space="preserve">Status: </w:t>
      </w:r>
      <w:r>
        <w:t>Open — No modernization workstream yet; recommend folding into the broader chart-of-accounts and AR cleanup pass scheduled for Year 1.</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#5 — Chart of Accounts — Expense-Side Structure (Medium)</w:t>
      </w:r>
    </w:p>
    <w:p>
      <w:r>
        <w:rPr>
          <w:b/>
        </w:rPr>
        <w:t xml:space="preserve">Cross-reference: </w:t>
      </w:r>
      <w:r>
        <w:t>Gap Analysis §3.1; Current-State §2.1</w:t>
      </w:r>
    </w:p>
    <w:p>
      <w:r>
        <w:rPr>
          <w:b/>
        </w:rPr>
        <w:t xml:space="preserve">Status: </w:t>
      </w:r>
      <w:r>
        <w:t>Open — Year-1 cleanup item; paired with the QuickBooks Desktop → QuickBooks Online migration so the expense hierarchy is restructured once rather than twice.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#6 — Revenue-Side Segmentation (Medium)</w:t>
      </w:r>
    </w:p>
    <w:p>
      <w:r>
        <w:rPr>
          <w:b/>
        </w:rPr>
        <w:t xml:space="preserve">Cross-reference: </w:t>
      </w:r>
      <w:r>
        <w:t>Gap Analysis §3.1; Current-State §2.1</w:t>
      </w:r>
    </w:p>
    <w:p>
      <w:r>
        <w:rPr>
          <w:b/>
        </w:rPr>
        <w:t xml:space="preserve">Status: </w:t>
      </w:r>
      <w:r>
        <w:t>Open — Year-1 cleanup item; paired with the QuickBooks Desktop → QuickBooks Online migration to introduce installation-vs-service and new-construction-vs-renovation revenue accounts.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#7 — QuickBooks Customer Master Data Quality (Medium)</w:t>
      </w:r>
    </w:p>
    <w:p>
      <w:r>
        <w:rPr>
          <w:b/>
        </w:rPr>
        <w:t xml:space="preserve">Cross-reference: </w:t>
      </w:r>
      <w:r>
        <w:t>Gap Analysis §3.1; Current-State §2.1</w:t>
      </w:r>
    </w:p>
    <w:p>
      <w:r>
        <w:rPr>
          <w:b/>
        </w:rPr>
        <w:t xml:space="preserve">Status: </w:t>
      </w:r>
      <w:r>
        <w:t>In Flight — The Customers database in EFP Job Tracking (Notion) is the target canonical store; QuickBooks-side reconciliation in flight as part of the QB Desktop → QB Online migration.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#8 — Certified Payroll — Tooling &amp; Data-Structure Gap (Medium)</w:t>
      </w:r>
    </w:p>
    <w:p>
      <w:r>
        <w:rPr>
          <w:b/>
        </w:rPr>
        <w:t xml:space="preserve">Cross-reference: </w:t>
      </w:r>
      <w:r>
        <w:t>Gap Analysis §3.1; Current-State §2.1</w:t>
      </w:r>
    </w:p>
    <w:p>
      <w:r>
        <w:rPr>
          <w:b/>
        </w:rPr>
        <w:t xml:space="preserve">Status: </w:t>
      </w:r>
      <w:r>
        <w:t>Scheduled — QuickBooks Desktop → QuickBooks Online with QuickBooks Payroll migration, paired with a digital timecard system (initial form may be as simple as crews texting in photos of paper timesheets); see Notion Payroll Processing page for the target architecture.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#9 — Certificate of Insurance Tracking (Medium)</w:t>
      </w:r>
    </w:p>
    <w:p>
      <w:r>
        <w:rPr>
          <w:b/>
        </w:rPr>
        <w:t xml:space="preserve">Cross-reference: </w:t>
      </w:r>
      <w:r>
        <w:t>Gap Analysis §3.1; Current-State §2.1</w:t>
      </w:r>
    </w:p>
    <w:p>
      <w:r>
        <w:rPr>
          <w:b/>
        </w:rPr>
        <w:t xml:space="preserve">Status: </w:t>
      </w:r>
      <w:r>
        <w:t>Open — Year-1 item; candidate to fold into the consolidated compliance / training / certification calendar that the HR agent is building under Finding #23.</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#10 — Budgeting, Forecasting &amp; Management Reporting (Medium)</w:t>
      </w:r>
    </w:p>
    <w:p>
      <w:r>
        <w:rPr>
          <w:b/>
        </w:rPr>
        <w:t xml:space="preserve">Cross-reference: </w:t>
      </w:r>
      <w:r>
        <w:t>Gap Analysis §3.1; Current-State §2.1</w:t>
      </w:r>
    </w:p>
    <w:p>
      <w:r>
        <w:rPr>
          <w:b/>
        </w:rPr>
        <w:t xml:space="preserve">Status: </w:t>
      </w:r>
      <w:r>
        <w:t>Open — No modernization workstream yet; baseline forecasting exists in the three-year business plan model that informed the SBA package, but a recurring management-reporting cadence is not yet defined.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5.2 Revenue Generation &amp; Customer Management</w:t>
      </w:r>
    </w:p>
    <w:p>
      <w:pPr>
        <w:pStyle w:val="Heading3"/>
      </w:pPr>
      <w:r>
        <w:t>Finding #11 — Estimating Methodology Not Documented (High)</w:t>
      </w:r>
    </w:p>
    <w:p>
      <w:r>
        <w:rPr>
          <w:b/>
        </w:rPr>
        <w:t xml:space="preserve">Cross-reference: </w:t>
      </w:r>
      <w:r>
        <w:t>Gap Analysis §3.2; Current-State §2.2</w:t>
      </w:r>
    </w:p>
    <w:p>
      <w:r>
        <w:rPr>
          <w:b/>
        </w:rPr>
        <w:t xml:space="preserve">Status: </w:t>
      </w:r>
      <w:r>
        <w:t>Scheduled — Focus weeks of May 11 and May 18; success criterion is a documented process that can be followed without Kevin or Keith's assistance; benchmarked against a planned visit with Kevin's friend Scott (modern sprinkler-fitter shop in Wisconsin).</w:t>
      </w:r>
    </w:p>
    <w:p>
      <w:r>
        <w:rPr>
          <w:b/>
        </w:rPr>
        <w:t xml:space="preserve">Owner: </w:t>
      </w:r>
      <w:r>
        <w:t>Justin + Kevin, with Keith input and Scott benchmarking input if the Wisconsin visit occurs.</w:t>
      </w:r>
    </w:p>
    <w:p>
      <w:r>
        <w:rPr>
          <w:b/>
        </w:rPr>
        <w:t xml:space="preserve">Sequence: </w:t>
      </w:r>
      <w:r>
        <w:t>Highest-leverage owner-knowledge capture item. Should happen before broader sales process or estimating delegation decisions.</w:t>
      </w:r>
    </w:p>
    <w:p>
      <w:r>
        <w:rPr>
          <w:b/>
        </w:rPr>
        <w:t xml:space="preserve">Success Criteria: </w:t>
      </w:r>
      <w:r>
        <w:t>A documented estimating process exists that can be followed without Kevin or Keith’s assistance, including cost buildup, labor assumptions, materials/subcontractor inputs, markup/contingency logic, review/approval points, and examples from recent bids.</w:t>
      </w:r>
    </w:p>
    <w:p>
      <w:r>
        <w:rPr>
          <w:b/>
        </w:rPr>
        <w:t xml:space="preserve">Estimated Effort: </w:t>
      </w:r>
      <w:r>
        <w:t>Moderate to high; two working sessions plus one test pass by someone other than Kevin/Keith.</w:t>
      </w:r>
    </w:p>
    <w:p>
      <w:r>
        <w:rPr>
          <w:b/>
        </w:rPr>
        <w:t xml:space="preserve">Milestones: </w:t>
      </w:r>
      <w:r>
        <w:t>Week of May 11: map current method and collect example estimates. Week of May 18: draft v0 and test against one historical job. Follow-up: revise based on test failure points.</w:t>
      </w:r>
    </w:p>
    <w:p>
      <w:r>
        <w:rPr>
          <w:b/>
        </w:rPr>
        <w:t xml:space="preserve">Open Questions: </w:t>
      </w:r>
      <w:r>
        <w:t>Decide whether the first version should be a Word/Notion SOP only, or include spreadsheet templates / calculators as controlled artifacts.</w:t>
      </w:r>
    </w:p>
    <w:p>
      <w:pPr>
        <w:pStyle w:val="Heading3"/>
      </w:pPr>
      <w:r>
        <w:t>Finding #12 — Absence of Standing Inspection Service Agreements (High)</w:t>
      </w:r>
    </w:p>
    <w:p>
      <w:r>
        <w:rPr>
          <w:b/>
        </w:rPr>
        <w:t xml:space="preserve">Cross-reference: </w:t>
      </w:r>
      <w:r>
        <w:t>Gap Analysis §3.2; Current-State §2.2</w:t>
      </w:r>
    </w:p>
    <w:p>
      <w:r>
        <w:rPr>
          <w:b/>
        </w:rPr>
        <w:t xml:space="preserve">Status: </w:t>
      </w:r>
      <w:r>
        <w:t>Sequenced — Depends on Finding #6 (inspection-delivery hire decision); MSA template development begins after the delivery model is decided.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#13 — Declining Inspection Volume &amp; Competitive Consolidation Risk (High)</w:t>
      </w:r>
    </w:p>
    <w:p>
      <w:r>
        <w:rPr>
          <w:b/>
        </w:rPr>
        <w:t xml:space="preserve">Cross-reference: </w:t>
      </w:r>
      <w:r>
        <w:t>Gap Analysis §3.2; Current-State §2.3</w:t>
      </w:r>
    </w:p>
    <w:p>
      <w:r>
        <w:rPr>
          <w:b/>
        </w:rPr>
        <w:t xml:space="preserve">Status: </w:t>
      </w:r>
      <w:r>
        <w:t>Open — Strategic context exists in the UP Michigan Fire Protection Market Analysis (Notion); no defensive product offering or customer-conversion plan in motion. Trade Organization Membership Plan in Notion is an adjacent piece.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#14 — No CRM or Pipeline System (Medium)</w:t>
      </w:r>
    </w:p>
    <w:p>
      <w:r>
        <w:rPr>
          <w:b/>
        </w:rPr>
        <w:t xml:space="preserve">Cross-reference: </w:t>
      </w:r>
      <w:r>
        <w:t>Gap Analysis §3.2; Current-State §2.2</w:t>
      </w:r>
    </w:p>
    <w:p>
      <w:r>
        <w:rPr>
          <w:b/>
        </w:rPr>
        <w:t xml:space="preserve">Status: </w:t>
      </w:r>
      <w:r>
        <w:t>Sequenced — Customers database in EFP Job Tracking provides the foundation; full CRM/pipeline functionality follows the inspection-line and PM workstream decisions.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#15 — Declined Inspection-Adjacent Inbound Service Volume (Revenue Leakage) (Medium)</w:t>
      </w:r>
    </w:p>
    <w:p>
      <w:r>
        <w:rPr>
          <w:b/>
        </w:rPr>
        <w:t xml:space="preserve">Cross-reference: </w:t>
      </w:r>
      <w:r>
        <w:t>Gap Analysis §3.2; Current-State §2.2 / 2.3</w:t>
      </w:r>
    </w:p>
    <w:p>
      <w:r>
        <w:rPr>
          <w:b/>
        </w:rPr>
        <w:t xml:space="preserve">Status: </w:t>
      </w:r>
      <w:r>
        <w:t>Open — Measurement gap; lightweight intake-logging at the front desk would unlock the service-line decision. Sister-company fire extinguisher service concept (agent memory) is a partial defensive move.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5.3 Project Delivery &amp; Operations</w:t>
      </w:r>
    </w:p>
    <w:p>
      <w:pPr>
        <w:pStyle w:val="Heading3"/>
      </w:pPr>
      <w:r>
        <w:t>Finding #16 — Inspection Delivery Concentration — Single Point of Failure (Critical)</w:t>
      </w:r>
    </w:p>
    <w:p>
      <w:r>
        <w:rPr>
          <w:b/>
        </w:rPr>
        <w:t xml:space="preserve">Cross-reference: </w:t>
      </w:r>
      <w:r>
        <w:t>Gap Analysis §3.3; Current-State §2.3</w:t>
      </w:r>
    </w:p>
    <w:p>
      <w:r>
        <w:rPr>
          <w:b/>
        </w:rPr>
        <w:t xml:space="preserve">Status: </w:t>
      </w:r>
      <w:r>
        <w:t>Sequenced — Mitigation depends on the inspection-delivery hire decision (internal Konner promotion vs. external NFPA-25 hire); cross-training plan defined post-decision. Strategic conversation seeded on the May 11 trip.</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#17 — Field-to-Office Communication Gap (High)</w:t>
      </w:r>
    </w:p>
    <w:p>
      <w:r>
        <w:rPr>
          <w:b/>
        </w:rPr>
        <w:t xml:space="preserve">Cross-reference: </w:t>
      </w:r>
      <w:r>
        <w:t>Gap Analysis §3.3; Current-State §2.3</w:t>
      </w:r>
    </w:p>
    <w:p>
      <w:r>
        <w:rPr>
          <w:b/>
        </w:rPr>
        <w:t xml:space="preserve">Status: </w:t>
      </w:r>
      <w:r>
        <w:t>In Flight — Field Crew Communication Architecture (Quo + Notion + OpenClaw) in pilot; the four live Job Tracking databases (Installation Jobs, Inspection Jobs, Billing Log, Change Orders) provide the office-side structure.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#18 — Safety Program (High)</w:t>
      </w:r>
    </w:p>
    <w:p>
      <w:r>
        <w:rPr>
          <w:b/>
        </w:rPr>
        <w:t xml:space="preserve">Cross-reference: </w:t>
      </w:r>
      <w:r>
        <w:t>Gap Analysis §3.3; Current-State §2.3 / 2.6</w:t>
      </w:r>
    </w:p>
    <w:p>
      <w:r>
        <w:rPr>
          <w:b/>
        </w:rPr>
        <w:t xml:space="preserve">Status: </w:t>
      </w:r>
      <w:r>
        <w:t>In Flight — Under the HR agent in the modernization effort, including a standing safety calendar — the piece that's missing in the current state. New Employee Onboarding Checklist owns the at-hire MIOSHA orientation.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#19 — Project Management &amp; Subcontractor Management — GC-Seat Exposure (High)</w:t>
      </w:r>
    </w:p>
    <w:p>
      <w:r>
        <w:rPr>
          <w:b/>
        </w:rPr>
        <w:t xml:space="preserve">Cross-reference: </w:t>
      </w:r>
      <w:r>
        <w:t>Gap Analysis §3.3; Current-State §2.3 / 2.5</w:t>
      </w:r>
    </w:p>
    <w:p>
      <w:r>
        <w:rPr>
          <w:b/>
        </w:rPr>
        <w:t xml:space="preserve">Status: </w:t>
      </w:r>
      <w:r>
        <w:t>Scheduled — Kevin/Justin working session on the May 11 on-site, anchored by the EMP / Advanced Products case.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#20 — Absence of Written QA/QC Program (High)</w:t>
      </w:r>
    </w:p>
    <w:p>
      <w:r>
        <w:rPr>
          <w:b/>
        </w:rPr>
        <w:t xml:space="preserve">Cross-reference: </w:t>
      </w:r>
      <w:r>
        <w:t>Gap Analysis §3.3; Current-State §2.3</w:t>
      </w:r>
    </w:p>
    <w:p>
      <w:r>
        <w:rPr>
          <w:b/>
        </w:rPr>
        <w:t xml:space="preserve">Status: </w:t>
      </w:r>
      <w:r>
        <w:t>Open — No modernization workstream yet; ownership question to be surfaced on the May 11 trip. The most material un-anchored High finding.</w:t>
      </w:r>
    </w:p>
    <w:p>
      <w:r>
        <w:rPr>
          <w:b/>
        </w:rPr>
        <w:t xml:space="preserve">Owner: </w:t>
      </w:r>
      <w:r>
        <w:t>Not yet assigned; likely Justin + Keith/Kevin initially, then inspection/project delivery owner once named.</w:t>
      </w:r>
    </w:p>
    <w:p>
      <w:r>
        <w:rPr>
          <w:b/>
        </w:rPr>
        <w:t xml:space="preserve">Sequence: </w:t>
      </w:r>
      <w:r>
        <w:t>Open item. Should not be overbuilt until the inspection-delivery and PM ownership decisions are clearer, but the absence of a QA/QC baseline is a High finding and needs an owner.</w:t>
      </w:r>
    </w:p>
    <w:p>
      <w:r>
        <w:rPr>
          <w:b/>
        </w:rPr>
        <w:t xml:space="preserve">Success Criteria: </w:t>
      </w:r>
      <w:r>
        <w:t>A written QA/QC program defines minimum review points, inspection/readiness checks, documentation artifacts, correction tracking, and accountability for install and inspection work. The program is light enough to be used by the field, not just filed.</w:t>
      </w:r>
    </w:p>
    <w:p>
      <w:r>
        <w:rPr>
          <w:b/>
        </w:rPr>
        <w:t xml:space="preserve">Estimated Effort: </w:t>
      </w:r>
      <w:r>
        <w:t>Moderate; best built from actual rework/callback patterns and AHJ re-trip causes rather than from a generic template.</w:t>
      </w:r>
    </w:p>
    <w:p>
      <w:r>
        <w:rPr>
          <w:b/>
        </w:rPr>
        <w:t xml:space="preserve">Milestones: </w:t>
      </w:r>
      <w:r>
        <w:t>May on-site: identify current informal QA checks and common failure modes. 0–90 days: name owner and define minimum QA gates. Year 1: fold QA artifacts into job tracking / permit / inspection workflows.</w:t>
      </w:r>
    </w:p>
    <w:p>
      <w:r>
        <w:rPr>
          <w:b/>
        </w:rPr>
        <w:t xml:space="preserve">Open Questions: </w:t>
      </w:r>
      <w:r>
        <w:t>Who owns QA/QC after Keith’s eventual transition: field lead, inspector, office PM function, or new operations manager?</w:t>
      </w:r>
    </w:p>
    <w:p>
      <w:pPr>
        <w:pStyle w:val="Heading3"/>
      </w:pPr>
      <w:r>
        <w:t>Finding #21 — No Defined Job Intake Data Model (Medium)</w:t>
      </w:r>
    </w:p>
    <w:p>
      <w:r>
        <w:rPr>
          <w:b/>
        </w:rPr>
        <w:t xml:space="preserve">Cross-reference: </w:t>
      </w:r>
      <w:r>
        <w:t>Gap Analysis §3.3; Current-State §2.3</w:t>
      </w:r>
    </w:p>
    <w:p>
      <w:r>
        <w:rPr>
          <w:b/>
        </w:rPr>
        <w:t xml:space="preserve">Status: </w:t>
      </w:r>
      <w:r>
        <w:t>In Flight — Installation Jobs and Inspection Jobs databases in EFP Job Tracking define the canonical intake data model; office adoption is the remaining piece.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#22 — AHJ Rough-In / Final Re-Trip Cost Exposure (Medium)</w:t>
      </w:r>
    </w:p>
    <w:p>
      <w:r>
        <w:rPr>
          <w:b/>
        </w:rPr>
        <w:t xml:space="preserve">Cross-reference: </w:t>
      </w:r>
      <w:r>
        <w:t>Gap Analysis §3.3; Current-State §2.3</w:t>
      </w:r>
    </w:p>
    <w:p>
      <w:r>
        <w:rPr>
          <w:b/>
        </w:rPr>
        <w:t xml:space="preserve">Status: </w:t>
      </w:r>
      <w:r>
        <w:t>In Flight — Permit Management Process page in Notion documents the workflow; per-trip cost exposure addressed indirectly through pre-inspection readiness improvements paired with QA/QC (Finding #14, open).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#23 — Rough-In Artifact Preparation &amp; Centralization Gap (Medium)</w:t>
      </w:r>
    </w:p>
    <w:p>
      <w:r>
        <w:rPr>
          <w:b/>
        </w:rPr>
        <w:t xml:space="preserve">Cross-reference: </w:t>
      </w:r>
      <w:r>
        <w:t>Gap Analysis §3.3; Current-State §2.3</w:t>
      </w:r>
    </w:p>
    <w:p>
      <w:r>
        <w:rPr>
          <w:b/>
        </w:rPr>
        <w:t xml:space="preserve">Status: </w:t>
      </w:r>
      <w:r>
        <w:t>Sequenced — Depends on the inspection-delivery hire and the eventual choice of ITM platform (Inspect Point or alternative); document centralization follows.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#24 — Inspection Management System Absent (No ITM Platform) (Medium)</w:t>
      </w:r>
    </w:p>
    <w:p>
      <w:r>
        <w:rPr>
          <w:b/>
        </w:rPr>
        <w:t xml:space="preserve">Cross-reference: </w:t>
      </w:r>
      <w:r>
        <w:t>Gap Analysis §3.3; Current-State §2.3</w:t>
      </w:r>
    </w:p>
    <w:p>
      <w:r>
        <w:rPr>
          <w:b/>
        </w:rPr>
        <w:t xml:space="preserve">Status: </w:t>
      </w:r>
      <w:r>
        <w:t>Sequenced — Inspection Jobs database provides interim tracking; full ITM platform adoption sequenced behind the inspection-delivery model decision.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#25 — Fleet Maintenance Tracking (Medium)</w:t>
      </w:r>
    </w:p>
    <w:p>
      <w:r>
        <w:rPr>
          <w:b/>
        </w:rPr>
        <w:t xml:space="preserve">Cross-reference: </w:t>
      </w:r>
      <w:r>
        <w:t>Gap Analysis §3.3; Current-State §2.3</w:t>
      </w:r>
    </w:p>
    <w:p>
      <w:r>
        <w:rPr>
          <w:b/>
        </w:rPr>
        <w:t xml:space="preserve">Status: </w:t>
      </w:r>
      <w:r>
        <w:t>Open — Year-1 item; vehicles themselves are well maintained, so this is a documentation and diligence-readability gap.</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#26 — Inventory Management (Low)</w:t>
      </w:r>
    </w:p>
    <w:p>
      <w:r>
        <w:rPr>
          <w:b/>
        </w:rPr>
        <w:t xml:space="preserve">Cross-reference: </w:t>
      </w:r>
      <w:r>
        <w:t>Gap Analysis §3.3; Current-State §2.3</w:t>
      </w:r>
    </w:p>
    <w:p>
      <w:r>
        <w:rPr>
          <w:b/>
        </w:rPr>
        <w:t xml:space="preserve">Status: </w:t>
      </w:r>
      <w:r>
        <w:t>Open — Low-severity item; no modernization workstream attached. Defer until inventory volume or shrink justifies the management overhead.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5.4 People &amp; Administration</w:t>
      </w:r>
    </w:p>
    <w:p>
      <w:pPr>
        <w:pStyle w:val="Heading3"/>
      </w:pPr>
      <w:r>
        <w:t>Finding #27 — Office Succession — Betty Retirement (Critical)</w:t>
      </w:r>
    </w:p>
    <w:p>
      <w:r>
        <w:rPr>
          <w:b/>
        </w:rPr>
        <w:t xml:space="preserve">Cross-reference: </w:t>
      </w:r>
      <w:r>
        <w:t>Gap Analysis §3.4; Current-State §2.4</w:t>
      </w:r>
    </w:p>
    <w:p>
      <w:r>
        <w:rPr>
          <w:b/>
        </w:rPr>
        <w:t xml:space="preserve">Status: </w:t>
      </w:r>
      <w:r>
        <w:t>In Flight — Krissy cross-training underway; Betty-functions runbook interview scheduled for the May 11 on-site (before the May 15 retirement).</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#28 — Field Workforce Recruiting &amp; Retention (High)</w:t>
      </w:r>
    </w:p>
    <w:p>
      <w:r>
        <w:rPr>
          <w:b/>
        </w:rPr>
        <w:t xml:space="preserve">Cross-reference: </w:t>
      </w:r>
      <w:r>
        <w:t>Gap Analysis §3.4; Current-State §2.4</w:t>
      </w:r>
    </w:p>
    <w:p>
      <w:r>
        <w:rPr>
          <w:b/>
        </w:rPr>
        <w:t xml:space="preserve">Status: </w:t>
      </w:r>
      <w: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#29 — IT Backup, Disaster Recovery, and Continuity Posture (High)</w:t>
      </w:r>
    </w:p>
    <w:p>
      <w:r>
        <w:rPr>
          <w:b/>
        </w:rPr>
        <w:t xml:space="preserve">Cross-reference: </w:t>
      </w:r>
      <w:r>
        <w:t>Gap Analysis §3.4; Current-State §2.4</w:t>
      </w:r>
    </w:p>
    <w:p>
      <w:r>
        <w:rPr>
          <w:b/>
        </w:rPr>
        <w:t xml:space="preserve">Status: </w:t>
      </w:r>
      <w:r>
        <w:t>In Flight — Site Infrastructure Standard (SIS-003) in Notion is the architectural reference (S3 with Object Lock, cross-region replication, PostgreSQL daily backups, Git config repo, 4-hour recovery target); deployment in progress.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#30 — IT Security Posture Beyond the Email Account (High)</w:t>
      </w:r>
    </w:p>
    <w:p>
      <w:r>
        <w:rPr>
          <w:b/>
        </w:rPr>
        <w:t xml:space="preserve">Cross-reference: </w:t>
      </w:r>
      <w:r>
        <w:t>Gap Analysis §3.4; Current-State §2.4</w:t>
      </w:r>
    </w:p>
    <w:p>
      <w:r>
        <w:rPr>
          <w:b/>
        </w:rPr>
        <w:t xml:space="preserve">Status: </w:t>
      </w:r>
      <w:r>
        <w:t>In Flight — IT Policies (EFP-ITP-004) and M365 Email &amp; Identity Architecture pages in Notion define the target; Bitwarden/Vaultwarden mandated for all employees with system access. Implementation tracks the SIS-003 deployment.</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#31 — Cyber Insurance Gap and Property-Form Cyber-Incident Exclusion (High)</w:t>
      </w:r>
    </w:p>
    <w:p>
      <w:r>
        <w:rPr>
          <w:b/>
        </w:rPr>
        <w:t xml:space="preserve">Cross-reference: </w:t>
      </w:r>
      <w:r>
        <w:t>Gap Analysis §3.4; Current-State §2.1 / 2.4</w:t>
      </w:r>
    </w:p>
    <w:p>
      <w:r>
        <w:rPr>
          <w:b/>
        </w:rPr>
        <w:t xml:space="preserve">Status: </w:t>
      </w:r>
      <w:r>
        <w:t>In Flight — Gauthier Insurance currently quoting a cyber liability line per the IT Policies page §4.3.</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#32 — Mobile Device Management &amp; Endpoint Posture (Medium)</w:t>
      </w:r>
    </w:p>
    <w:p>
      <w:r>
        <w:rPr>
          <w:b/>
        </w:rPr>
        <w:t xml:space="preserve">Cross-reference: </w:t>
      </w:r>
      <w:r>
        <w:t>Gap Analysis §3.4; Current-State §2.4</w:t>
      </w:r>
    </w:p>
    <w:p>
      <w:r>
        <w:rPr>
          <w:b/>
        </w:rPr>
        <w:t xml:space="preserve">Status: </w:t>
      </w:r>
      <w:r>
        <w:t>Open — Linked to broader M365 / Intune decision per IT Policies; deferred until M365 Business Premium licensing is in place. Currently only Kevin and Keith carry Company-provided phones; all others on personal devices.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#33 — Records Retention Obligations Going Unmet (Medium)</w:t>
      </w:r>
    </w:p>
    <w:p>
      <w:r>
        <w:rPr>
          <w:b/>
        </w:rPr>
        <w:t xml:space="preserve">Cross-reference: </w:t>
      </w:r>
      <w:r>
        <w:t>Gap Analysis §3.4; Current-State §2.4 / 2.6</w:t>
      </w:r>
    </w:p>
    <w:p>
      <w:r>
        <w:rPr>
          <w:b/>
        </w:rPr>
        <w:t xml:space="preserve">Status: </w:t>
      </w:r>
      <w: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#34 — Software Inventory and Identity Management (Medium)</w:t>
      </w:r>
    </w:p>
    <w:p>
      <w:r>
        <w:rPr>
          <w:b/>
        </w:rPr>
        <w:t xml:space="preserve">Cross-reference: </w:t>
      </w:r>
      <w:r>
        <w:t>Gap Analysis §3.4; Current-State §2.4</w:t>
      </w:r>
    </w:p>
    <w:p>
      <w:r>
        <w:rPr>
          <w:b/>
        </w:rPr>
        <w:t xml:space="preserve">Status: </w:t>
      </w:r>
      <w:r>
        <w:t>In Flight — M365 Email &amp; Identity Architecture page in Notion defines the target (named user inboxes, shared mailboxes, AI agent identity, vendor-account migration); Bitwarden as the password manager.</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#35 — Hiring, Onboarding &amp; Termination Process Definition (Medium)</w:t>
      </w:r>
    </w:p>
    <w:p>
      <w:r>
        <w:rPr>
          <w:b/>
        </w:rPr>
        <w:t xml:space="preserve">Cross-reference: </w:t>
      </w:r>
      <w:r>
        <w:t>Gap Analysis §3.4; Current-State §2.4</w:t>
      </w:r>
    </w:p>
    <w:p>
      <w:r>
        <w:rPr>
          <w:b/>
        </w:rPr>
        <w:t xml:space="preserve">Status: </w:t>
      </w:r>
      <w:r>
        <w:t>In Flight — New Employee Onboarding Checklist published in Notion covers hiring/onboarding end-to-end; termination side and broader hiring pipeline still being scoped.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#36 — HR Compliance Posture (Medium)</w:t>
      </w:r>
    </w:p>
    <w:p>
      <w:r>
        <w:rPr>
          <w:b/>
        </w:rPr>
        <w:t xml:space="preserve">Cross-reference: </w:t>
      </w:r>
      <w:r>
        <w:t>Gap Analysis §3.4; Current-State §2.4</w:t>
      </w:r>
    </w:p>
    <w:p>
      <w:r>
        <w:rPr>
          <w:b/>
        </w:rPr>
        <w:t xml:space="preserve">Status: </w:t>
      </w:r>
      <w:r>
        <w:t>In Flight — HR Compliance &amp; Functions Guide published in Notion covering federal, Michigan state, and Marquette local HR regulatory framework.</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5.5 Institutional Knowledge &amp; Key Relationships</w:t>
      </w:r>
    </w:p>
    <w:p>
      <w:pPr>
        <w:pStyle w:val="Heading3"/>
      </w:pPr>
      <w:r>
        <w:t>Finding #37 — Undocumented Owner Knowledge (Critical)</w:t>
      </w:r>
    </w:p>
    <w:p>
      <w:r>
        <w:rPr>
          <w:b/>
        </w:rPr>
        <w:t xml:space="preserve">Cross-reference: </w:t>
      </w:r>
      <w:r>
        <w:t>Gap Analysis §3.5; Current-State §2.5</w:t>
      </w:r>
    </w:p>
    <w:p>
      <w:r>
        <w:rPr>
          <w:b/>
        </w:rPr>
        <w:t xml:space="preserve">Status: </w:t>
      </w:r>
      <w: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#38 — Customer Concentration (High)</w:t>
      </w:r>
    </w:p>
    <w:p>
      <w:r>
        <w:rPr>
          <w:b/>
        </w:rPr>
        <w:t xml:space="preserve">Cross-reference: </w:t>
      </w:r>
      <w:r>
        <w:t>Gap Analysis §3.5; Current-State §2.5</w:t>
      </w:r>
    </w:p>
    <w:p>
      <w:r>
        <w:rPr>
          <w:b/>
        </w:rPr>
        <w:t xml:space="preserve">Status: </w:t>
      </w:r>
      <w:r>
        <w:t>Sequenced — Pairs with Finding #12 on the inspection-customer side and Finding #16 on the GC-seat side; MSA development sequenced behind the inspection-delivery decision.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5.6 Regulatory &amp; Compliance</w:t>
      </w:r>
    </w:p>
    <w:p>
      <w:pPr>
        <w:pStyle w:val="Heading3"/>
      </w:pPr>
      <w:r>
        <w:t>Finding #39 — Michigan Unemployment Insurance Filings (Critical)</w:t>
      </w:r>
    </w:p>
    <w:p>
      <w:r>
        <w:rPr>
          <w:b/>
        </w:rPr>
        <w:t xml:space="preserve">Cross-reference: </w:t>
      </w:r>
      <w:r>
        <w:t>Gap Analysis §3.6; Current-State §2.6</w:t>
      </w:r>
    </w:p>
    <w:p>
      <w:r>
        <w:rPr>
          <w:b/>
        </w:rPr>
        <w:t xml:space="preserve">Status: </w:t>
      </w:r>
      <w:r>
        <w:t>Scheduled — AT&amp;C TPA assignment complete; reconstruction kickoff on the May 11 on-site.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#40 — NFPA &amp; AHJ Knowledge Concentration (Critical)</w:t>
      </w:r>
    </w:p>
    <w:p>
      <w:r>
        <w:rPr>
          <w:b/>
        </w:rPr>
        <w:t xml:space="preserve">Cross-reference: </w:t>
      </w:r>
      <w:r>
        <w:t>Gap Analysis §3.6; Current-State §2.6</w:t>
      </w:r>
    </w:p>
    <w:p>
      <w:r>
        <w:rPr>
          <w:b/>
        </w:rPr>
        <w:t xml:space="preserve">Status: </w:t>
      </w:r>
      <w:r>
        <w:t>In Flight — Permit Management Process documents the AHJ piece; full NFPA-25 procedural documentation sequenced behind the inspection-delivery hire (Finding #6).</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#41 — ISN / ISNetworld Prequalification Obligations (High)</w:t>
      </w:r>
    </w:p>
    <w:p>
      <w:r>
        <w:rPr>
          <w:b/>
        </w:rPr>
        <w:t xml:space="preserve">Cross-reference: </w:t>
      </w:r>
      <w:r>
        <w:t>Gap Analysis §3.6; Current-State §2.6</w:t>
      </w:r>
    </w:p>
    <w:p>
      <w:r>
        <w:rPr>
          <w:b/>
        </w:rPr>
        <w:t xml:space="preserve">Status: </w:t>
      </w:r>
      <w:r>
        <w:t>Open — Recommend folding into the consolidated compliance / training / certification calendar that the HR agent is building under Finding #23 (Safety Program).</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#42 — Customer-Specific Compliance Tracking (High)</w:t>
      </w:r>
    </w:p>
    <w:p>
      <w:r>
        <w:rPr>
          <w:b/>
        </w:rPr>
        <w:t xml:space="preserve">Cross-reference: </w:t>
      </w:r>
      <w:r>
        <w:t>Gap Analysis §3.6; Current-State §2.6</w:t>
      </w:r>
    </w:p>
    <w:p>
      <w:r>
        <w:rPr>
          <w:b/>
        </w:rPr>
        <w:t xml:space="preserve">Status: </w:t>
      </w:r>
      <w:r>
        <w:t>Open — Same consolidation recommendation as Finding #21 — fold into the HR agent compliance calendar.</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#43 — Absence of AHJ / Fire Marshal Register (Medium)</w:t>
      </w:r>
    </w:p>
    <w:p>
      <w:r>
        <w:rPr>
          <w:b/>
        </w:rPr>
        <w:t xml:space="preserve">Cross-reference: </w:t>
      </w:r>
      <w:r>
        <w:t>Gap Analysis §3.6; Current-State §2.6</w:t>
      </w:r>
    </w:p>
    <w:p>
      <w:r>
        <w:rPr>
          <w:b/>
        </w:rPr>
        <w:t xml:space="preserve">Status: </w:t>
      </w:r>
      <w:r>
        <w:t>In Flight — Permit Management Process is the seed (state-level Michigan BCC contact (Phil Myron) documented); full register including county fire marshals pending.</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#44 — BFS Act 144 Certification Verification (Low)</w:t>
      </w:r>
    </w:p>
    <w:p>
      <w:r>
        <w:rPr>
          <w:b/>
        </w:rPr>
        <w:t xml:space="preserve">Cross-reference: </w:t>
      </w:r>
      <w:r>
        <w:t>Gap Analysis §3.6; Current-State §2.6</w:t>
      </w:r>
    </w:p>
    <w:p>
      <w:r>
        <w:rPr>
          <w:b/>
        </w:rPr>
        <w:t xml:space="preserve">Status: </w:t>
      </w:r>
      <w:r>
        <w:t>Scheduled — On the May 11 on-site information-gathering list.</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1"/>
      </w:pPr>
      <w:r>
        <w:t>6. Items Not Yet Scoped</w:t>
      </w:r>
    </w:p>
    <w:p>
      <w: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sz w:val="17"/>
              </w:rPr>
            </w:r>
            <w:r>
              <w:rPr>
                <w:b/>
                <w:sz w:val="17"/>
              </w:rPr>
              <w:t>#</w:t>
            </w:r>
          </w:p>
        </w:tc>
        <w:tc>
          <w:tcPr>
            <w:tcW w:type="dxa" w:w="2556"/>
            <w:shd w:fill="D9EAF7"/>
          </w:tcPr>
          <w:p>
            <w:r>
              <w:rPr>
                <w:sz w:val="17"/>
              </w:rPr>
            </w:r>
            <w:r>
              <w:rPr>
                <w:b/>
                <w:sz w:val="17"/>
              </w:rPr>
              <w:t>Finding</w:t>
            </w:r>
          </w:p>
        </w:tc>
        <w:tc>
          <w:tcPr>
            <w:tcW w:type="dxa" w:w="2556"/>
            <w:shd w:fill="D9EAF7"/>
          </w:tcPr>
          <w:p>
            <w:r>
              <w:rPr>
                <w:sz w:val="17"/>
              </w:rPr>
            </w:r>
            <w:r>
              <w:rPr>
                <w:b/>
                <w:sz w:val="17"/>
              </w:rPr>
              <w:t>Horizon</w:t>
            </w:r>
          </w:p>
        </w:tc>
        <w:tc>
          <w:tcPr>
            <w:tcW w:type="dxa" w:w="2556"/>
            <w:shd w:fill="D9EAF7"/>
          </w:tcPr>
          <w:p>
            <w:r>
              <w:rPr>
                <w:sz w:val="17"/>
              </w:rPr>
            </w:r>
            <w:r>
              <w:rPr>
                <w:b/>
                <w:sz w:val="17"/>
              </w:rPr>
              <w:t>Decision trigger</w:t>
            </w:r>
          </w:p>
        </w:tc>
      </w:tr>
      <w:tr>
        <w:tc>
          <w:tcPr>
            <w:tcW w:type="dxa" w:w="2556"/>
            <w:vAlign w:val="top"/>
          </w:tcPr>
          <w:p>
            <w:r>
              <w:rPr>
                <w:sz w:val="17"/>
              </w:rPr>
            </w:r>
            <w:r>
              <w:rPr>
                <w:b w:val="0"/>
                <w:sz w:val="17"/>
              </w:rPr>
              <w:t>#4</w:t>
            </w:r>
          </w:p>
        </w:tc>
        <w:tc>
          <w:tcPr>
            <w:tcW w:type="dxa" w:w="2556"/>
            <w:vAlign w:val="top"/>
          </w:tcPr>
          <w:p>
            <w:r>
              <w:rPr>
                <w:sz w:val="17"/>
              </w:rPr>
            </w:r>
            <w:r>
              <w:rPr>
                <w:b w:val="0"/>
                <w:sz w:val="17"/>
              </w:rPr>
              <w:t>Stale Accounts Receivable</w:t>
            </w:r>
          </w:p>
        </w:tc>
        <w:tc>
          <w:tcPr>
            <w:tcW w:type="dxa" w:w="2556"/>
            <w:vAlign w:val="top"/>
          </w:tcPr>
          <w:p>
            <w:r>
              <w:rPr>
                <w:sz w:val="17"/>
              </w:rPr>
            </w:r>
            <w:r>
              <w:rPr>
                <w:b w:val="0"/>
                <w:sz w:val="17"/>
              </w:rPr>
              <w:t>0–90 days</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#5</w:t>
            </w:r>
          </w:p>
        </w:tc>
        <w:tc>
          <w:tcPr>
            <w:tcW w:type="dxa" w:w="2556"/>
            <w:vAlign w:val="top"/>
          </w:tcPr>
          <w:p>
            <w:r>
              <w:rPr>
                <w:sz w:val="17"/>
              </w:rPr>
            </w:r>
            <w:r>
              <w:rPr>
                <w:b w:val="0"/>
                <w:sz w:val="17"/>
              </w:rPr>
              <w:t>Chart of Accounts — Expense-Side Structure</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#6</w:t>
            </w:r>
          </w:p>
        </w:tc>
        <w:tc>
          <w:tcPr>
            <w:tcW w:type="dxa" w:w="2556"/>
            <w:vAlign w:val="top"/>
          </w:tcPr>
          <w:p>
            <w:r>
              <w:rPr>
                <w:sz w:val="17"/>
              </w:rPr>
            </w:r>
            <w:r>
              <w:rPr>
                <w:b w:val="0"/>
                <w:sz w:val="17"/>
              </w:rPr>
              <w:t>Revenue-Side Segmentation</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#9</w:t>
            </w:r>
          </w:p>
        </w:tc>
        <w:tc>
          <w:tcPr>
            <w:tcW w:type="dxa" w:w="2556"/>
            <w:vAlign w:val="top"/>
          </w:tcPr>
          <w:p>
            <w:r>
              <w:rPr>
                <w:sz w:val="17"/>
              </w:rPr>
            </w:r>
            <w:r>
              <w:rPr>
                <w:b w:val="0"/>
                <w:sz w:val="17"/>
              </w:rPr>
              <w:t>Certificate of Insurance Tracking</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#10</w:t>
            </w:r>
          </w:p>
        </w:tc>
        <w:tc>
          <w:tcPr>
            <w:tcW w:type="dxa" w:w="2556"/>
            <w:vAlign w:val="top"/>
          </w:tcPr>
          <w:p>
            <w:r>
              <w:rPr>
                <w:sz w:val="17"/>
              </w:rPr>
            </w:r>
            <w:r>
              <w:rPr>
                <w:b w:val="0"/>
                <w:sz w:val="17"/>
              </w:rPr>
              <w:t>Budgeting, Forecasting &amp; Management Reporting</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#13</w:t>
            </w:r>
          </w:p>
        </w:tc>
        <w:tc>
          <w:tcPr>
            <w:tcW w:type="dxa" w:w="2556"/>
            <w:vAlign w:val="top"/>
          </w:tcPr>
          <w:p>
            <w:r>
              <w:rPr>
                <w:sz w:val="17"/>
              </w:rPr>
            </w:r>
            <w:r>
              <w:rPr>
                <w:b w:val="0"/>
                <w:sz w:val="17"/>
              </w:rPr>
              <w:t>Declining Inspection Volume &amp; Competitive Consolidation Risk</w:t>
            </w:r>
          </w:p>
        </w:tc>
        <w:tc>
          <w:tcPr>
            <w:tcW w:type="dxa" w:w="2556"/>
            <w:vAlign w:val="top"/>
          </w:tcPr>
          <w:p>
            <w:r>
              <w:rPr>
                <w:sz w:val="17"/>
              </w:rPr>
            </w:r>
            <w:r>
              <w:rPr>
                <w:b w:val="0"/>
                <w:sz w:val="17"/>
              </w:rPr>
              <w:t>Year 1</w:t>
            </w:r>
          </w:p>
        </w:tc>
        <w:tc>
          <w:tcPr>
            <w:tcW w:type="dxa" w:w="2556"/>
            <w:vAlign w:val="top"/>
          </w:tcPr>
          <w:p>
            <w:r>
              <w:rPr>
                <w:sz w:val="17"/>
              </w:rPr>
            </w:r>
            <w:r>
              <w:rPr>
                <w:b w:val="0"/>
                <w:sz w:val="17"/>
              </w:rPr>
              <w:t>Decide inspection-service strategy and whether to measure declined inbound volume first.</w:t>
            </w:r>
          </w:p>
        </w:tc>
      </w:tr>
      <w:tr>
        <w:tc>
          <w:tcPr>
            <w:tcW w:type="dxa" w:w="2556"/>
            <w:vAlign w:val="top"/>
          </w:tcPr>
          <w:p>
            <w:r>
              <w:rPr>
                <w:sz w:val="17"/>
              </w:rPr>
            </w:r>
            <w:r>
              <w:rPr>
                <w:b w:val="0"/>
                <w:sz w:val="17"/>
              </w:rPr>
              <w:t>#15</w:t>
            </w:r>
          </w:p>
        </w:tc>
        <w:tc>
          <w:tcPr>
            <w:tcW w:type="dxa" w:w="2556"/>
            <w:vAlign w:val="top"/>
          </w:tcPr>
          <w:p>
            <w:r>
              <w:rPr>
                <w:sz w:val="17"/>
              </w:rPr>
            </w:r>
            <w:r>
              <w:rPr>
                <w:b w:val="0"/>
                <w:sz w:val="17"/>
              </w:rPr>
              <w:t>Declined Inspection-Adjacent Inbound Service Volume (Revenue Leakage)</w:t>
            </w:r>
          </w:p>
        </w:tc>
        <w:tc>
          <w:tcPr>
            <w:tcW w:type="dxa" w:w="2556"/>
            <w:vAlign w:val="top"/>
          </w:tcPr>
          <w:p>
            <w:r>
              <w:rPr>
                <w:sz w:val="17"/>
              </w:rPr>
            </w:r>
            <w:r>
              <w:rPr>
                <w:b w:val="0"/>
                <w:sz w:val="17"/>
              </w:rPr>
              <w:t>Year 1</w:t>
            </w:r>
          </w:p>
        </w:tc>
        <w:tc>
          <w:tcPr>
            <w:tcW w:type="dxa" w:w="2556"/>
            <w:vAlign w:val="top"/>
          </w:tcPr>
          <w:p>
            <w:r>
              <w:rPr>
                <w:sz w:val="17"/>
              </w:rPr>
            </w:r>
            <w:r>
              <w:rPr>
                <w:b w:val="0"/>
                <w:sz w:val="17"/>
              </w:rPr>
              <w:t>Decide inspection-service strategy and whether to measure declined inbound volume first.</w:t>
            </w:r>
          </w:p>
        </w:tc>
      </w:tr>
      <w:tr>
        <w:tc>
          <w:tcPr>
            <w:tcW w:type="dxa" w:w="2556"/>
            <w:vAlign w:val="top"/>
          </w:tcPr>
          <w:p>
            <w:r>
              <w:rPr>
                <w:sz w:val="17"/>
              </w:rPr>
            </w:r>
            <w:r>
              <w:rPr>
                <w:b w:val="0"/>
                <w:sz w:val="17"/>
              </w:rPr>
              <w:t>#20</w:t>
            </w:r>
          </w:p>
        </w:tc>
        <w:tc>
          <w:tcPr>
            <w:tcW w:type="dxa" w:w="2556"/>
            <w:vAlign w:val="top"/>
          </w:tcPr>
          <w:p>
            <w:r>
              <w:rPr>
                <w:sz w:val="17"/>
              </w:rPr>
            </w:r>
            <w:r>
              <w:rPr>
                <w:b w:val="0"/>
                <w:sz w:val="17"/>
              </w:rPr>
              <w:t>Absence of Written QA/QC Program</w:t>
            </w:r>
          </w:p>
        </w:tc>
        <w:tc>
          <w:tcPr>
            <w:tcW w:type="dxa" w:w="2556"/>
            <w:vAlign w:val="top"/>
          </w:tcPr>
          <w:p>
            <w:r>
              <w:rPr>
                <w:sz w:val="17"/>
              </w:rPr>
            </w:r>
            <w:r>
              <w:rPr>
                <w:b w:val="0"/>
                <w:sz w:val="17"/>
              </w:rPr>
              <w:t>Year 1</w:t>
            </w:r>
          </w:p>
        </w:tc>
        <w:tc>
          <w:tcPr>
            <w:tcW w:type="dxa" w:w="2556"/>
            <w:vAlign w:val="top"/>
          </w:tcPr>
          <w:p>
            <w:r>
              <w:rPr>
                <w:sz w:val="17"/>
              </w:rPr>
            </w:r>
            <w:r>
              <w:rPr>
                <w:b w:val="0"/>
                <w:sz w:val="17"/>
              </w:rPr>
              <w:t>Decide QA/QC ownership after the field-leadership / inspection-delivery discussion.</w:t>
            </w:r>
          </w:p>
        </w:tc>
      </w:tr>
      <w:tr>
        <w:tc>
          <w:tcPr>
            <w:tcW w:type="dxa" w:w="2556"/>
            <w:vAlign w:val="top"/>
          </w:tcPr>
          <w:p>
            <w:r>
              <w:rPr>
                <w:sz w:val="17"/>
              </w:rPr>
            </w:r>
            <w:r>
              <w:rPr>
                <w:b w:val="0"/>
                <w:sz w:val="17"/>
              </w:rPr>
              <w:t>#25</w:t>
            </w:r>
          </w:p>
        </w:tc>
        <w:tc>
          <w:tcPr>
            <w:tcW w:type="dxa" w:w="2556"/>
            <w:vAlign w:val="top"/>
          </w:tcPr>
          <w:p>
            <w:r>
              <w:rPr>
                <w:sz w:val="17"/>
              </w:rPr>
            </w:r>
            <w:r>
              <w:rPr>
                <w:b w:val="0"/>
                <w:sz w:val="17"/>
              </w:rPr>
              <w:t>Fleet Maintenance Tracking</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#26</w:t>
            </w:r>
          </w:p>
        </w:tc>
        <w:tc>
          <w:tcPr>
            <w:tcW w:type="dxa" w:w="2556"/>
            <w:vAlign w:val="top"/>
          </w:tcPr>
          <w:p>
            <w:r>
              <w:rPr>
                <w:sz w:val="17"/>
              </w:rPr>
            </w:r>
            <w:r>
              <w:rPr>
                <w:b w:val="0"/>
                <w:sz w:val="17"/>
              </w:rPr>
              <w:t>Inventory Management</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#32</w:t>
            </w:r>
          </w:p>
        </w:tc>
        <w:tc>
          <w:tcPr>
            <w:tcW w:type="dxa" w:w="2556"/>
            <w:vAlign w:val="top"/>
          </w:tcPr>
          <w:p>
            <w:r>
              <w:rPr>
                <w:sz w:val="17"/>
              </w:rPr>
            </w:r>
            <w:r>
              <w:rPr>
                <w:b w:val="0"/>
                <w:sz w:val="17"/>
              </w:rPr>
              <w:t>Mobile Device Management &amp; Endpoint Posture</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#41</w:t>
            </w:r>
          </w:p>
        </w:tc>
        <w:tc>
          <w:tcPr>
            <w:tcW w:type="dxa" w:w="2556"/>
            <w:vAlign w:val="top"/>
          </w:tcPr>
          <w:p>
            <w:r>
              <w:rPr>
                <w:sz w:val="17"/>
              </w:rPr>
            </w:r>
            <w:r>
              <w:rPr>
                <w:b w:val="0"/>
                <w:sz w:val="17"/>
              </w:rPr>
              <w:t>ISN / ISNetworld Prequalification Obligations</w:t>
            </w:r>
          </w:p>
        </w:tc>
        <w:tc>
          <w:tcPr>
            <w:tcW w:type="dxa" w:w="2556"/>
            <w:vAlign w:val="top"/>
          </w:tcPr>
          <w:p>
            <w:r>
              <w:rPr>
                <w:sz w:val="17"/>
              </w:rPr>
            </w:r>
            <w:r>
              <w:rPr>
                <w:b w:val="0"/>
                <w:sz w:val="17"/>
              </w:rPr>
              <w:t>0–90 days</w:t>
            </w:r>
          </w:p>
        </w:tc>
        <w:tc>
          <w:tcPr>
            <w:tcW w:type="dxa" w:w="2556"/>
            <w:vAlign w:val="top"/>
          </w:tcPr>
          <w:p>
            <w:r>
              <w:rPr>
                <w:sz w:val="17"/>
              </w:rPr>
            </w:r>
            <w:r>
              <w:rPr>
                <w:b w:val="0"/>
                <w:sz w:val="17"/>
              </w:rPr>
              <w:t>Confirm HR/compliance calendar scope and owner.</w:t>
            </w:r>
          </w:p>
        </w:tc>
      </w:tr>
      <w:tr>
        <w:tc>
          <w:tcPr>
            <w:tcW w:type="dxa" w:w="2556"/>
            <w:vAlign w:val="top"/>
          </w:tcPr>
          <w:p>
            <w:r>
              <w:rPr>
                <w:sz w:val="17"/>
              </w:rPr>
            </w:r>
            <w:r>
              <w:rPr>
                <w:b w:val="0"/>
                <w:sz w:val="17"/>
              </w:rPr>
              <w:t>#42</w:t>
            </w:r>
          </w:p>
        </w:tc>
        <w:tc>
          <w:tcPr>
            <w:tcW w:type="dxa" w:w="2556"/>
            <w:vAlign w:val="top"/>
          </w:tcPr>
          <w:p>
            <w:r>
              <w:rPr>
                <w:sz w:val="17"/>
              </w:rPr>
            </w:r>
            <w:r>
              <w:rPr>
                <w:b w:val="0"/>
                <w:sz w:val="17"/>
              </w:rPr>
              <w:t>Customer-Specific Compliance Tracking</w:t>
            </w:r>
          </w:p>
        </w:tc>
        <w:tc>
          <w:tcPr>
            <w:tcW w:type="dxa" w:w="2556"/>
            <w:vAlign w:val="top"/>
          </w:tcPr>
          <w:p>
            <w:r>
              <w:rPr>
                <w:sz w:val="17"/>
              </w:rPr>
            </w:r>
            <w:r>
              <w:rPr>
                <w:b w:val="0"/>
                <w:sz w:val="17"/>
              </w:rPr>
              <w:t>0–90 days</w:t>
            </w:r>
          </w:p>
        </w:tc>
        <w:tc>
          <w:tcPr>
            <w:tcW w:type="dxa" w:w="2556"/>
            <w:vAlign w:val="top"/>
          </w:tcPr>
          <w:p>
            <w:r>
              <w:rPr>
                <w:sz w:val="17"/>
              </w:rPr>
            </w:r>
            <w:r>
              <w:rPr>
                <w:b w:val="0"/>
                <w:sz w:val="17"/>
              </w:rPr>
              <w:t>Confirm HR/compliance calendar scope and owner.</w:t>
            </w:r>
          </w:p>
        </w:tc>
      </w:tr>
    </w:tbl>
    <w:p>
      <w:pPr>
        <w:pStyle w:val="Heading1"/>
      </w:pPr>
      <w:r>
        <w:t>7. Out-of-Scope Items</w:t>
      </w:r>
    </w:p>
    <w:p>
      <w:r>
        <w:t>The modernization plan should not become a catch-all business plan. The items below may matter strategically, but they should be tracked separately unless they directly remediate a gap-analysis finding.</w:t>
      </w:r>
    </w:p>
    <w:p>
      <w:pPr>
        <w:pStyle w:val="ListBullet"/>
      </w:pPr>
      <w:r>
        <w:t>New product-line investigations not tied to an identified gap.</w:t>
      </w:r>
    </w:p>
    <w:p>
      <w:pPr>
        <w:pStyle w:val="ListBullet"/>
      </w:pPr>
      <w:r>
        <w:t>Marquette warehouse / facility expansion options except where required for document retention, backup, or operations continuity.</w:t>
      </w:r>
    </w:p>
    <w:p>
      <w:pPr>
        <w:pStyle w:val="ListBullet"/>
      </w:pPr>
      <w:r>
        <w:t>Sister-company concepts such as extinguisher service unless Justin chooses to tie them to declined inspection-adjacent inbound demand.</w:t>
      </w:r>
    </w:p>
    <w:p>
      <w:pPr>
        <w:pStyle w:val="ListBullet"/>
      </w:pPr>
      <w:r>
        <w:t>Long-range M&amp;A / buyer-readiness positioning beyond maintaining the gap analysis as a dated diagnostic artifact.</w:t>
      </w:r>
    </w:p>
    <w:p>
      <w:r>
        <w:rPr>
          <w:b/>
        </w:rPr>
        <w:t xml:space="preserve">Drafting note: </w:t>
      </w:r>
      <w:r>
        <w:t>This scaffold uses the current gap-analysis numbering as of May 12, 2026. In particular, Absence of Written QA/QC Program is Finding #20 in the live document.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