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Modernization Plan &amp; Roadmap</w:t>
      </w:r>
    </w:p>
    <w:p>
      <w:pPr>
        <w:jc w:val="center"/>
      </w:pPr>
      <w:r>
        <w:t>Operational Assessment &amp; Process Documentation</w:t>
      </w:r>
    </w:p>
    <w:p>
      <w:pPr>
        <w:jc w:val="center"/>
      </w:pPr>
      <w:r>
        <w:t>Excel Fire Protection Co., Inc.</w:t>
      </w:r>
    </w:p>
    <w:p>
      <w:pPr>
        <w:jc w:val="center"/>
      </w:pPr>
      <w:r>
        <w:t>Prepared by: Predictive Lines</w:t>
      </w:r>
    </w:p>
    <w:p>
      <w:pPr>
        <w:jc w:val="center"/>
      </w:pPr>
      <w:r>
        <w:t>Prepared for: Kevin Masich / Excel Fire Protection</w:t>
      </w:r>
    </w:p>
    <w:p>
      <w:pPr>
        <w:jc w:val="center"/>
      </w:pPr>
      <w:r>
        <w:t>Date: May 2026</w:t>
      </w:r>
    </w:p>
    <w:p>
      <w:pPr>
        <w:jc w:val="center"/>
      </w:pPr>
      <w:r>
        <w:t>Status: Draft for Kevin review</w:t>
      </w:r>
    </w:p>
    <w:p/>
    <w:p>
      <w:pPr>
        <w:pStyle w:val="Heading1"/>
      </w:pPr>
      <w:r>
        <w:t>1. Purpose &amp; Scope</w:t>
      </w:r>
    </w:p>
    <w:p>
      <w:r>
        <w:t>This document is the Modernization Plan &amp; Roadmap deliverable contemplated by the March 30, 2026 Statement of Work. It is designed to read alongside, not replace, the Current-State Process Documentation and Gap Analysis &amp; Risk Assessment.</w:t>
      </w:r>
    </w:p>
    <w:p>
      <w: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t>This draft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t>2. Roadmap Overview</w:t>
      </w:r>
    </w:p>
    <w:p>
      <w: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sz w:val="17"/>
              </w:rPr>
            </w:r>
            <w:r>
              <w:rPr>
                <w:b/>
                <w:sz w:val="17"/>
              </w:rPr>
              <w:t>#</w:t>
            </w:r>
          </w:p>
        </w:tc>
        <w:tc>
          <w:tcPr>
            <w:tcW w:type="dxa" w:w="1704"/>
            <w:shd w:fill="D9EAF7"/>
          </w:tcPr>
          <w:p>
            <w:r>
              <w:rPr>
                <w:sz w:val="17"/>
              </w:rPr>
            </w:r>
            <w:r>
              <w:rPr>
                <w:b/>
                <w:sz w:val="17"/>
              </w:rPr>
              <w:t>Horizon</w:t>
            </w:r>
          </w:p>
        </w:tc>
        <w:tc>
          <w:tcPr>
            <w:tcW w:type="dxa" w:w="1704"/>
            <w:shd w:fill="D9EAF7"/>
          </w:tcPr>
          <w:p>
            <w:r>
              <w:rPr>
                <w:sz w:val="17"/>
              </w:rPr>
            </w:r>
            <w:r>
              <w:rPr>
                <w:b/>
                <w:sz w:val="17"/>
              </w:rPr>
              <w:t>Severity</w:t>
            </w:r>
          </w:p>
        </w:tc>
        <w:tc>
          <w:tcPr>
            <w:tcW w:type="dxa" w:w="1704"/>
            <w:shd w:fill="D9EAF7"/>
          </w:tcPr>
          <w:p>
            <w:r>
              <w:rPr>
                <w:sz w:val="17"/>
              </w:rPr>
            </w:r>
            <w:r>
              <w:rPr>
                <w:b/>
                <w:sz w:val="17"/>
              </w:rPr>
              <w:t>Status</w:t>
            </w:r>
          </w:p>
        </w:tc>
        <w:tc>
          <w:tcPr>
            <w:tcW w:type="dxa" w:w="1704"/>
            <w:shd w:fill="D9EAF7"/>
          </w:tcPr>
          <w:p>
            <w:r>
              <w:rPr>
                <w:sz w:val="17"/>
              </w:rPr>
            </w:r>
            <w:r>
              <w:rPr>
                <w:b/>
                <w:sz w:val="17"/>
              </w:rPr>
              <w:t>Finding</w:t>
            </w:r>
          </w:p>
        </w:tc>
        <w:tc>
          <w:tcPr>
            <w:tcW w:type="dxa" w:w="1704"/>
            <w:shd w:fill="D9EAF7"/>
          </w:tcPr>
          <w:p>
            <w:r>
              <w:rPr>
                <w:sz w:val="17"/>
              </w:rPr>
            </w:r>
            <w:r>
              <w:rPr>
                <w:b/>
                <w:sz w:val="17"/>
              </w:rPr>
              <w:t>Workstream</w:t>
            </w:r>
          </w:p>
        </w:tc>
      </w:tr>
      <w:tr>
        <w:tc>
          <w:tcPr>
            <w:tcW w:type="dxa" w:w="1704"/>
            <w:vAlign w:val="top"/>
          </w:tcPr>
          <w:p>
            <w:r>
              <w:rPr>
                <w:sz w:val="17"/>
              </w:rPr>
            </w:r>
            <w:r>
              <w:rPr>
                <w:b w:val="0"/>
                <w:sz w:val="17"/>
              </w:rPr>
              <w:t>#2</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Missing Federal &amp; State New-Hire Forms (Form I-9, W-4, MI-W4)</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#39</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Michigan Unemployment Insurance Filings</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#27</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In Flight</w:t>
            </w:r>
          </w:p>
        </w:tc>
        <w:tc>
          <w:tcPr>
            <w:tcW w:type="dxa" w:w="1704"/>
            <w:vAlign w:val="top"/>
          </w:tcPr>
          <w:p>
            <w:r>
              <w:rPr>
                <w:sz w:val="17"/>
              </w:rPr>
            </w:r>
            <w:r>
              <w:rPr>
                <w:b w:val="0"/>
                <w:sz w:val="17"/>
              </w:rPr>
              <w:t>Office Succession — Betty Retirement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#1</w:t>
            </w:r>
          </w:p>
        </w:tc>
        <w:tc>
          <w:tcPr>
            <w:tcW w:type="dxa" w:w="1704"/>
            <w:vAlign w:val="top"/>
          </w:tcPr>
          <w:p>
            <w:r>
              <w:rPr>
                <w:sz w:val="17"/>
              </w:rPr>
            </w:r>
            <w:r>
              <w:rPr>
                <w:b w:val="0"/>
                <w:sz w:val="17"/>
              </w:rPr>
              <w:t>Pre-close</w:t>
            </w:r>
          </w:p>
        </w:tc>
        <w:tc>
          <w:tcPr>
            <w:tcW w:type="dxa" w:w="1704"/>
            <w:vAlign w:val="top"/>
          </w:tcPr>
          <w:p>
            <w:r>
              <w:rPr>
                <w:sz w:val="17"/>
              </w:rPr>
            </w:r>
            <w:r>
              <w:rPr>
                <w:b w:val="0"/>
                <w:sz w:val="17"/>
              </w:rPr>
              <w:t>Critical</w:t>
            </w:r>
          </w:p>
        </w:tc>
        <w:tc>
          <w:tcPr>
            <w:tcW w:type="dxa" w:w="1704"/>
            <w:vAlign w:val="top"/>
          </w:tcPr>
          <w:p>
            <w:r>
              <w:rPr>
                <w:sz w:val="17"/>
              </w:rPr>
            </w:r>
            <w:r>
              <w:rPr>
                <w:b w:val="0"/>
                <w:sz w:val="17"/>
              </w:rPr>
              <w:t>Deal Mechanics</w:t>
            </w:r>
          </w:p>
        </w:tc>
        <w:tc>
          <w:tcPr>
            <w:tcW w:type="dxa" w:w="1704"/>
            <w:vAlign w:val="top"/>
          </w:tcPr>
          <w:p>
            <w:r>
              <w:rPr>
                <w:sz w:val="17"/>
              </w:rPr>
            </w:r>
            <w:r>
              <w:rPr>
                <w:b w:val="0"/>
                <w:sz w:val="17"/>
              </w:rPr>
              <w:t>Banking Signature-Stamp Practice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#44</w:t>
            </w:r>
          </w:p>
        </w:tc>
        <w:tc>
          <w:tcPr>
            <w:tcW w:type="dxa" w:w="1704"/>
            <w:vAlign w:val="top"/>
          </w:tcPr>
          <w:p>
            <w:r>
              <w:rPr>
                <w:sz w:val="17"/>
              </w:rPr>
            </w:r>
            <w:r>
              <w:rPr>
                <w:b w:val="0"/>
                <w:sz w:val="17"/>
              </w:rPr>
              <w:t>Pre-close</w:t>
            </w:r>
          </w:p>
        </w:tc>
        <w:tc>
          <w:tcPr>
            <w:tcW w:type="dxa" w:w="1704"/>
            <w:vAlign w:val="top"/>
          </w:tcPr>
          <w:p>
            <w:r>
              <w:rPr>
                <w:sz w:val="17"/>
              </w:rPr>
            </w:r>
            <w:r>
              <w:rPr>
                <w:b w:val="0"/>
                <w:sz w:val="17"/>
              </w:rPr>
              <w:t>Low</w:t>
            </w:r>
          </w:p>
        </w:tc>
        <w:tc>
          <w:tcPr>
            <w:tcW w:type="dxa" w:w="1704"/>
            <w:vAlign w:val="top"/>
          </w:tcPr>
          <w:p>
            <w:r>
              <w:rPr>
                <w:sz w:val="18"/>
              </w:rPr>
            </w:r>
            <w:r>
              <w:rPr>
                <w:sz w:val="18"/>
              </w:rPr>
              <w:t>Verified / Sequenced</w:t>
            </w:r>
          </w:p>
        </w:tc>
        <w:tc>
          <w:tcPr>
            <w:tcW w:type="dxa" w:w="1704"/>
            <w:vAlign w:val="top"/>
          </w:tcPr>
          <w:p>
            <w:r>
              <w:rPr>
                <w:sz w:val="18"/>
              </w:rPr>
            </w:r>
            <w:r>
              <w:rPr>
                <w:sz w:val="18"/>
              </w:rPr>
              <w:t>BFS / S-0440 Fire Suppression Firm Certification Continuity</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#37</w:t>
            </w:r>
          </w:p>
        </w:tc>
        <w:tc>
          <w:tcPr>
            <w:tcW w:type="dxa" w:w="1704"/>
            <w:vAlign w:val="top"/>
          </w:tcPr>
          <w:p>
            <w:r>
              <w:rPr>
                <w:sz w:val="17"/>
              </w:rPr>
            </w:r>
            <w:r>
              <w:rPr>
                <w:b w:val="0"/>
                <w:sz w:val="17"/>
              </w:rPr>
              <w:t>0–90 days</w:t>
            </w:r>
          </w:p>
        </w:tc>
        <w:tc>
          <w:tcPr>
            <w:tcW w:type="dxa" w:w="1704"/>
            <w:vAlign w:val="top"/>
          </w:tcPr>
          <w:p>
            <w:r>
              <w:rPr>
                <w:sz w:val="17"/>
              </w:rPr>
            </w:r>
            <w:r>
              <w:rPr>
                <w:b w:val="0"/>
                <w:sz w:val="17"/>
              </w:rPr>
              <w:t>Critical</w:t>
            </w:r>
          </w:p>
        </w:tc>
        <w:tc>
          <w:tcPr>
            <w:tcW w:type="dxa" w:w="1704"/>
            <w:vAlign w:val="top"/>
          </w:tcPr>
          <w:p>
            <w:r>
              <w:rPr>
                <w:sz w:val="17"/>
              </w:rPr>
            </w:r>
            <w:r>
              <w:rPr>
                <w:b w:val="0"/>
                <w:sz w:val="17"/>
              </w:rPr>
              <w:t>Scheduled</w:t>
            </w:r>
          </w:p>
        </w:tc>
        <w:tc>
          <w:tcPr>
            <w:tcW w:type="dxa" w:w="1704"/>
            <w:vAlign w:val="top"/>
          </w:tcPr>
          <w:p>
            <w:r>
              <w:rPr>
                <w:sz w:val="17"/>
              </w:rPr>
            </w:r>
            <w:r>
              <w:rPr>
                <w:b w:val="0"/>
                <w:sz w:val="17"/>
              </w:rPr>
              <w:t>Undocumented Owner Knowledge</w:t>
            </w:r>
          </w:p>
        </w:tc>
        <w:tc>
          <w:tcPr>
            <w:tcW w:type="dxa" w:w="1704"/>
            <w:vAlign w:val="top"/>
          </w:tcPr>
          <w:p>
            <w:r>
              <w:rPr>
                <w:sz w:val="17"/>
              </w:rPr>
            </w:r>
            <w:r>
              <w:rPr>
                <w:b w:val="0"/>
                <w:sz w:val="17"/>
              </w:rPr>
              <w:t>Institutional Knowledge &amp; Key Relationships</w:t>
            </w:r>
          </w:p>
        </w:tc>
      </w:tr>
      <w:tr>
        <w:tc>
          <w:tcPr>
            <w:tcW w:type="dxa" w:w="1704"/>
            <w:vAlign w:val="top"/>
          </w:tcPr>
          <w:p>
            <w:r>
              <w:rPr>
                <w:sz w:val="17"/>
              </w:rPr>
            </w:r>
            <w:r>
              <w:rPr>
                <w:b w:val="0"/>
                <w:sz w:val="17"/>
              </w:rPr>
              <w:t>#16</w:t>
            </w:r>
          </w:p>
        </w:tc>
        <w:tc>
          <w:tcPr>
            <w:tcW w:type="dxa" w:w="1704"/>
            <w:vAlign w:val="top"/>
          </w:tcPr>
          <w:p>
            <w:r>
              <w:rPr>
                <w:sz w:val="17"/>
              </w:rPr>
            </w:r>
            <w:r>
              <w:rPr>
                <w:b w:val="0"/>
                <w:sz w:val="17"/>
              </w:rPr>
              <w:t>0–90 days</w:t>
            </w:r>
          </w:p>
        </w:tc>
        <w:tc>
          <w:tcPr>
            <w:tcW w:type="dxa" w:w="1704"/>
            <w:vAlign w:val="top"/>
          </w:tcPr>
          <w:p>
            <w:r>
              <w:rPr>
                <w:sz w:val="17"/>
              </w:rPr>
            </w:r>
            <w:r>
              <w:rPr>
                <w:b w:val="0"/>
                <w:sz w:val="17"/>
              </w:rPr>
              <w:t>Critical</w:t>
            </w:r>
          </w:p>
        </w:tc>
        <w:tc>
          <w:tcPr>
            <w:tcW w:type="dxa" w:w="1704"/>
            <w:vAlign w:val="top"/>
          </w:tcPr>
          <w:p>
            <w:r>
              <w:rPr>
                <w:sz w:val="17"/>
              </w:rPr>
            </w:r>
            <w:r>
              <w:rPr>
                <w:b w:val="0"/>
                <w:sz w:val="17"/>
              </w:rPr>
              <w:t>Sequenced</w:t>
            </w:r>
          </w:p>
        </w:tc>
        <w:tc>
          <w:tcPr>
            <w:tcW w:type="dxa" w:w="1704"/>
            <w:vAlign w:val="top"/>
          </w:tcPr>
          <w:p>
            <w:r>
              <w:rPr>
                <w:sz w:val="17"/>
              </w:rPr>
            </w:r>
            <w:r>
              <w:rPr>
                <w:b w:val="0"/>
                <w:sz w:val="17"/>
              </w:rPr>
              <w:t>Inspection Delivery Concentration — Single Point of Failure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#11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Scheduled</w:t>
            </w:r>
          </w:p>
        </w:tc>
        <w:tc>
          <w:tcPr>
            <w:tcW w:type="dxa" w:w="1704"/>
            <w:vAlign w:val="top"/>
          </w:tcPr>
          <w:p>
            <w:r>
              <w:rPr>
                <w:sz w:val="17"/>
              </w:rPr>
            </w:r>
            <w:r>
              <w:rPr>
                <w:b w:val="0"/>
                <w:sz w:val="17"/>
              </w:rPr>
              <w:t>Estimating Methodology Not Documented</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#17</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Field-to-Office Communication Gap</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#18</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Safety Program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#29</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IT Backup, Disaster Recovery, and Continuity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#30</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IT Security Posture Beyond the Email Account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Cyber Insurance Gap and Property-Form Cyber-Incident Exclusion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Deal Mechanics</w:t>
            </w:r>
          </w:p>
        </w:tc>
        <w:tc>
          <w:tcPr>
            <w:tcW w:type="dxa" w:w="1704"/>
            <w:vAlign w:val="top"/>
          </w:tcPr>
          <w:p>
            <w:r>
              <w:rPr>
                <w:sz w:val="17"/>
              </w:rPr>
            </w:r>
            <w:r>
              <w:rPr>
                <w:b w:val="0"/>
                <w:sz w:val="17"/>
              </w:rPr>
              <w:t>Internal Controls &amp; Segregation of Duties</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#41</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ISN / ISNetworld Prequalification Obligations</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#42</w:t>
            </w:r>
          </w:p>
        </w:tc>
        <w:tc>
          <w:tcPr>
            <w:tcW w:type="dxa" w:w="1704"/>
            <w:vAlign w:val="top"/>
          </w:tcPr>
          <w:p>
            <w:r>
              <w:rPr>
                <w:sz w:val="17"/>
              </w:rPr>
            </w:r>
            <w:r>
              <w:rPr>
                <w:b w:val="0"/>
                <w:sz w:val="17"/>
              </w:rPr>
              <w:t>0–90 days</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Customer-Specific Compliance Tracking</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#21</w:t>
            </w:r>
          </w:p>
        </w:tc>
        <w:tc>
          <w:tcPr>
            <w:tcW w:type="dxa" w:w="1704"/>
            <w:vAlign w:val="top"/>
          </w:tcPr>
          <w:p>
            <w:r>
              <w:rPr>
                <w:sz w:val="17"/>
              </w:rPr>
            </w:r>
            <w:r>
              <w:rPr>
                <w:b w:val="0"/>
                <w:sz w:val="17"/>
              </w:rPr>
              <w:t>0–90 days</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No Defined Job Intake Data Model</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#4</w:t>
            </w:r>
          </w:p>
        </w:tc>
        <w:tc>
          <w:tcPr>
            <w:tcW w:type="dxa" w:w="1704"/>
            <w:vAlign w:val="top"/>
          </w:tcPr>
          <w:p>
            <w:r>
              <w:rPr>
                <w:sz w:val="17"/>
              </w:rPr>
            </w:r>
            <w:r>
              <w:rPr>
                <w:b w:val="0"/>
                <w:sz w:val="17"/>
              </w:rPr>
              <w:t>0–90 days</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Stale Accounts Receivable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#40</w:t>
            </w:r>
          </w:p>
        </w:tc>
        <w:tc>
          <w:tcPr>
            <w:tcW w:type="dxa" w:w="1704"/>
            <w:vAlign w:val="top"/>
          </w:tcPr>
          <w:p>
            <w:r>
              <w:rPr>
                <w:sz w:val="17"/>
              </w:rPr>
            </w:r>
            <w:r>
              <w:rPr>
                <w:b w:val="0"/>
                <w:sz w:val="17"/>
              </w:rPr>
              <w:t>Year 1</w:t>
            </w:r>
          </w:p>
        </w:tc>
        <w:tc>
          <w:tcPr>
            <w:tcW w:type="dxa" w:w="1704"/>
            <w:vAlign w:val="top"/>
          </w:tcPr>
          <w:p>
            <w:r>
              <w:rPr>
                <w:sz w:val="17"/>
              </w:rPr>
            </w:r>
            <w:r>
              <w:rPr>
                <w:b w:val="0"/>
                <w:sz w:val="17"/>
              </w:rPr>
              <w:t>Critical</w:t>
            </w:r>
          </w:p>
        </w:tc>
        <w:tc>
          <w:tcPr>
            <w:tcW w:type="dxa" w:w="1704"/>
            <w:vAlign w:val="top"/>
          </w:tcPr>
          <w:p>
            <w:r>
              <w:rPr>
                <w:sz w:val="17"/>
              </w:rPr>
            </w:r>
            <w:r>
              <w:rPr>
                <w:b w:val="0"/>
                <w:sz w:val="17"/>
              </w:rPr>
              <w:t>In Flight</w:t>
            </w:r>
          </w:p>
        </w:tc>
        <w:tc>
          <w:tcPr>
            <w:tcW w:type="dxa" w:w="1704"/>
            <w:vAlign w:val="top"/>
          </w:tcPr>
          <w:p>
            <w:r>
              <w:rPr>
                <w:sz w:val="17"/>
              </w:rPr>
            </w:r>
            <w:r>
              <w:rPr>
                <w:b w:val="0"/>
                <w:sz w:val="17"/>
              </w:rPr>
              <w:t>NFPA &amp; AHJ Knowledge Concentration</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#19</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Scheduled</w:t>
            </w:r>
          </w:p>
        </w:tc>
        <w:tc>
          <w:tcPr>
            <w:tcW w:type="dxa" w:w="1704"/>
            <w:vAlign w:val="top"/>
          </w:tcPr>
          <w:p>
            <w:r>
              <w:rPr>
                <w:sz w:val="17"/>
              </w:rPr>
            </w:r>
            <w:r>
              <w:rPr>
                <w:b w:val="0"/>
                <w:sz w:val="17"/>
              </w:rPr>
              <w:t>Project Management &amp; Subcontractor Management — GC-Seat Exposure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#28</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In Flight</w:t>
            </w:r>
          </w:p>
        </w:tc>
        <w:tc>
          <w:tcPr>
            <w:tcW w:type="dxa" w:w="1704"/>
            <w:vAlign w:val="top"/>
          </w:tcPr>
          <w:p>
            <w:r>
              <w:rPr>
                <w:sz w:val="17"/>
              </w:rPr>
            </w:r>
            <w:r>
              <w:rPr>
                <w:b w:val="0"/>
                <w:sz w:val="17"/>
              </w:rPr>
              <w:t>Field Workforce Recruiting &amp; Retention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#12</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Sequenced</w:t>
            </w:r>
          </w:p>
        </w:tc>
        <w:tc>
          <w:tcPr>
            <w:tcW w:type="dxa" w:w="1704"/>
            <w:vAlign w:val="top"/>
          </w:tcPr>
          <w:p>
            <w:r>
              <w:rPr>
                <w:sz w:val="17"/>
              </w:rPr>
            </w:r>
            <w:r>
              <w:rPr>
                <w:b w:val="0"/>
                <w:sz w:val="17"/>
              </w:rPr>
              <w:t>Absence of Standing Inspection Service Agreements</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#13</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Declining Inspection Volume &amp; Competitive Consolidation Risk</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#20</w:t>
            </w:r>
          </w:p>
        </w:tc>
        <w:tc>
          <w:tcPr>
            <w:tcW w:type="dxa" w:w="1704"/>
            <w:vAlign w:val="top"/>
          </w:tcPr>
          <w:p>
            <w:r>
              <w:rPr>
                <w:sz w:val="17"/>
              </w:rPr>
            </w:r>
            <w:r>
              <w:rPr>
                <w:b w:val="0"/>
                <w:sz w:val="17"/>
              </w:rPr>
              <w:t>Year 1</w:t>
            </w:r>
          </w:p>
        </w:tc>
        <w:tc>
          <w:tcPr>
            <w:tcW w:type="dxa" w:w="1704"/>
            <w:vAlign w:val="top"/>
          </w:tcPr>
          <w:p>
            <w:r>
              <w:rPr>
                <w:sz w:val="17"/>
              </w:rPr>
            </w:r>
            <w:r>
              <w:rPr>
                <w:b w:val="0"/>
                <w:sz w:val="17"/>
              </w:rPr>
              <w:t>High</w:t>
            </w:r>
          </w:p>
        </w:tc>
        <w:tc>
          <w:tcPr>
            <w:tcW w:type="dxa" w:w="1704"/>
            <w:vAlign w:val="top"/>
          </w:tcPr>
          <w:p>
            <w:r>
              <w:rPr>
                <w:sz w:val="17"/>
              </w:rPr>
            </w:r>
            <w:r>
              <w:rPr>
                <w:b w:val="0"/>
                <w:sz w:val="17"/>
              </w:rPr>
              <w:t>Open</w:t>
            </w:r>
          </w:p>
        </w:tc>
        <w:tc>
          <w:tcPr>
            <w:tcW w:type="dxa" w:w="1704"/>
            <w:vAlign w:val="top"/>
          </w:tcPr>
          <w:p>
            <w:r>
              <w:rPr>
                <w:sz w:val="17"/>
              </w:rPr>
            </w:r>
            <w:r>
              <w:rPr>
                <w:b w:val="0"/>
                <w:sz w:val="17"/>
              </w:rPr>
              <w:t>Absence of Written QA/QC Program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#8</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Scheduled</w:t>
            </w:r>
          </w:p>
        </w:tc>
        <w:tc>
          <w:tcPr>
            <w:tcW w:type="dxa" w:w="1704"/>
            <w:vAlign w:val="top"/>
          </w:tcPr>
          <w:p>
            <w:r>
              <w:rPr>
                <w:sz w:val="17"/>
              </w:rPr>
            </w:r>
            <w:r>
              <w:rPr>
                <w:b w:val="0"/>
                <w:sz w:val="17"/>
              </w:rPr>
              <w:t>Certified Payroll — Tooling &amp; Data-Structure Gap</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#7</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QuickBooks Customer Master Data Quality</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#22</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AHJ Rough-In / Final Re-Trip Cost Exposure</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Records Retention Obligations Going Unmet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Software Inventory and Identity Management</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Hiring, Onboarding &amp; Termination Process Definition</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#36</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HR Compliance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#43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In Flight</w:t>
            </w:r>
          </w:p>
        </w:tc>
        <w:tc>
          <w:tcPr>
            <w:tcW w:type="dxa" w:w="1704"/>
            <w:vAlign w:val="top"/>
          </w:tcPr>
          <w:p>
            <w:r>
              <w:rPr>
                <w:sz w:val="17"/>
              </w:rPr>
            </w:r>
            <w:r>
              <w:rPr>
                <w:b w:val="0"/>
                <w:sz w:val="17"/>
              </w:rPr>
              <w:t>Absence of AHJ / Fire Marshal Register</w:t>
            </w:r>
          </w:p>
        </w:tc>
        <w:tc>
          <w:tcPr>
            <w:tcW w:type="dxa" w:w="1704"/>
            <w:vAlign w:val="top"/>
          </w:tcPr>
          <w:p>
            <w:r>
              <w:rPr>
                <w:sz w:val="17"/>
              </w:rPr>
            </w:r>
            <w:r>
              <w:rPr>
                <w:b w:val="0"/>
                <w:sz w:val="17"/>
              </w:rPr>
              <w:t>Regulatory &amp; Compliance</w:t>
            </w:r>
          </w:p>
        </w:tc>
      </w:tr>
      <w:tr>
        <w:tc>
          <w:tcPr>
            <w:tcW w:type="dxa" w:w="1704"/>
            <w:vAlign w:val="top"/>
          </w:tcPr>
          <w:p>
            <w:r>
              <w:rPr>
                <w:sz w:val="17"/>
              </w:rPr>
            </w:r>
            <w:r>
              <w:rPr>
                <w:b w:val="0"/>
                <w:sz w:val="17"/>
              </w:rPr>
              <w:t>#14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No CRM or Pipeline System</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#23</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Rough-In Artifact Preparation &amp; Centralization Gap</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#24</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Sequenced</w:t>
            </w:r>
          </w:p>
        </w:tc>
        <w:tc>
          <w:tcPr>
            <w:tcW w:type="dxa" w:w="1704"/>
            <w:vAlign w:val="top"/>
          </w:tcPr>
          <w:p>
            <w:r>
              <w:rPr>
                <w:sz w:val="17"/>
              </w:rPr>
            </w:r>
            <w:r>
              <w:rPr>
                <w:b w:val="0"/>
                <w:sz w:val="17"/>
              </w:rPr>
              <w:t>Inspection Management System Absent (No ITM Platform)</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Chart of Accounts — Expense-Side Structure</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#6</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Revenue-Side Segmentation</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#9</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Certificate of Insurance Tracking</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#10</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Budgeting, Forecasting &amp; Management Reporting</w:t>
            </w:r>
          </w:p>
        </w:tc>
        <w:tc>
          <w:tcPr>
            <w:tcW w:type="dxa" w:w="1704"/>
            <w:vAlign w:val="top"/>
          </w:tcPr>
          <w:p>
            <w:r>
              <w:rPr>
                <w:sz w:val="17"/>
              </w:rPr>
            </w:r>
            <w:r>
              <w:rPr>
                <w:b w:val="0"/>
                <w:sz w:val="17"/>
              </w:rPr>
              <w:t>Financial Operations &amp; Controls</w:t>
            </w:r>
          </w:p>
        </w:tc>
      </w:tr>
      <w:tr>
        <w:tc>
          <w:tcPr>
            <w:tcW w:type="dxa" w:w="1704"/>
            <w:vAlign w:val="top"/>
          </w:tcPr>
          <w:p>
            <w:r>
              <w:rPr>
                <w:sz w:val="17"/>
              </w:rPr>
            </w:r>
            <w:r>
              <w:rPr>
                <w:b w:val="0"/>
                <w:sz w:val="17"/>
              </w:rPr>
              <w:t>#15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Declined Inspection-Adjacent Inbound Service Volume (Revenue Leakage)</w:t>
            </w:r>
          </w:p>
        </w:tc>
        <w:tc>
          <w:tcPr>
            <w:tcW w:type="dxa" w:w="1704"/>
            <w:vAlign w:val="top"/>
          </w:tcPr>
          <w:p>
            <w:r>
              <w:rPr>
                <w:sz w:val="17"/>
              </w:rPr>
            </w:r>
            <w:r>
              <w:rPr>
                <w:b w:val="0"/>
                <w:sz w:val="17"/>
              </w:rPr>
              <w:t>Revenue Generation &amp; Customer Management</w:t>
            </w:r>
          </w:p>
        </w:tc>
      </w:tr>
      <w:tr>
        <w:tc>
          <w:tcPr>
            <w:tcW w:type="dxa" w:w="1704"/>
            <w:vAlign w:val="top"/>
          </w:tcPr>
          <w:p>
            <w:r>
              <w:rPr>
                <w:sz w:val="17"/>
              </w:rPr>
            </w:r>
            <w:r>
              <w:rPr>
                <w:b w:val="0"/>
                <w:sz w:val="17"/>
              </w:rPr>
              <w:t>#25</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Fleet Maintenance Tracking</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#32</w:t>
            </w:r>
          </w:p>
        </w:tc>
        <w:tc>
          <w:tcPr>
            <w:tcW w:type="dxa" w:w="1704"/>
            <w:vAlign w:val="top"/>
          </w:tcPr>
          <w:p>
            <w:r>
              <w:rPr>
                <w:sz w:val="17"/>
              </w:rPr>
            </w:r>
            <w:r>
              <w:rPr>
                <w:b w:val="0"/>
                <w:sz w:val="17"/>
              </w:rPr>
              <w:t>Year 1</w:t>
            </w:r>
          </w:p>
        </w:tc>
        <w:tc>
          <w:tcPr>
            <w:tcW w:type="dxa" w:w="1704"/>
            <w:vAlign w:val="top"/>
          </w:tcPr>
          <w:p>
            <w:r>
              <w:rPr>
                <w:sz w:val="17"/>
              </w:rPr>
            </w:r>
            <w:r>
              <w:rPr>
                <w:b w:val="0"/>
                <w:sz w:val="17"/>
              </w:rPr>
              <w:t>Medium</w:t>
            </w:r>
          </w:p>
        </w:tc>
        <w:tc>
          <w:tcPr>
            <w:tcW w:type="dxa" w:w="1704"/>
            <w:vAlign w:val="top"/>
          </w:tcPr>
          <w:p>
            <w:r>
              <w:rPr>
                <w:sz w:val="17"/>
              </w:rPr>
            </w:r>
            <w:r>
              <w:rPr>
                <w:b w:val="0"/>
                <w:sz w:val="17"/>
              </w:rPr>
              <w:t>Open</w:t>
            </w:r>
          </w:p>
        </w:tc>
        <w:tc>
          <w:tcPr>
            <w:tcW w:type="dxa" w:w="1704"/>
            <w:vAlign w:val="top"/>
          </w:tcPr>
          <w:p>
            <w:r>
              <w:rPr>
                <w:sz w:val="17"/>
              </w:rPr>
            </w:r>
            <w:r>
              <w:rPr>
                <w:b w:val="0"/>
                <w:sz w:val="17"/>
              </w:rPr>
              <w:t>Mobile Device Management &amp; Endpoint Posture</w:t>
            </w:r>
          </w:p>
        </w:tc>
        <w:tc>
          <w:tcPr>
            <w:tcW w:type="dxa" w:w="1704"/>
            <w:vAlign w:val="top"/>
          </w:tcPr>
          <w:p>
            <w:r>
              <w:rPr>
                <w:sz w:val="17"/>
              </w:rPr>
            </w:r>
            <w:r>
              <w:rPr>
                <w:b w:val="0"/>
                <w:sz w:val="17"/>
              </w:rPr>
              <w:t>People &amp; Administration</w:t>
            </w:r>
          </w:p>
        </w:tc>
      </w:tr>
      <w:tr>
        <w:tc>
          <w:tcPr>
            <w:tcW w:type="dxa" w:w="1704"/>
            <w:vAlign w:val="top"/>
          </w:tcPr>
          <w:p>
            <w:r>
              <w:rPr>
                <w:sz w:val="17"/>
              </w:rPr>
            </w:r>
            <w:r>
              <w:rPr>
                <w:b w:val="0"/>
                <w:sz w:val="17"/>
              </w:rPr>
              <w:t>#26</w:t>
            </w:r>
          </w:p>
        </w:tc>
        <w:tc>
          <w:tcPr>
            <w:tcW w:type="dxa" w:w="1704"/>
            <w:vAlign w:val="top"/>
          </w:tcPr>
          <w:p>
            <w:r>
              <w:rPr>
                <w:sz w:val="17"/>
              </w:rPr>
            </w:r>
            <w:r>
              <w:rPr>
                <w:b w:val="0"/>
                <w:sz w:val="17"/>
              </w:rPr>
              <w:t>Year 1</w:t>
            </w:r>
          </w:p>
        </w:tc>
        <w:tc>
          <w:tcPr>
            <w:tcW w:type="dxa" w:w="1704"/>
            <w:vAlign w:val="top"/>
          </w:tcPr>
          <w:p>
            <w:r>
              <w:rPr>
                <w:sz w:val="17"/>
              </w:rPr>
            </w:r>
            <w:r>
              <w:rPr>
                <w:b w:val="0"/>
                <w:sz w:val="17"/>
              </w:rPr>
              <w:t>Low</w:t>
            </w:r>
          </w:p>
        </w:tc>
        <w:tc>
          <w:tcPr>
            <w:tcW w:type="dxa" w:w="1704"/>
            <w:vAlign w:val="top"/>
          </w:tcPr>
          <w:p>
            <w:r>
              <w:rPr>
                <w:sz w:val="17"/>
              </w:rPr>
            </w:r>
            <w:r>
              <w:rPr>
                <w:b w:val="0"/>
                <w:sz w:val="17"/>
              </w:rPr>
              <w:t>Open</w:t>
            </w:r>
          </w:p>
        </w:tc>
        <w:tc>
          <w:tcPr>
            <w:tcW w:type="dxa" w:w="1704"/>
            <w:vAlign w:val="top"/>
          </w:tcPr>
          <w:p>
            <w:r>
              <w:rPr>
                <w:sz w:val="17"/>
              </w:rPr>
            </w:r>
            <w:r>
              <w:rPr>
                <w:b w:val="0"/>
                <w:sz w:val="17"/>
              </w:rPr>
              <w:t>Inventory Management</w:t>
            </w:r>
          </w:p>
        </w:tc>
        <w:tc>
          <w:tcPr>
            <w:tcW w:type="dxa" w:w="1704"/>
            <w:vAlign w:val="top"/>
          </w:tcPr>
          <w:p>
            <w:r>
              <w:rPr>
                <w:sz w:val="17"/>
              </w:rPr>
            </w:r>
            <w:r>
              <w:rPr>
                <w:b w:val="0"/>
                <w:sz w:val="17"/>
              </w:rPr>
              <w:t>Project Delivery &amp; Operations</w:t>
            </w:r>
          </w:p>
        </w:tc>
      </w:tr>
      <w:tr>
        <w:tc>
          <w:tcPr>
            <w:tcW w:type="dxa" w:w="1704"/>
            <w:vAlign w:val="top"/>
          </w:tcPr>
          <w:p>
            <w:r>
              <w:rPr>
                <w:sz w:val="17"/>
              </w:rPr>
            </w:r>
            <w:r>
              <w:rPr>
                <w:b w:val="0"/>
                <w:sz w:val="17"/>
              </w:rPr>
              <w:t>#38</w:t>
            </w:r>
          </w:p>
        </w:tc>
        <w:tc>
          <w:tcPr>
            <w:tcW w:type="dxa" w:w="1704"/>
            <w:vAlign w:val="top"/>
          </w:tcPr>
          <w:p>
            <w:r>
              <w:rPr>
                <w:sz w:val="17"/>
              </w:rPr>
            </w:r>
            <w:r>
              <w:rPr>
                <w:b w:val="0"/>
                <w:sz w:val="17"/>
              </w:rPr>
              <w:t>Strategic</w:t>
            </w:r>
          </w:p>
        </w:tc>
        <w:tc>
          <w:tcPr>
            <w:tcW w:type="dxa" w:w="1704"/>
            <w:vAlign w:val="top"/>
          </w:tcPr>
          <w:p>
            <w:r>
              <w:rPr>
                <w:sz w:val="17"/>
              </w:rPr>
            </w:r>
            <w:r>
              <w:rPr>
                <w:b w:val="0"/>
                <w:sz w:val="17"/>
              </w:rPr>
              <w:t>High</w:t>
            </w:r>
          </w:p>
        </w:tc>
        <w:tc>
          <w:tcPr>
            <w:tcW w:type="dxa" w:w="1704"/>
            <w:vAlign w:val="top"/>
          </w:tcPr>
          <w:p>
            <w:r>
              <w:rPr>
                <w:sz w:val="17"/>
              </w:rPr>
            </w:r>
            <w:r>
              <w:rPr>
                <w:b w:val="0"/>
                <w:sz w:val="17"/>
              </w:rPr>
              <w:t>Sequenced</w:t>
            </w:r>
          </w:p>
        </w:tc>
        <w:tc>
          <w:tcPr>
            <w:tcW w:type="dxa" w:w="1704"/>
            <w:vAlign w:val="top"/>
          </w:tcPr>
          <w:p>
            <w:r>
              <w:rPr>
                <w:sz w:val="17"/>
              </w:rPr>
            </w:r>
            <w:r>
              <w:rPr>
                <w:b w:val="0"/>
                <w:sz w:val="17"/>
              </w:rPr>
              <w:t>Customer Concentration</w:t>
            </w:r>
          </w:p>
        </w:tc>
        <w:tc>
          <w:tcPr>
            <w:tcW w:type="dxa" w:w="1704"/>
            <w:vAlign w:val="top"/>
          </w:tcPr>
          <w:p>
            <w:r>
              <w:rPr>
                <w:sz w:val="17"/>
              </w:rPr>
            </w:r>
            <w:r>
              <w:rPr>
                <w:b w:val="0"/>
                <w:sz w:val="17"/>
              </w:rPr>
              <w:t>Institutional Knowledge &amp; Key Relationships</w:t>
            </w:r>
          </w:p>
        </w:tc>
      </w:tr>
    </w:tbl>
    <w:p>
      <w:r>
        <w:t>Narrative summary. Pre-close work is dominated by visible-state compliance and transaction-mechanics items: new-hire form verification/cleanup, UIA reconstruction, office succession, BFS/S-0440 certification continuity,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t>3. Sequencing &amp; Dependencies</w:t>
      </w:r>
    </w:p>
    <w:p>
      <w: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sz w:val="17"/>
              </w:rPr>
            </w:r>
            <w:r>
              <w:rPr>
                <w:b/>
                <w:sz w:val="17"/>
              </w:rPr>
              <w:t>Dependency / Critical Path Item</w:t>
            </w:r>
          </w:p>
        </w:tc>
        <w:tc>
          <w:tcPr>
            <w:tcW w:type="dxa" w:w="5112"/>
            <w:shd w:fill="D9EAF7"/>
          </w:tcPr>
          <w:p>
            <w:r>
              <w:rPr>
                <w:sz w:val="17"/>
              </w:rPr>
            </w:r>
            <w:r>
              <w:rPr>
                <w:b/>
                <w:sz w:val="17"/>
              </w:rPr>
              <w:t>Downstream effect</w:t>
            </w:r>
          </w:p>
        </w:tc>
      </w:tr>
      <w:tr>
        <w:tc>
          <w:tcPr>
            <w:tcW w:type="dxa" w:w="5112"/>
            <w:vAlign w:val="top"/>
          </w:tcPr>
          <w:p>
            <w:r>
              <w:rPr>
                <w:sz w:val="17"/>
              </w:rPr>
            </w:r>
            <w:r>
              <w:rPr>
                <w:b w:val="0"/>
                <w:sz w:val="17"/>
              </w:rPr>
              <w:t>Inspection-delivery hire decision</w:t>
            </w:r>
          </w:p>
        </w:tc>
        <w:tc>
          <w:tcPr>
            <w:tcW w:type="dxa" w:w="5112"/>
            <w:vAlign w:val="top"/>
          </w:tcPr>
          <w:p>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tcPr>
          <w:p>
            <w:r>
              <w:rPr>
                <w:sz w:val="17"/>
              </w:rPr>
            </w:r>
            <w:r>
              <w:rPr>
                <w:b w:val="0"/>
                <w:sz w:val="17"/>
              </w:rPr>
              <w:t>Deal close / buy-in mechanics</w:t>
            </w:r>
          </w:p>
        </w:tc>
        <w:tc>
          <w:tcPr>
            <w:tcW w:type="dxa" w:w="5112"/>
            <w:vAlign w:val="top"/>
          </w:tcPr>
          <w:p>
            <w:r>
              <w:rPr>
                <w:sz w:val="17"/>
              </w:rPr>
            </w:r>
            <w:r>
              <w:rPr>
                <w:b w:val="0"/>
                <w:sz w:val="17"/>
              </w:rPr>
              <w:t>Unlocks Findings #1 and #3 through new banking relationships, authority tiers, and dual-control thresholds in the shareholder or operating agreement.</w:t>
            </w:r>
          </w:p>
        </w:tc>
      </w:tr>
      <w:tr>
        <w:tc>
          <w:tcPr>
            <w:tcW w:type="dxa" w:w="5112"/>
            <w:vAlign w:val="top"/>
          </w:tcPr>
          <w:p>
            <w:r>
              <w:rPr>
                <w:sz w:val="17"/>
              </w:rPr>
            </w:r>
            <w:r>
              <w:rPr>
                <w:b w:val="0"/>
                <w:sz w:val="17"/>
              </w:rPr>
              <w:t>QuickBooks Desktop → QBO / Payroll migration</w:t>
            </w:r>
          </w:p>
        </w:tc>
        <w:tc>
          <w:tcPr>
            <w:tcW w:type="dxa" w:w="5112"/>
            <w:vAlign w:val="top"/>
          </w:tcPr>
          <w:p>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tcPr>
          <w:p>
            <w:r>
              <w:rPr>
                <w:sz w:val="17"/>
              </w:rPr>
            </w:r>
            <w:r>
              <w:rPr>
                <w:b w:val="0"/>
                <w:sz w:val="17"/>
              </w:rPr>
              <w:t>HR / compliance calendar buildout</w:t>
            </w:r>
          </w:p>
        </w:tc>
        <w:tc>
          <w:tcPr>
            <w:tcW w:type="dxa" w:w="5112"/>
            <w:vAlign w:val="top"/>
          </w:tcPr>
          <w:p>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tcPr>
          <w:p>
            <w:r>
              <w:rPr>
                <w:sz w:val="17"/>
              </w:rPr>
            </w:r>
            <w:r>
              <w:rPr>
                <w:b w:val="0"/>
                <w:sz w:val="17"/>
              </w:rPr>
              <w:t>Field Crew Communication + Job Tracking adoption</w:t>
            </w:r>
          </w:p>
        </w:tc>
        <w:tc>
          <w:tcPr>
            <w:tcW w:type="dxa" w:w="5112"/>
            <w:vAlign w:val="top"/>
          </w:tcPr>
          <w:p>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tcPr>
          <w:p>
            <w:r>
              <w:rPr>
                <w:sz w:val="17"/>
              </w:rPr>
            </w:r>
            <w:r>
              <w:rPr>
                <w:b w:val="0"/>
                <w:sz w:val="17"/>
              </w:rPr>
              <w:t>Estimating methodology capture</w:t>
            </w:r>
          </w:p>
        </w:tc>
        <w:tc>
          <w:tcPr>
            <w:tcW w:type="dxa" w:w="5112"/>
            <w:vAlign w:val="top"/>
          </w:tcPr>
          <w:p>
            <w:r>
              <w:rPr>
                <w:sz w:val="17"/>
              </w:rPr>
            </w:r>
            <w:r>
              <w:rPr>
                <w:b w:val="0"/>
                <w:sz w:val="17"/>
              </w:rPr>
              <w:t>Highest-leverage owner-knowledge dependency; also supports sales training, pricing discipline, budget forecasting, and eventual delegation of estimate preparation.</w:t>
            </w:r>
          </w:p>
        </w:tc>
      </w:tr>
      <w:tr>
        <w:tc>
          <w:tcPr>
            <w:tcW w:type="dxa" w:w="5112"/>
            <w:vAlign w:val="top"/>
          </w:tcPr>
          <w:p>
            <w:r>
              <w:rPr>
                <w:sz w:val="18"/>
              </w:rPr>
            </w:r>
            <w:r>
              <w:rPr>
                <w:b w:val="0"/>
                <w:sz w:val="18"/>
              </w:rPr>
              <w:t>Daily job site reporting / photo documentation</w:t>
            </w:r>
          </w:p>
        </w:tc>
        <w:tc>
          <w:tcPr>
            <w:tcW w:type="dxa" w:w="5112"/>
            <w:vAlign w:val="top"/>
          </w:tcPr>
          <w:p>
            <w:r>
              <w:rPr>
                <w:sz w:val="18"/>
              </w:rPr>
            </w:r>
            <w:r>
              <w:rPr>
                <w:b w:val="0"/>
                <w:sz w:val="18"/>
              </w:rPr>
              <w:t>Creates daily evidence for progress, blockers, safety conditions, change-order support, QA/QC checks, customer updates, and billing readiness. This should be treated as a Project Delivery &amp; Operations control, not just a communications convenience.</w:t>
            </w:r>
          </w:p>
        </w:tc>
      </w:tr>
      <w:tr>
        <w:tc>
          <w:tcPr>
            <w:tcW w:type="dxa" w:w="5112"/>
            <w:vAlign w:val="top"/>
          </w:tcPr>
          <w:p>
            <w:r>
              <w:rPr>
                <w:sz w:val="18"/>
              </w:rPr>
            </w:r>
            <w:r>
              <w:rPr>
                <w:b w:val="0"/>
                <w:sz w:val="18"/>
              </w:rPr>
              <w:t>Digital timecard submission / labor cost capture</w:t>
            </w:r>
          </w:p>
        </w:tc>
        <w:tc>
          <w:tcPr>
            <w:tcW w:type="dxa" w:w="5112"/>
            <w:vAlign w:val="top"/>
          </w:tcPr>
          <w:p>
            <w:r>
              <w:rPr>
                <w:sz w:val="18"/>
              </w:rPr>
            </w:r>
            <w:r>
              <w:rPr>
                <w:b w:val="0"/>
                <w:sz w:val="18"/>
              </w:rPr>
              <w:t>Feeds payroll, certified payroll, job-costing, WIP timing, and revenue recognition. Phase 1 can be photo/email/text submission of handwritten sheets; later phases can move to QBO Time, Workyard, busybusy, ExakTime, or another field-labor platform once union payroll and job-costing requirements are known.</w:t>
            </w:r>
          </w:p>
        </w:tc>
      </w:tr>
    </w:tbl>
    <w:p>
      <w:pPr>
        <w:pStyle w:val="Heading2"/>
      </w:pPr>
      <w:r>
        <w:t>3.1 Workflow Documentation Backlog</w:t>
      </w:r>
    </w:p>
    <w:p>
      <w: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r>
        <w:t>Two field-data workflows should be explicit in this backlog rather than implied: daily job site reporting/photo documentation and digital timecard submission. Both are foundational controls because they convert field activity into timely evidence for project tracking, QA/QC, payroll, job costing, WIP, revenue timing, and billing readiness.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7"/>
              </w:rPr>
            </w:r>
            <w:r>
              <w:rPr>
                <w:b/>
                <w:sz w:val="17"/>
              </w:rPr>
              <w:t>Workflow</w:t>
            </w:r>
          </w:p>
        </w:tc>
        <w:tc>
          <w:tcPr>
            <w:tcW w:type="dxa" w:w="3408"/>
            <w:shd w:fill="D9EAF7"/>
          </w:tcPr>
          <w:p>
            <w:r>
              <w:rPr>
                <w:sz w:val="17"/>
              </w:rPr>
            </w:r>
            <w:r>
              <w:rPr>
                <w:b/>
                <w:sz w:val="17"/>
              </w:rPr>
              <w:t>Current-state flow to capture</w:t>
            </w:r>
          </w:p>
        </w:tc>
        <w:tc>
          <w:tcPr>
            <w:tcW w:type="dxa" w:w="3408"/>
            <w:shd w:fill="D9EAF7"/>
          </w:tcPr>
          <w:p>
            <w:r>
              <w:rPr>
                <w:sz w:val="17"/>
              </w:rPr>
            </w:r>
            <w:r>
              <w:rPr>
                <w:b/>
                <w:sz w:val="17"/>
              </w:rPr>
              <w:t>Modernization linkage</w:t>
            </w:r>
          </w:p>
        </w:tc>
      </w:tr>
      <w:tr>
        <w:tc>
          <w:tcPr>
            <w:tcW w:type="dxa" w:w="3408"/>
            <w:vAlign w:val="top"/>
          </w:tcPr>
          <w:p>
            <w:r>
              <w:rPr>
                <w:sz w:val="17"/>
              </w:rPr>
            </w:r>
            <w:r>
              <w:rPr>
                <w:b w:val="0"/>
                <w:sz w:val="17"/>
              </w:rPr>
              <w:t>Service Work Order → Pricing → Invoicing</w:t>
            </w:r>
          </w:p>
        </w:tc>
        <w:tc>
          <w:tcPr>
            <w:tcW w:type="dxa" w:w="3408"/>
            <w:vAlign w:val="top"/>
          </w:tcPr>
          <w:p>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r>
              <w:rPr>
                <w:sz w:val="17"/>
              </w:rPr>
            </w:r>
            <w:r>
              <w:rPr>
                <w:b w:val="0"/>
                <w:sz w:val="17"/>
              </w:rPr>
              <w:t>Current-State §2.3; supports billing-control and service-margin modernization.</w:t>
            </w:r>
          </w:p>
        </w:tc>
      </w:tr>
      <w:tr>
        <w:tc>
          <w:tcPr>
            <w:tcW w:type="dxa" w:w="3408"/>
            <w:vAlign w:val="top"/>
          </w:tcPr>
          <w:p>
            <w:r>
              <w:rPr>
                <w:sz w:val="17"/>
              </w:rPr>
            </w:r>
            <w:r>
              <w:rPr>
                <w:b w:val="0"/>
                <w:sz w:val="17"/>
              </w:rPr>
              <w:t>Marketing &amp; Sales Funnel / Inbound Opportunity Intake</w:t>
            </w:r>
          </w:p>
        </w:tc>
        <w:tc>
          <w:tcPr>
            <w:tcW w:type="dxa" w:w="3408"/>
            <w:vAlign w:val="top"/>
          </w:tcPr>
          <w:p>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r>
              <w:rPr>
                <w:sz w:val="17"/>
              </w:rPr>
            </w:r>
            <w:r>
              <w:rPr>
                <w:b w:val="0"/>
                <w:sz w:val="17"/>
              </w:rPr>
              <w:t>Ties directly to Findings #12, #14, #15, #28, and #38; captures the current low-system, relationship-driven sales motion before CRM design.</w:t>
            </w:r>
          </w:p>
        </w:tc>
      </w:tr>
      <w:tr>
        <w:tc>
          <w:tcPr>
            <w:tcW w:type="dxa" w:w="3408"/>
            <w:vAlign w:val="top"/>
          </w:tcPr>
          <w:p>
            <w:r>
              <w:rPr>
                <w:sz w:val="17"/>
              </w:rPr>
            </w:r>
            <w:r>
              <w:rPr>
                <w:b w:val="0"/>
                <w:sz w:val="17"/>
              </w:rPr>
              <w:t>Installation Job Award → Contract Review → Execution → Billing/Retainage</w:t>
            </w:r>
          </w:p>
        </w:tc>
        <w:tc>
          <w:tcPr>
            <w:tcW w:type="dxa" w:w="3408"/>
            <w:vAlign w:val="top"/>
          </w:tcPr>
          <w:p>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r>
              <w:rPr>
                <w:sz w:val="17"/>
              </w:rPr>
            </w:r>
            <w:r>
              <w:rPr>
                <w:b w:val="0"/>
                <w:sz w:val="17"/>
              </w:rPr>
              <w:t>Current-State §2.2–§2.3; supports PM/subcontractor-management and billing process remediation.</w:t>
            </w:r>
          </w:p>
        </w:tc>
      </w:tr>
      <w:tr>
        <w:tc>
          <w:tcPr>
            <w:tcW w:type="dxa" w:w="3408"/>
            <w:vAlign w:val="top"/>
          </w:tcPr>
          <w:p>
            <w:r>
              <w:rPr>
                <w:sz w:val="17"/>
              </w:rPr>
            </w:r>
            <w:r>
              <w:rPr>
                <w:b w:val="0"/>
                <w:sz w:val="17"/>
              </w:rPr>
              <w:t>Inspection Intake → Scheduling → NFPA-25 Report → Billing / Follow-up</w:t>
            </w:r>
          </w:p>
        </w:tc>
        <w:tc>
          <w:tcPr>
            <w:tcW w:type="dxa" w:w="3408"/>
            <w:vAlign w:val="top"/>
          </w:tcPr>
          <w:p>
            <w:r>
              <w:rPr>
                <w:sz w:val="17"/>
              </w:rPr>
            </w:r>
            <w:r>
              <w:rPr>
                <w:b w:val="0"/>
                <w:sz w:val="17"/>
              </w:rPr>
              <w:t>Inbound inspection request, Keith scheduling, report preparation, deficiency handling, customer communication, invoice generation, and follow-up.</w:t>
            </w:r>
          </w:p>
        </w:tc>
        <w:tc>
          <w:tcPr>
            <w:tcW w:type="dxa" w:w="3408"/>
            <w:vAlign w:val="top"/>
          </w:tcPr>
          <w:p>
            <w:r>
              <w:rPr>
                <w:sz w:val="17"/>
              </w:rPr>
            </w:r>
            <w:r>
              <w:rPr>
                <w:b w:val="0"/>
                <w:sz w:val="17"/>
              </w:rPr>
              <w:t>Ties to inspection-delivery concentration, ITM platform decision, standing inspection agreements, and declined inspection-adjacent demand.</w:t>
            </w:r>
          </w:p>
        </w:tc>
      </w:tr>
      <w:tr>
        <w:tc>
          <w:tcPr>
            <w:tcW w:type="dxa" w:w="3408"/>
            <w:vAlign w:val="top"/>
          </w:tcPr>
          <w:p>
            <w:r>
              <w:rPr>
                <w:sz w:val="18"/>
              </w:rPr>
            </w:r>
            <w:r>
              <w:rPr>
                <w:b w:val="0"/>
                <w:sz w:val="18"/>
              </w:rPr>
              <w:t>Payroll / Digital Timecard Submission Flow</w:t>
            </w:r>
          </w:p>
        </w:tc>
        <w:tc>
          <w:tcPr>
            <w:tcW w:type="dxa" w:w="3408"/>
            <w:vAlign w:val="top"/>
          </w:tcPr>
          <w:p>
            <w:r>
              <w:rPr>
                <w:sz w:val="18"/>
              </w:rPr>
            </w:r>
            <w:r>
              <w:rPr>
                <w:b w:val="0"/>
                <w:sz w:val="18"/>
              </w:rPr>
              <w:t>Current paper timesheets; near-term option for crews to email/text photos of handwritten sheets; structured interim form if needed; later platform options include QBO Time/QuickBooks Payroll, Workyard, busybusy, ExakTime, or another field-labor system.</w:t>
            </w:r>
          </w:p>
        </w:tc>
        <w:tc>
          <w:tcPr>
            <w:tcW w:type="dxa" w:w="3408"/>
            <w:vAlign w:val="top"/>
          </w:tcPr>
          <w:p>
            <w:r>
              <w:rPr>
                <w:sz w:val="18"/>
              </w:rPr>
            </w:r>
            <w:r>
              <w:rPr>
                <w:b w:val="0"/>
                <w:sz w:val="18"/>
              </w:rPr>
              <w:t>Supports Finding #8 and payroll modernization, while also improving job-costing, certified payroll data, WIP timing, labor productivity visibility, and revenue/cost cut-off.</w:t>
            </w:r>
          </w:p>
        </w:tc>
      </w:tr>
      <w:tr>
        <w:tc>
          <w:tcPr>
            <w:tcW w:type="dxa" w:w="3408"/>
            <w:vAlign w:val="top"/>
          </w:tcPr>
          <w:p>
            <w:r>
              <w:rPr>
                <w:sz w:val="17"/>
              </w:rPr>
            </w:r>
            <w:r>
              <w:rPr>
                <w:b w:val="0"/>
                <w:sz w:val="17"/>
              </w:rPr>
              <w:t>New Hire / Onboarding Flow</w:t>
            </w:r>
          </w:p>
        </w:tc>
        <w:tc>
          <w:tcPr>
            <w:tcW w:type="dxa" w:w="3408"/>
            <w:vAlign w:val="top"/>
          </w:tcPr>
          <w:p>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r>
              <w:rPr>
                <w:sz w:val="17"/>
              </w:rPr>
            </w:r>
            <w:r>
              <w:rPr>
                <w:b w:val="0"/>
                <w:sz w:val="17"/>
              </w:rPr>
              <w:t>Supports Findings #2, #18, #28, #35, and #36.</w:t>
            </w:r>
          </w:p>
        </w:tc>
      </w:tr>
      <w:tr>
        <w:tc>
          <w:tcPr>
            <w:tcW w:type="dxa" w:w="3408"/>
            <w:vAlign w:val="top"/>
          </w:tcPr>
          <w:p>
            <w:r>
              <w:rPr>
                <w:sz w:val="18"/>
              </w:rPr>
            </w:r>
            <w:r>
              <w:rPr>
                <w:b w:val="0"/>
                <w:sz w:val="18"/>
              </w:rPr>
              <w:t>Daily Job Site Reporting / Photo Documentation</w:t>
            </w:r>
          </w:p>
        </w:tc>
        <w:tc>
          <w:tcPr>
            <w:tcW w:type="dxa" w:w="3408"/>
            <w:vAlign w:val="top"/>
          </w:tcPr>
          <w:p>
            <w:r>
              <w:rPr>
                <w:sz w:val="18"/>
              </w:rPr>
            </w:r>
            <w:r>
              <w:rPr>
                <w:b w:val="0"/>
                <w:sz w:val="18"/>
              </w:rPr>
              <w:t>Daily foreman or crew-lead update by job: photos, manpower, percent-complete signal, material constraints, inspections/AHJ readiness, safety incidents/near misses, blockers, change-order indicators, and work completed since prior report.</w:t>
            </w:r>
          </w:p>
        </w:tc>
        <w:tc>
          <w:tcPr>
            <w:tcW w:type="dxa" w:w="3408"/>
            <w:vAlign w:val="top"/>
          </w:tcPr>
          <w:p>
            <w:r>
              <w:rPr>
                <w:sz w:val="18"/>
              </w:rPr>
            </w:r>
            <w:r>
              <w:rPr>
                <w:b w:val="0"/>
                <w:sz w:val="18"/>
              </w:rPr>
              <w:t>Supports Findings #17, #19, #20, #22, and #23; candidate tools include CompanyCam or an equivalent photo/reporting workflow. Provides evidence for project tracking, QA/QC, change orders, customer communication, and billing readiness.</w:t>
            </w:r>
          </w:p>
        </w:tc>
      </w:tr>
    </w:tbl>
    <w:p>
      <w:pPr>
        <w:pStyle w:val="Heading1"/>
      </w:pPr>
      <w:r>
        <w:t>4. Resource &amp; Effort Summary</w:t>
      </w:r>
    </w:p>
    <w:p>
      <w: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sz w:val="17"/>
              </w:rPr>
            </w:r>
            <w:r>
              <w:rPr>
                <w:b/>
                <w:sz w:val="17"/>
              </w:rPr>
              <w:t>Resource</w:t>
            </w:r>
          </w:p>
        </w:tc>
        <w:tc>
          <w:tcPr>
            <w:tcW w:type="dxa" w:w="3408"/>
            <w:shd w:fill="D9EAF7"/>
          </w:tcPr>
          <w:p>
            <w:r>
              <w:rPr>
                <w:sz w:val="17"/>
              </w:rPr>
            </w:r>
            <w:r>
              <w:rPr>
                <w:b/>
                <w:sz w:val="17"/>
              </w:rPr>
              <w:t>Likely role</w:t>
            </w:r>
          </w:p>
        </w:tc>
        <w:tc>
          <w:tcPr>
            <w:tcW w:type="dxa" w:w="3408"/>
            <w:shd w:fill="D9EAF7"/>
          </w:tcPr>
          <w:p>
            <w:r>
              <w:rPr>
                <w:sz w:val="17"/>
              </w:rPr>
            </w:r>
            <w:r>
              <w:rPr>
                <w:b/>
                <w:sz w:val="17"/>
              </w:rPr>
              <w:t>Capacity note</w:t>
            </w:r>
          </w:p>
        </w:tc>
      </w:tr>
      <w:tr>
        <w:tc>
          <w:tcPr>
            <w:tcW w:type="dxa" w:w="3408"/>
            <w:vAlign w:val="top"/>
          </w:tcPr>
          <w:p>
            <w:r>
              <w:rPr>
                <w:sz w:val="17"/>
              </w:rPr>
            </w:r>
            <w:r>
              <w:rPr>
                <w:b w:val="0"/>
                <w:sz w:val="17"/>
              </w:rPr>
              <w:t>Justin / Predictive Lines</w:t>
            </w:r>
          </w:p>
        </w:tc>
        <w:tc>
          <w:tcPr>
            <w:tcW w:type="dxa" w:w="3408"/>
            <w:vAlign w:val="top"/>
          </w:tcPr>
          <w:p>
            <w:r>
              <w:rPr>
                <w:sz w:val="17"/>
              </w:rPr>
            </w:r>
            <w:r>
              <w:rPr>
                <w:b w:val="0"/>
                <w:sz w:val="17"/>
              </w:rPr>
              <w:t>Roadmap owner; document/process design; Notion + OpenClaw implementation; operating-model decisions; May 11/18 working sessions.</w:t>
            </w:r>
          </w:p>
        </w:tc>
        <w:tc>
          <w:tcPr>
            <w:tcW w:type="dxa" w:w="3408"/>
            <w:vAlign w:val="top"/>
          </w:tcPr>
          <w:p>
            <w:r>
              <w:rPr>
                <w:sz w:val="17"/>
              </w:rPr>
            </w:r>
            <w:r>
              <w:rPr>
                <w:b w:val="0"/>
                <w:sz w:val="17"/>
              </w:rPr>
              <w:t>High through first 90 days, tapering in Year 1.</w:t>
            </w:r>
          </w:p>
        </w:tc>
      </w:tr>
      <w:tr>
        <w:tc>
          <w:tcPr>
            <w:tcW w:type="dxa" w:w="3408"/>
            <w:vAlign w:val="top"/>
          </w:tcPr>
          <w:p>
            <w:r>
              <w:rPr>
                <w:sz w:val="17"/>
              </w:rPr>
            </w:r>
            <w:r>
              <w:rPr>
                <w:b w:val="0"/>
                <w:sz w:val="17"/>
              </w:rPr>
              <w:t>Kevin</w:t>
            </w:r>
          </w:p>
        </w:tc>
        <w:tc>
          <w:tcPr>
            <w:tcW w:type="dxa" w:w="3408"/>
            <w:vAlign w:val="top"/>
          </w:tcPr>
          <w:p>
            <w:r>
              <w:rPr>
                <w:sz w:val="17"/>
              </w:rPr>
            </w:r>
            <w:r>
              <w:rPr>
                <w:b w:val="0"/>
                <w:sz w:val="17"/>
              </w:rPr>
              <w:t>Source of owner knowledge, estimating methodology, customer relationships, banking authority transition, PM/subcontractor-management discussion.</w:t>
            </w:r>
          </w:p>
        </w:tc>
        <w:tc>
          <w:tcPr>
            <w:tcW w:type="dxa" w:w="3408"/>
            <w:vAlign w:val="top"/>
          </w:tcPr>
          <w:p>
            <w:r>
              <w:rPr>
                <w:sz w:val="17"/>
              </w:rPr>
            </w:r>
            <w:r>
              <w:rPr>
                <w:b w:val="0"/>
                <w:sz w:val="17"/>
              </w:rPr>
              <w:t>High but must be tightly scheduled; use interviews/workshops, not open-ended asks.</w:t>
            </w:r>
          </w:p>
        </w:tc>
      </w:tr>
      <w:tr>
        <w:tc>
          <w:tcPr>
            <w:tcW w:type="dxa" w:w="3408"/>
            <w:vAlign w:val="top"/>
          </w:tcPr>
          <w:p>
            <w:r>
              <w:rPr>
                <w:sz w:val="17"/>
              </w:rPr>
            </w:r>
            <w:r>
              <w:rPr>
                <w:b w:val="0"/>
                <w:sz w:val="17"/>
              </w:rPr>
              <w:t>Jaclyn</w:t>
            </w:r>
          </w:p>
        </w:tc>
        <w:tc>
          <w:tcPr>
            <w:tcW w:type="dxa" w:w="3408"/>
            <w:vAlign w:val="top"/>
          </w:tcPr>
          <w:p>
            <w:r>
              <w:rPr>
                <w:sz w:val="17"/>
              </w:rPr>
            </w:r>
            <w:r>
              <w:rPr>
                <w:b w:val="0"/>
                <w:sz w:val="17"/>
              </w:rPr>
              <w:t>Finance/control environment, QBO/payroll migration decisions, reporting cadence, approval authority, vendor/payment controls.</w:t>
            </w:r>
          </w:p>
        </w:tc>
        <w:tc>
          <w:tcPr>
            <w:tcW w:type="dxa" w:w="3408"/>
            <w:vAlign w:val="top"/>
          </w:tcPr>
          <w:p>
            <w:r>
              <w:rPr>
                <w:sz w:val="17"/>
              </w:rPr>
            </w:r>
            <w:r>
              <w:rPr>
                <w:b w:val="0"/>
                <w:sz w:val="17"/>
              </w:rPr>
              <w:t>Moderate; spikes around finance migration and internal controls.</w:t>
            </w:r>
          </w:p>
        </w:tc>
      </w:tr>
      <w:tr>
        <w:tc>
          <w:tcPr>
            <w:tcW w:type="dxa" w:w="3408"/>
            <w:vAlign w:val="top"/>
          </w:tcPr>
          <w:p>
            <w:r>
              <w:rPr>
                <w:sz w:val="17"/>
              </w:rPr>
            </w:r>
            <w:r>
              <w:rPr>
                <w:b w:val="0"/>
                <w:sz w:val="17"/>
              </w:rPr>
              <w:t>AT&amp;C</w:t>
            </w:r>
          </w:p>
        </w:tc>
        <w:tc>
          <w:tcPr>
            <w:tcW w:type="dxa" w:w="3408"/>
            <w:vAlign w:val="top"/>
          </w:tcPr>
          <w:p>
            <w:r>
              <w:rPr>
                <w:sz w:val="17"/>
              </w:rPr>
            </w:r>
            <w:r>
              <w:rPr>
                <w:b w:val="0"/>
                <w:sz w:val="17"/>
              </w:rPr>
              <w:t>UIA reconstruction, payroll/tax support, QuickBooks transition support, chart-of-accounts cleanup.</w:t>
            </w:r>
          </w:p>
        </w:tc>
        <w:tc>
          <w:tcPr>
            <w:tcW w:type="dxa" w:w="3408"/>
            <w:vAlign w:val="top"/>
          </w:tcPr>
          <w:p>
            <w:r>
              <w:rPr>
                <w:sz w:val="17"/>
              </w:rPr>
            </w:r>
            <w:r>
              <w:rPr>
                <w:b w:val="0"/>
                <w:sz w:val="17"/>
              </w:rPr>
              <w:t>Moderate; external dependency and possible bottleneck.</w:t>
            </w:r>
          </w:p>
        </w:tc>
      </w:tr>
      <w:tr>
        <w:tc>
          <w:tcPr>
            <w:tcW w:type="dxa" w:w="3408"/>
            <w:vAlign w:val="top"/>
          </w:tcPr>
          <w:p>
            <w:r>
              <w:rPr>
                <w:sz w:val="17"/>
              </w:rPr>
            </w:r>
            <w:r>
              <w:rPr>
                <w:b w:val="0"/>
                <w:sz w:val="17"/>
              </w:rPr>
              <w:t>External vendors</w:t>
            </w:r>
          </w:p>
        </w:tc>
        <w:tc>
          <w:tcPr>
            <w:tcW w:type="dxa" w:w="3408"/>
            <w:vAlign w:val="top"/>
          </w:tcPr>
          <w:p>
            <w:r>
              <w:rPr>
                <w:sz w:val="17"/>
              </w:rPr>
            </w:r>
            <w:r>
              <w:rPr>
                <w:b w:val="0"/>
                <w:sz w:val="17"/>
              </w:rPr>
              <w:t>Lee Init / IT, Gauthier Insurance, StangDS, potential ITM platform vendor, possible HR/payroll support.</w:t>
            </w:r>
          </w:p>
        </w:tc>
        <w:tc>
          <w:tcPr>
            <w:tcW w:type="dxa" w:w="3408"/>
            <w:vAlign w:val="top"/>
          </w:tcPr>
          <w:p>
            <w:r>
              <w:rPr>
                <w:sz w:val="17"/>
              </w:rPr>
            </w:r>
            <w:r>
              <w:rPr>
                <w:b w:val="0"/>
                <w:sz w:val="17"/>
              </w:rPr>
              <w:t>Use where specialized capacity prevents Justin/Kevin bottlenecks.</w:t>
            </w:r>
          </w:p>
        </w:tc>
      </w:tr>
    </w:tbl>
    <w:p>
      <w:pPr>
        <w:pStyle w:val="Heading1"/>
      </w:pPr>
      <w:r>
        <w:t>5. Workstream-Aligned Remediation Plans</w:t>
      </w:r>
    </w:p>
    <w:p>
      <w: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t>5.1 Financial Operations &amp; Controls</w:t>
      </w:r>
    </w:p>
    <w:p>
      <w:pPr>
        <w:pStyle w:val="Heading3"/>
      </w:pPr>
      <w:r>
        <w:t>Finding #1 — Banking Signature-Stamp Practice (Critical)</w:t>
      </w:r>
    </w:p>
    <w:p>
      <w:r>
        <w:rPr>
          <w:b/>
        </w:rPr>
        <w:t xml:space="preserve">Cross-reference: </w:t>
      </w:r>
      <w:r>
        <w:t>Gap Analysis §3.1; Current-State §2.1</w:t>
      </w:r>
    </w:p>
    <w:p>
      <w:r>
        <w:rPr>
          <w:b/>
        </w:rPr>
        <w:t xml:space="preserve">Status: </w:t>
      </w:r>
      <w:r>
        <w:t>Deal Mechanics — Sunsets at Betty's mid-May 2026 retirement and the buy-in; spending-authority tiers and dual-control thresholds being pulled forward from the existing operating agreement into the new shareholders' agreement at close.</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#2 — Missing Federal &amp; State New-Hire Forms (Form I-9, W-4, MI-W4) (Critical)</w:t>
      </w:r>
    </w:p>
    <w:p>
      <w:r>
        <w:rPr>
          <w:b/>
        </w:rPr>
        <w:t xml:space="preserve">Cross-reference: </w:t>
      </w:r>
      <w:r>
        <w:t>Gap Analysis §3.1; Current-State §2.4</w:t>
      </w:r>
    </w:p>
    <w:p>
      <w:r>
        <w:rPr>
          <w:b/>
        </w:rPr>
        <w:t xml:space="preserve">Status: </w:t>
      </w:r>
      <w:r>
        <w:t>Scheduled — Workforce-wide audit and replacement-form collection on the May 11 on-site agenda; the New Employee Onboarding Checklist (Notion) is the standing process for new hires going forward.</w:t>
      </w:r>
    </w:p>
    <w:p>
      <w:r>
        <w:rPr>
          <w:b/>
        </w:rPr>
        <w:t xml:space="preserve">Owner: </w:t>
      </w:r>
      <w:r>
        <w:t>Justin / Krissy, with Kevin support as needed</w:t>
      </w:r>
    </w:p>
    <w:p>
      <w:r>
        <w:rPr>
          <w:b/>
        </w:rPr>
        <w:t xml:space="preserve">Sequence: </w:t>
      </w:r>
      <w:r>
        <w:t>Pre-close scheduled item; feeds the standing new-hire onboarding process and employee-records cleanup.</w:t>
      </w:r>
    </w:p>
    <w:p>
      <w:r>
        <w:rPr>
          <w:b/>
        </w:rPr>
        <w:t xml:space="preserve">Success Criteria: </w:t>
      </w:r>
      <w:r>
        <w:t>For every current employee, either a complete I-9, W-4, and MI-W4 is located and filed, or replacement forms are collected and retained in the employee record. The New Employee Onboarding Checklist becomes the forward process so the gap does not recur.</w:t>
      </w:r>
    </w:p>
    <w:p>
      <w:r>
        <w:rPr>
          <w:b/>
        </w:rPr>
        <w:t xml:space="preserve">Estimated Effort: </w:t>
      </w:r>
      <w:r>
        <w:t>Low to moderate; one focused office audit plus employee follow-up for missing forms.</w:t>
      </w:r>
    </w:p>
    <w:p>
      <w:r>
        <w:rPr>
          <w:b/>
        </w:rPr>
        <w:t xml:space="preserve">Milestones: </w:t>
      </w:r>
      <w:r>
        <w:t>May 11 on-site: audit existing files and identify gaps. Week of May 11: collect replacements. Post-close: spot-check onboarding checklist against next new hire.</w:t>
      </w:r>
    </w:p>
    <w:p>
      <w:r>
        <w:rPr>
          <w:b/>
        </w:rPr>
        <w:t xml:space="preserve">Open Questions: </w:t>
      </w:r>
      <w:r>
        <w:t>Confirm where employee files will live long-term: Paperless / controlled Drive / M365 / other canonical repository.</w:t>
      </w:r>
    </w:p>
    <w:p>
      <w:pPr>
        <w:pStyle w:val="Heading3"/>
      </w:pPr>
      <w:r>
        <w:t>Finding #3 — Internal Controls &amp; Segregation of Duties (High)</w:t>
      </w:r>
    </w:p>
    <w:p>
      <w:r>
        <w:rPr>
          <w:b/>
        </w:rPr>
        <w:t xml:space="preserve">Cross-reference: </w:t>
      </w:r>
      <w:r>
        <w:t>Gap Analysis §3.1; Current-State §2.1</w:t>
      </w:r>
    </w:p>
    <w:p>
      <w:r>
        <w:rPr>
          <w:b/>
        </w:rPr>
        <w:t xml:space="preserve">Status: </w:t>
      </w:r>
      <w:r>
        <w:t>Deal Mechanics — Same path as Finding #1; spending-authority tiers and dual-control thresholds formalized in the new shareholders' agreement at buy-in.</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#4 — Stale Accounts Receivable (Medium)</w:t>
      </w:r>
    </w:p>
    <w:p>
      <w:r>
        <w:rPr>
          <w:b/>
        </w:rPr>
        <w:t xml:space="preserve">Cross-reference: </w:t>
      </w:r>
      <w:r>
        <w:t>Gap Analysis §3.1; Current-State §2.1</w:t>
      </w:r>
    </w:p>
    <w:p>
      <w:r>
        <w:rPr>
          <w:b/>
        </w:rPr>
        <w:t xml:space="preserve">Status: </w:t>
      </w:r>
      <w:r>
        <w:t>Open — No modernization workstream yet; recommend folding into the broader chart-of-accounts and AR cleanup pass scheduled for Year 1.</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#5 — Chart of Accounts — Expense-Side Structure (Medium)</w:t>
      </w:r>
    </w:p>
    <w:p>
      <w:r>
        <w:rPr>
          <w:b/>
        </w:rPr>
        <w:t xml:space="preserve">Cross-reference: </w:t>
      </w:r>
      <w:r>
        <w:t>Gap Analysis §3.1; Current-State §2.1</w:t>
      </w:r>
    </w:p>
    <w:p>
      <w:r>
        <w:rPr>
          <w:b/>
        </w:rPr>
        <w:t xml:space="preserve">Status: </w:t>
      </w:r>
      <w:r>
        <w:t>Open — Year-1 cleanup item; paired with the QuickBooks Desktop → QuickBooks Online migration so the expense hierarchy is restructured once rather than twice.</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#6 — Revenue-Side Segmentation (Medium)</w:t>
      </w:r>
    </w:p>
    <w:p>
      <w:r>
        <w:rPr>
          <w:b/>
        </w:rPr>
        <w:t xml:space="preserve">Cross-reference: </w:t>
      </w:r>
      <w:r>
        <w:t>Gap Analysis §3.1; Current-State §2.1</w:t>
      </w:r>
    </w:p>
    <w:p>
      <w:r>
        <w:rPr>
          <w:b/>
        </w:rPr>
        <w:t xml:space="preserve">Status: </w:t>
      </w:r>
      <w:r>
        <w:t>Open — Year-1 cleanup item; paired with the QuickBooks Desktop → QuickBooks Online migration to introduce installation-vs-service and new-construction-vs-renovation revenue accounts.</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#7 — QuickBooks Customer Master Data Quality (Medium)</w:t>
      </w:r>
    </w:p>
    <w:p>
      <w:r>
        <w:rPr>
          <w:b/>
        </w:rPr>
        <w:t xml:space="preserve">Cross-reference: </w:t>
      </w:r>
      <w:r>
        <w:t>Gap Analysis §3.1; Current-State §2.1</w:t>
      </w:r>
    </w:p>
    <w:p>
      <w:r>
        <w:rPr>
          <w:b/>
        </w:rPr>
        <w:t xml:space="preserve">Status: </w:t>
      </w:r>
      <w:r>
        <w:t>In Flight — The Customers database in EFP Job Tracking (Notion) is the target canonical store; QuickBooks-side reconciliation in flight as part of the QB Desktop → QB Online migration.</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#8 — Certified Payroll — Tooling &amp; Data-Structure Gap (Medium)</w:t>
      </w:r>
    </w:p>
    <w:p>
      <w:r>
        <w:rPr>
          <w:b/>
        </w:rPr>
        <w:t xml:space="preserve">Cross-reference: </w:t>
      </w:r>
      <w:r>
        <w:t>Gap Analysis §3.1; Current-State §2.1</w:t>
      </w:r>
    </w:p>
    <w:p>
      <w:r>
        <w:t>Status: Scheduled — QuickBooks Desktop → QuickBooks Online with QuickBooks Payroll migration, paired with a digital timecard submission path. Phase 1 may be as simple as emailed/texted photos of handwritten timesheets; later phases can evaluate QBO Time, Workyard, busybusy, ExakTime, or another field-labor system depending on union payroll, certified payroll, job-costing, and crew-adoption requirements.</w:t>
      </w:r>
    </w:p>
    <w:p>
      <w:r>
        <w:t>Owner: To confirm during Kevin / Justin review.</w:t>
      </w:r>
    </w:p>
    <w:p>
      <w:r>
        <w:t>Sequence: Do not wait for the final payroll platform to improve capture. First standardize submission timing and required fields; then align the durable tool decision with the QBO/payroll migration and job-costing design.</w:t>
      </w:r>
    </w:p>
    <w:p>
      <w:r>
        <w:t>Success Criteria: Time is submitted on schedule, legible, retained, and attributable by employee/job/work type; payroll can be processed without chasing paper; certified payroll and job-costing data can be produced from the same source of truth or a controlled reconciliation.</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#9 — Certificate of Insurance Tracking (Medium)</w:t>
      </w:r>
    </w:p>
    <w:p>
      <w:r>
        <w:rPr>
          <w:b/>
        </w:rPr>
        <w:t xml:space="preserve">Cross-reference: </w:t>
      </w:r>
      <w:r>
        <w:t>Gap Analysis §3.1; Current-State §2.1</w:t>
      </w:r>
    </w:p>
    <w:p>
      <w:r>
        <w:rPr>
          <w:b/>
        </w:rPr>
        <w:t xml:space="preserve">Status: </w:t>
      </w:r>
      <w:r>
        <w:t>Open — Year-1 item; candidate to fold into the consolidated compliance / training / certification calendar that the HR agent is building under Finding #23.</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#10 — Budgeting, Forecasting &amp; Management Reporting (Medium)</w:t>
      </w:r>
    </w:p>
    <w:p>
      <w:r>
        <w:rPr>
          <w:b/>
        </w:rPr>
        <w:t xml:space="preserve">Cross-reference: </w:t>
      </w:r>
      <w:r>
        <w:t>Gap Analysis §3.1; Current-State §2.1</w:t>
      </w:r>
    </w:p>
    <w:p>
      <w:r>
        <w:rPr>
          <w:b/>
        </w:rPr>
        <w:t xml:space="preserve">Status: </w:t>
      </w:r>
      <w:r>
        <w:t>Open — No modernization workstream yet; baseline forecasting exists in the three-year business plan model that informed the SBA package, but a recurring management-reporting cadence is not yet defined.</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2"/>
      </w:pPr>
      <w:r>
        <w:t>5.2 Revenue Generation &amp; Customer Management</w:t>
      </w:r>
    </w:p>
    <w:p>
      <w:pPr>
        <w:pStyle w:val="Heading3"/>
      </w:pPr>
      <w:r>
        <w:t>Finding #11 — Estimating Methodology Not Documented (High)</w:t>
      </w:r>
    </w:p>
    <w:p>
      <w:r>
        <w:rPr>
          <w:b/>
        </w:rPr>
        <w:t xml:space="preserve">Cross-reference: </w:t>
      </w:r>
      <w:r>
        <w:t>Gap Analysis §3.2; Current-State §2.2</w:t>
      </w:r>
    </w:p>
    <w:p>
      <w:r>
        <w:rPr>
          <w:b/>
        </w:rPr>
        <w:t xml:space="preserve">Status: </w:t>
      </w:r>
      <w:r>
        <w:t>Scheduled — Focus weeks of May 11 and May 18; success criterion is a documented process that can be followed without Kevin or Keith's assistance; benchmarked against a planned visit with Kevin's friend Scott (modern sprinkler-fitter shop in Wisconsin).</w:t>
      </w:r>
    </w:p>
    <w:p>
      <w:r>
        <w:rPr>
          <w:b/>
        </w:rPr>
        <w:t xml:space="preserve">Owner: </w:t>
      </w:r>
      <w:r>
        <w:t>Justin + Kevin, with Keith input and Scott benchmarking input if the Wisconsin visit occurs.</w:t>
      </w:r>
    </w:p>
    <w:p>
      <w:r>
        <w:rPr>
          <w:b/>
        </w:rPr>
        <w:t xml:space="preserve">Sequence: </w:t>
      </w:r>
      <w:r>
        <w:t>Highest-leverage owner-knowledge capture item. Should happen before broader sales process or estimating delegation decisions.</w:t>
      </w:r>
    </w:p>
    <w:p>
      <w:r>
        <w:rPr>
          <w:b/>
        </w:rPr>
        <w:t xml:space="preserve">Success Criteria: </w:t>
      </w:r>
      <w:r>
        <w:t>A documented estimating process exists that can be followed without Kevin or Keith’s assistance, including cost buildup, labor assumptions, materials/subcontractor inputs, markup/contingency logic, review/approval points, and examples from recent bids.</w:t>
      </w:r>
    </w:p>
    <w:p>
      <w:r>
        <w:rPr>
          <w:b/>
        </w:rPr>
        <w:t xml:space="preserve">Estimated Effort: </w:t>
      </w:r>
      <w:r>
        <w:t>Moderate to high; two working sessions plus one test pass by someone other than Kevin/Keith.</w:t>
      </w:r>
    </w:p>
    <w:p>
      <w:r>
        <w:rPr>
          <w:b/>
        </w:rPr>
        <w:t xml:space="preserve">Milestones: </w:t>
      </w:r>
      <w:r>
        <w:t>Week of May 11: map current method and collect example estimates. Week of May 18: draft v0 and test against one historical job. Follow-up: revise based on test failure points.</w:t>
      </w:r>
    </w:p>
    <w:p>
      <w:r>
        <w:rPr>
          <w:b/>
        </w:rPr>
        <w:t xml:space="preserve">Open Questions: </w:t>
      </w:r>
      <w:r>
        <w:t>Decide whether the first version should be a Word/Notion SOP only, or include spreadsheet templates / calculators as controlled artifacts.</w:t>
      </w:r>
    </w:p>
    <w:p>
      <w:pPr>
        <w:pStyle w:val="Heading3"/>
      </w:pPr>
      <w:r>
        <w:t>Finding #12 — Absence of Standing Inspection Service Agreements (High)</w:t>
      </w:r>
    </w:p>
    <w:p>
      <w:r>
        <w:rPr>
          <w:b/>
        </w:rPr>
        <w:t xml:space="preserve">Cross-reference: </w:t>
      </w:r>
      <w:r>
        <w:t>Gap Analysis §3.2; Current-State §2.2</w:t>
      </w:r>
    </w:p>
    <w:p>
      <w:r>
        <w:rPr>
          <w:b/>
        </w:rPr>
        <w:t xml:space="preserve">Status: </w:t>
      </w:r>
      <w:r>
        <w:t>Sequenced — Depends on Finding #6 (inspection-delivery hire decision); MSA template development begins after the delivery model is decided.</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#13 — Declining Inspection Volume &amp; Competitive Consolidation Risk (High)</w:t>
      </w:r>
    </w:p>
    <w:p>
      <w:r>
        <w:rPr>
          <w:b/>
        </w:rPr>
        <w:t xml:space="preserve">Cross-reference: </w:t>
      </w:r>
      <w:r>
        <w:t>Gap Analysis §3.2; Current-State §2.3</w:t>
      </w:r>
    </w:p>
    <w:p>
      <w:r>
        <w:rPr>
          <w:b/>
        </w:rPr>
        <w:t xml:space="preserve">Status: </w:t>
      </w:r>
      <w:r>
        <w:t>Open — Strategic context exists in the UP Michigan Fire Protection Market Analysis (Notion); no defensive product offering or customer-conversion plan in motion. Trade Organization Membership Plan in Notion is an adjacent piece.</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#14 — No CRM or Pipeline System (Medium)</w:t>
      </w:r>
    </w:p>
    <w:p>
      <w:r>
        <w:rPr>
          <w:b/>
        </w:rPr>
        <w:t xml:space="preserve">Cross-reference: </w:t>
      </w:r>
      <w:r>
        <w:t>Gap Analysis §3.2; Current-State §2.2</w:t>
      </w:r>
    </w:p>
    <w:p>
      <w:r>
        <w:rPr>
          <w:b/>
        </w:rPr>
        <w:t xml:space="preserve">Status: </w:t>
      </w:r>
      <w:r>
        <w:t>Sequenced — Customers database in EFP Job Tracking provides the foundation; full CRM/pipeline functionality follows the inspection-line and PM workstream decisions.</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#15 — Declined Inspection-Adjacent Inbound Service Volume (Revenue Leakage) (Medium)</w:t>
      </w:r>
    </w:p>
    <w:p>
      <w:r>
        <w:rPr>
          <w:b/>
        </w:rPr>
        <w:t xml:space="preserve">Cross-reference: </w:t>
      </w:r>
      <w:r>
        <w:t>Gap Analysis §3.2; Current-State §2.2 / 2.3</w:t>
      </w:r>
    </w:p>
    <w:p>
      <w:r>
        <w:rPr>
          <w:b/>
        </w:rPr>
        <w:t xml:space="preserve">Status: </w:t>
      </w:r>
      <w:r>
        <w:t>Open — Measurement gap; lightweight intake-logging at the front desk would unlock the service-line decision. Sister-company fire extinguisher service concept (agent memory) is a partial defensive move.</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2"/>
      </w:pPr>
      <w:r>
        <w:t>5.3 Project Delivery &amp; Operations</w:t>
      </w:r>
    </w:p>
    <w:p>
      <w:pPr>
        <w:pStyle w:val="Heading3"/>
      </w:pPr>
      <w:r>
        <w:t>Finding #16 — Inspection Delivery Concentration — Single Point of Failure (Critical)</w:t>
      </w:r>
    </w:p>
    <w:p>
      <w:r>
        <w:rPr>
          <w:b/>
        </w:rPr>
        <w:t xml:space="preserve">Cross-reference: </w:t>
      </w:r>
      <w:r>
        <w:t>Gap Analysis §3.3; Current-State §2.3</w:t>
      </w:r>
    </w:p>
    <w:p>
      <w:r>
        <w:rPr>
          <w:b/>
        </w:rPr>
        <w:t xml:space="preserve">Status: </w:t>
      </w:r>
      <w:r>
        <w:t>Sequenced — Mitigation depends on the inspection-delivery hire decision (internal Konner promotion vs. external NFPA-25 hire); cross-training plan defined post-decision. Strategic conversation seeded on the May 11 trip.</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#17 — Field-to-Office Communication Gap (High)</w:t>
      </w:r>
    </w:p>
    <w:p>
      <w:r>
        <w:rPr>
          <w:b/>
        </w:rPr>
        <w:t xml:space="preserve">Cross-reference: </w:t>
      </w:r>
      <w:r>
        <w:t>Gap Analysis §3.3; Current-State §2.3</w:t>
      </w:r>
    </w:p>
    <w:p>
      <w: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digital timecard submission workstreams so field communication produces usable project, payroll, job-costing, and billing evidence.</w:t>
      </w:r>
    </w:p>
    <w:p>
      <w:r>
        <w:t>Owner: To confirm during Kevin / Justin review.</w:t>
      </w:r>
    </w:p>
    <w:p>
      <w:r>
        <w:t>Sequence: Start with the lowest-friction capture method immediately (photo/email/text submissions for timecards; daily photo/report habit by foreman or crew lead), then select a durable tool once field adoption, union payroll requirements, QBO migration timing, and job-costing data needs are confirmed.</w:t>
      </w:r>
    </w:p>
    <w:p>
      <w:r>
        <w:t>Success Criteria: Every active job has a daily field record containing photos or notes sufficient to understand manpower, work completed, blockers, safety issues, inspection readiness, and billing/change-order implications; every payroll period has time submitted in a format that can be tied back to employee, job, cost code/category, and payroll processing.</w:t>
      </w:r>
    </w:p>
    <w:p>
      <w:r>
        <w:t>Estimated Effort: Moderate. Phase 1 is process design and adoption management; Phase 2 may require vendor selection, device policy decisions, QBO/payroll integration, and field training.</w:t>
      </w:r>
    </w:p>
    <w:p>
      <w:r>
        <w:t>Milestones: 0–30 days: pilot daily reporting and photo/timecard submission on a small number of jobs. 0–90 days: decide whether CompanyCam/QBO Time/Workyard/busybusy/ExakTime or a lighter-weight workflow is the right permanent fit. Year 1: integrate with payroll, job costing, and billing/WIP reporting.</w:t>
      </w:r>
    </w:p>
    <w:p>
      <w:r>
        <w:t>Open Questions: Which field employees should submit daily reports; whether company phones are required; how to handle union/certified payroll data; whether the reporting tool must integrate with QuickBooks/Notion or can operate as a standalone evidence repository.</w:t>
      </w:r>
    </w:p>
    <w:p>
      <w:pPr>
        <w:pStyle w:val="Heading3"/>
      </w:pPr>
      <w:r>
        <w:t>Finding #18 — Safety Program (High)</w:t>
      </w:r>
    </w:p>
    <w:p>
      <w:r>
        <w:rPr>
          <w:b/>
        </w:rPr>
        <w:t xml:space="preserve">Cross-reference: </w:t>
      </w:r>
      <w:r>
        <w:t>Gap Analysis §3.3; Current-State §2.3 / 2.6</w:t>
      </w:r>
    </w:p>
    <w:p>
      <w:r>
        <w:rPr>
          <w:b/>
        </w:rPr>
        <w:t xml:space="preserve">Status: </w:t>
      </w:r>
      <w:r>
        <w:t>In Flight — Under the HR agent in the modernization effort, including a standing safety calendar — the piece that's missing in the current state. New Employee Onboarding Checklist owns the at-hire MIOSHA orientation.</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#19 — Project Management &amp; Subcontractor Management — GC-Seat Exposure (High)</w:t>
      </w:r>
    </w:p>
    <w:p>
      <w:r>
        <w:rPr>
          <w:b/>
        </w:rPr>
        <w:t xml:space="preserve">Cross-reference: </w:t>
      </w:r>
      <w:r>
        <w:t>Gap Analysis §3.3; Current-State §2.3 / 2.5</w:t>
      </w:r>
    </w:p>
    <w:p>
      <w:r>
        <w:rPr>
          <w:b/>
        </w:rPr>
        <w:t xml:space="preserve">Status: </w:t>
      </w:r>
      <w:r>
        <w:t>Scheduled — Kevin/Justin working session on the May 11 on-site, anchored by the EMP / Advanced Products case.</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#20 — Absence of Written QA/QC Program (High)</w:t>
      </w:r>
    </w:p>
    <w:p>
      <w:r>
        <w:rPr>
          <w:b/>
        </w:rPr>
        <w:t xml:space="preserve">Cross-reference: </w:t>
      </w:r>
      <w:r>
        <w:t>Gap Analysis §3.3; Current-State §2.3</w:t>
      </w:r>
    </w:p>
    <w:p>
      <w:r>
        <w:rPr>
          <w:b/>
        </w:rPr>
        <w:t xml:space="preserve">Status: </w:t>
      </w:r>
      <w:r>
        <w:t>Open — No modernization workstream yet; ownership question to be surfaced on the May 11 trip. The most material un-anchored High finding.</w:t>
      </w:r>
    </w:p>
    <w:p>
      <w:r>
        <w:rPr>
          <w:b/>
        </w:rPr>
        <w:t xml:space="preserve">Owner: </w:t>
      </w:r>
      <w:r>
        <w:t>Not yet assigned; likely Justin + Keith/Kevin initially, then inspection/project delivery owner once named.</w:t>
      </w:r>
    </w:p>
    <w:p>
      <w:r>
        <w:rPr>
          <w:b/>
        </w:rPr>
        <w:t xml:space="preserve">Sequence: </w:t>
      </w:r>
      <w:r>
        <w:t>Open item. Should not be overbuilt until the inspection-delivery and PM ownership decisions are clearer, but the absence of a QA/QC baseline is a High finding and needs an owner.</w:t>
      </w:r>
    </w:p>
    <w:p>
      <w:r>
        <w:rPr>
          <w:b/>
        </w:rPr>
        <w:t xml:space="preserve">Success Criteria: </w:t>
      </w:r>
      <w:r>
        <w:t>A written QA/QC program defines minimum review points, inspection/readiness checks, documentation artifacts, correction tracking, and accountability for install and inspection work. The program is light enough to be used by the field, not just filed.</w:t>
      </w:r>
    </w:p>
    <w:p>
      <w:r>
        <w:rPr>
          <w:b/>
        </w:rPr>
        <w:t xml:space="preserve">Estimated Effort: </w:t>
      </w:r>
      <w:r>
        <w:t>Moderate; best built from actual rework/callback patterns and AHJ re-trip causes rather than from a generic template.</w:t>
      </w:r>
    </w:p>
    <w:p>
      <w:r>
        <w:rPr>
          <w:b/>
        </w:rPr>
        <w:t xml:space="preserve">Milestones: </w:t>
      </w:r>
      <w:r>
        <w:t>May on-site: identify current informal QA checks and common failure modes. 0–90 days: name owner and define minimum QA gates. Year 1: fold QA artifacts into job tracking / permit / inspection workflows.</w:t>
      </w:r>
    </w:p>
    <w:p>
      <w:r>
        <w:rPr>
          <w:b/>
        </w:rPr>
        <w:t xml:space="preserve">Open Questions: </w:t>
      </w:r>
      <w:r>
        <w:t>Who owns QA/QC after Keith’s eventual transition: field lead, inspector, office PM function, or new operations manager?</w:t>
      </w:r>
    </w:p>
    <w:p>
      <w:pPr>
        <w:pStyle w:val="Heading3"/>
      </w:pPr>
      <w:r>
        <w:t>Finding #21 — No Defined Job Intake Data Model (Medium)</w:t>
      </w:r>
    </w:p>
    <w:p>
      <w:r>
        <w:rPr>
          <w:b/>
        </w:rPr>
        <w:t xml:space="preserve">Cross-reference: </w:t>
      </w:r>
      <w:r>
        <w:t>Gap Analysis §3.3; Current-State §2.3</w:t>
      </w:r>
    </w:p>
    <w:p>
      <w:r>
        <w:rPr>
          <w:b/>
        </w:rPr>
        <w:t xml:space="preserve">Status: </w:t>
      </w:r>
      <w:r>
        <w:t>In Flight — Installation Jobs and Inspection Jobs databases in EFP Job Tracking define the canonical intake data model; office adoption is the remaining piece.</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#22 — AHJ Rough-In / Final Re-Trip Cost Exposure (Medium)</w:t>
      </w:r>
    </w:p>
    <w:p>
      <w:r>
        <w:rPr>
          <w:b/>
        </w:rPr>
        <w:t xml:space="preserve">Cross-reference: </w:t>
      </w:r>
      <w:r>
        <w:t>Gap Analysis §3.3; Current-State §2.3</w:t>
      </w:r>
    </w:p>
    <w:p>
      <w:r>
        <w:t>Status: In Flight — Permit Management Process page in Notion documents the workflow; per-trip cost exposure addressed indirectly through pre-inspection readiness improvements paired with QA/QC (Finding #20, open).</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#23 — Rough-In Artifact Preparation &amp; Centralization Gap (Medium)</w:t>
      </w:r>
    </w:p>
    <w:p>
      <w:r>
        <w:rPr>
          <w:b/>
        </w:rPr>
        <w:t xml:space="preserve">Cross-reference: </w:t>
      </w:r>
      <w:r>
        <w:t>Gap Analysis §3.3; Current-State §2.3</w:t>
      </w:r>
    </w:p>
    <w:p>
      <w:r>
        <w:rPr>
          <w:b/>
        </w:rPr>
        <w:t xml:space="preserve">Status: </w:t>
      </w:r>
      <w:r>
        <w:t>Sequenced — Depends on the inspection-delivery hire and the eventual choice of ITM platform (Inspect Point or alternative); document centralization follows.</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#24 — Inspection Management System Absent (No ITM Platform) (Medium)</w:t>
      </w:r>
    </w:p>
    <w:p>
      <w:r>
        <w:rPr>
          <w:b/>
        </w:rPr>
        <w:t xml:space="preserve">Cross-reference: </w:t>
      </w:r>
      <w:r>
        <w:t>Gap Analysis §3.3; Current-State §2.3</w:t>
      </w:r>
    </w:p>
    <w:p>
      <w:r>
        <w:rPr>
          <w:b/>
        </w:rPr>
        <w:t xml:space="preserve">Status: </w:t>
      </w:r>
      <w:r>
        <w:t>Sequenced — Inspection Jobs database provides interim tracking; full ITM platform adoption sequenced behind the inspection-delivery model decision.</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#25 — Fleet Maintenance Tracking (Medium)</w:t>
      </w:r>
    </w:p>
    <w:p>
      <w:r>
        <w:rPr>
          <w:b/>
        </w:rPr>
        <w:t xml:space="preserve">Cross-reference: </w:t>
      </w:r>
      <w:r>
        <w:t>Gap Analysis §3.3; Current-State §2.3</w:t>
      </w:r>
    </w:p>
    <w:p>
      <w:r>
        <w:rPr>
          <w:b/>
        </w:rPr>
        <w:t xml:space="preserve">Status: </w:t>
      </w:r>
      <w:r>
        <w:t>Open — Year-1 item; vehicles themselves are well maintained, so this is a documentation and diligence-readability gap.</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#26 — Inventory Management (Low)</w:t>
      </w:r>
    </w:p>
    <w:p>
      <w:r>
        <w:rPr>
          <w:b/>
        </w:rPr>
        <w:t xml:space="preserve">Cross-reference: </w:t>
      </w:r>
      <w:r>
        <w:t>Gap Analysis §3.3; Current-State §2.3</w:t>
      </w:r>
    </w:p>
    <w:p>
      <w:r>
        <w:rPr>
          <w:b/>
        </w:rPr>
        <w:t xml:space="preserve">Status: </w:t>
      </w:r>
      <w:r>
        <w:t>Open — Low-severity item; no modernization workstream attached. Defer until inventory volume or shrink justifies the management overhead.</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2"/>
      </w:pPr>
      <w:r>
        <w:t>5.4 People &amp; Administration</w:t>
      </w:r>
    </w:p>
    <w:p>
      <w:pPr>
        <w:pStyle w:val="Heading3"/>
      </w:pPr>
      <w:r>
        <w:t>Finding #27 — Office Succession — Betty Retirement (Critical)</w:t>
      </w:r>
    </w:p>
    <w:p>
      <w:r>
        <w:rPr>
          <w:b/>
        </w:rPr>
        <w:t xml:space="preserve">Cross-reference: </w:t>
      </w:r>
      <w:r>
        <w:t>Gap Analysis §3.4; Current-State §2.4</w:t>
      </w:r>
    </w:p>
    <w:p>
      <w:r>
        <w:rPr>
          <w:b/>
        </w:rPr>
        <w:t xml:space="preserve">Status: </w:t>
      </w:r>
      <w:r>
        <w:t>In Flight — Krissy cross-training underway; Betty-functions runbook interview scheduled for the May 11 on-site (before the May 15 retirement).</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#28 — Field Workforce Recruiting &amp; Retention (High)</w:t>
      </w:r>
    </w:p>
    <w:p>
      <w:r>
        <w:rPr>
          <w:b/>
        </w:rPr>
        <w:t xml:space="preserve">Cross-reference: </w:t>
      </w:r>
      <w:r>
        <w:t>Gap Analysis §3.4; Current-State §2.4</w:t>
      </w:r>
    </w:p>
    <w:p>
      <w:r>
        <w:rPr>
          <w:b/>
        </w:rPr>
        <w:t xml:space="preserve">Status: </w:t>
      </w:r>
      <w: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#29 — IT Backup, Disaster Recovery, and Continuity Posture (High)</w:t>
      </w:r>
    </w:p>
    <w:p>
      <w:r>
        <w:rPr>
          <w:b/>
        </w:rPr>
        <w:t xml:space="preserve">Cross-reference: </w:t>
      </w:r>
      <w:r>
        <w:t>Gap Analysis §3.4; Current-State §2.4</w:t>
      </w:r>
    </w:p>
    <w:p>
      <w:r>
        <w:rPr>
          <w:b/>
        </w:rPr>
        <w:t xml:space="preserve">Status: </w:t>
      </w:r>
      <w:r>
        <w:t>In Flight — Site Infrastructure Standard (SIS-003) in Notion is the architectural reference (S3 with Object Lock, cross-region replication, PostgreSQL daily backups, Git config repo, 4-hour recovery target); deployment in progress.</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#30 — IT Security Posture Beyond the Email Account (High)</w:t>
      </w:r>
    </w:p>
    <w:p>
      <w:r>
        <w:rPr>
          <w:b/>
        </w:rPr>
        <w:t xml:space="preserve">Cross-reference: </w:t>
      </w:r>
      <w:r>
        <w:t>Gap Analysis §3.4; Current-State §2.4</w:t>
      </w:r>
    </w:p>
    <w:p>
      <w:r>
        <w:rPr>
          <w:b/>
        </w:rPr>
        <w:t xml:space="preserve">Status: </w:t>
      </w:r>
      <w:r>
        <w:t>In Flight — IT Policies (EFP-ITP-004) and M365 Email &amp; Identity Architecture pages in Notion define the target; Bitwarden/Vaultwarden mandated for all employees with system access. Implementation tracks the SIS-003 deployment.</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#31 — Cyber Insurance Gap and Property-Form Cyber-Incident Exclusion (High)</w:t>
      </w:r>
    </w:p>
    <w:p>
      <w:r>
        <w:rPr>
          <w:b/>
        </w:rPr>
        <w:t xml:space="preserve">Cross-reference: </w:t>
      </w:r>
      <w:r>
        <w:t>Gap Analysis §3.4; Current-State §2.1 / 2.4</w:t>
      </w:r>
    </w:p>
    <w:p>
      <w:r>
        <w:rPr>
          <w:b/>
        </w:rPr>
        <w:t xml:space="preserve">Status: </w:t>
      </w:r>
      <w:r>
        <w:t>In Flight — Gauthier Insurance currently quoting a cyber liability line per the IT Policies page §4.3.</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#32 — Mobile Device Management &amp; Endpoint Posture (Medium)</w:t>
      </w:r>
    </w:p>
    <w:p>
      <w:r>
        <w:rPr>
          <w:b/>
        </w:rPr>
        <w:t xml:space="preserve">Cross-reference: </w:t>
      </w:r>
      <w:r>
        <w:t>Gap Analysis §3.4; Current-State §2.4</w:t>
      </w:r>
    </w:p>
    <w:p>
      <w:r>
        <w:rPr>
          <w:b/>
        </w:rPr>
        <w:t xml:space="preserve">Status: </w:t>
      </w:r>
      <w:r>
        <w:t>Open — Linked to broader M365 / Intune decision per IT Policies; deferred until M365 Business Premium licensing is in place. Currently only Kevin and Keith carry Company-provided phones; all others on personal devices.</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#33 — Records Retention Obligations Going Unmet (Medium)</w:t>
      </w:r>
    </w:p>
    <w:p>
      <w:r>
        <w:rPr>
          <w:b/>
        </w:rPr>
        <w:t xml:space="preserve">Cross-reference: </w:t>
      </w:r>
      <w:r>
        <w:t>Gap Analysis §3.4; Current-State §2.4 / 2.6</w:t>
      </w:r>
    </w:p>
    <w:p>
      <w:r>
        <w:rPr>
          <w:b/>
        </w:rPr>
        <w:t xml:space="preserve">Status: </w:t>
      </w:r>
      <w: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#34 — Software Inventory and Identity Management (Medium)</w:t>
      </w:r>
    </w:p>
    <w:p>
      <w:r>
        <w:rPr>
          <w:b/>
        </w:rPr>
        <w:t xml:space="preserve">Cross-reference: </w:t>
      </w:r>
      <w:r>
        <w:t>Gap Analysis §3.4; Current-State §2.4</w:t>
      </w:r>
    </w:p>
    <w:p>
      <w:r>
        <w:rPr>
          <w:b/>
        </w:rPr>
        <w:t xml:space="preserve">Status: </w:t>
      </w:r>
      <w:r>
        <w:t>In Flight — M365 Email &amp; Identity Architecture page in Notion defines the target (named user inboxes, shared mailboxes, AI agent identity, vendor-account migration); Bitwarden as the password manager.</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#35 — Hiring, Onboarding &amp; Termination Process Definition (Medium)</w:t>
      </w:r>
    </w:p>
    <w:p>
      <w:r>
        <w:rPr>
          <w:b/>
        </w:rPr>
        <w:t xml:space="preserve">Cross-reference: </w:t>
      </w:r>
      <w:r>
        <w:t>Gap Analysis §3.4; Current-State §2.4</w:t>
      </w:r>
    </w:p>
    <w:p>
      <w:r>
        <w:rPr>
          <w:b/>
        </w:rPr>
        <w:t xml:space="preserve">Status: </w:t>
      </w:r>
      <w:r>
        <w:t>In Flight — New Employee Onboarding Checklist published in Notion covers hiring/onboarding end-to-end; termination side and broader hiring pipeline still being scoped.</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#36 — HR Compliance Posture (Medium)</w:t>
      </w:r>
    </w:p>
    <w:p>
      <w:r>
        <w:rPr>
          <w:b/>
        </w:rPr>
        <w:t xml:space="preserve">Cross-reference: </w:t>
      </w:r>
      <w:r>
        <w:t>Gap Analysis §3.4; Current-State §2.4</w:t>
      </w:r>
    </w:p>
    <w:p>
      <w:r>
        <w:rPr>
          <w:b/>
        </w:rPr>
        <w:t xml:space="preserve">Status: </w:t>
      </w:r>
      <w:r>
        <w:t>In Flight — HR Compliance &amp; Functions Guide published in Notion covering federal, Michigan state, and Marquette local HR regulatory framework.</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2"/>
      </w:pPr>
      <w:r>
        <w:t>5.5 Institutional Knowledge &amp; Key Relationships</w:t>
      </w:r>
    </w:p>
    <w:p>
      <w:pPr>
        <w:pStyle w:val="Heading3"/>
      </w:pPr>
      <w:r>
        <w:t>Finding #37 — Undocumented Owner Knowledge (Critical)</w:t>
      </w:r>
    </w:p>
    <w:p>
      <w:r>
        <w:rPr>
          <w:b/>
        </w:rPr>
        <w:t xml:space="preserve">Cross-reference: </w:t>
      </w:r>
      <w:r>
        <w:t>Gap Analysis §3.5; Current-State §2.5</w:t>
      </w:r>
    </w:p>
    <w:p>
      <w:r>
        <w:rPr>
          <w:b/>
        </w:rPr>
        <w:t xml:space="preserve">Status: </w:t>
      </w:r>
      <w: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#38 — Customer Concentration (High)</w:t>
      </w:r>
    </w:p>
    <w:p>
      <w:r>
        <w:rPr>
          <w:b/>
        </w:rPr>
        <w:t xml:space="preserve">Cross-reference: </w:t>
      </w:r>
      <w:r>
        <w:t>Gap Analysis §3.5; Current-State §2.5</w:t>
      </w:r>
    </w:p>
    <w:p>
      <w:r>
        <w:rPr>
          <w:b/>
        </w:rPr>
        <w:t xml:space="preserve">Status: </w:t>
      </w:r>
      <w:r>
        <w:t>Sequenced — Pairs with Finding #12 on the inspection-customer side and Finding #16 on the GC-seat side; MSA development sequenced behind the inspection-delivery decision.</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2"/>
      </w:pPr>
      <w:r>
        <w:t>5.6 Regulatory &amp; Compliance</w:t>
      </w:r>
    </w:p>
    <w:p>
      <w:pPr>
        <w:pStyle w:val="Heading3"/>
      </w:pPr>
      <w:r>
        <w:t>Finding #39 — Michigan Unemployment Insurance Filings (Critical)</w:t>
      </w:r>
    </w:p>
    <w:p>
      <w:r>
        <w:rPr>
          <w:b/>
        </w:rPr>
        <w:t xml:space="preserve">Cross-reference: </w:t>
      </w:r>
      <w:r>
        <w:t>Gap Analysis §3.6; Current-State §2.6</w:t>
      </w:r>
    </w:p>
    <w:p>
      <w:r>
        <w:rPr>
          <w:b/>
        </w:rPr>
        <w:t xml:space="preserve">Status: </w:t>
      </w:r>
      <w:r>
        <w:t>Scheduled — AT&amp;C TPA assignment complete; reconstruction kickoff on the May 11 on-site.</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#40 — NFPA &amp; AHJ Knowledge Concentration (Critical)</w:t>
      </w:r>
    </w:p>
    <w:p>
      <w:r>
        <w:rPr>
          <w:b/>
        </w:rPr>
        <w:t xml:space="preserve">Cross-reference: </w:t>
      </w:r>
      <w:r>
        <w:t>Gap Analysis §3.6; Current-State §2.6</w:t>
      </w:r>
    </w:p>
    <w:p>
      <w:r>
        <w:rPr>
          <w:b/>
        </w:rPr>
        <w:t xml:space="preserve">Status: </w:t>
      </w:r>
      <w:r>
        <w:t>In Flight — Permit Management Process documents the AHJ piece; full NFPA-25 procedural documentation sequenced behind the inspection-delivery hire (Finding #6).</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#41 — ISN / ISNetworld Prequalification Obligations (High)</w:t>
      </w:r>
    </w:p>
    <w:p>
      <w:r>
        <w:rPr>
          <w:b/>
        </w:rPr>
        <w:t xml:space="preserve">Cross-reference: </w:t>
      </w:r>
      <w:r>
        <w:t>Gap Analysis §3.6; Current-State §2.6</w:t>
      </w:r>
    </w:p>
    <w:p>
      <w:r>
        <w:rPr>
          <w:b/>
        </w:rPr>
        <w:t xml:space="preserve">Status: </w:t>
      </w:r>
      <w:r>
        <w:t>Open — Recommend folding into the consolidated compliance / training / certification calendar that the HR agent is building under Finding #23 (Safety Program).</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#42 — Customer-Specific Compliance Tracking (High)</w:t>
      </w:r>
    </w:p>
    <w:p>
      <w:r>
        <w:rPr>
          <w:b/>
        </w:rPr>
        <w:t xml:space="preserve">Cross-reference: </w:t>
      </w:r>
      <w:r>
        <w:t>Gap Analysis §3.6; Current-State §2.6</w:t>
      </w:r>
    </w:p>
    <w:p>
      <w:r>
        <w:rPr>
          <w:b/>
        </w:rPr>
        <w:t xml:space="preserve">Status: </w:t>
      </w:r>
      <w:r>
        <w:t>Open — Same consolidation recommendation as Finding #21 — fold into the HR agent compliance calendar.</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#43 — Absence of AHJ / Fire Marshal Register (Medium)</w:t>
      </w:r>
    </w:p>
    <w:p>
      <w:r>
        <w:rPr>
          <w:b/>
        </w:rPr>
        <w:t xml:space="preserve">Cross-reference: </w:t>
      </w:r>
      <w:r>
        <w:t>Gap Analysis §3.6; Current-State §2.6</w:t>
      </w:r>
    </w:p>
    <w:p>
      <w:r>
        <w:rPr>
          <w:b/>
        </w:rPr>
        <w:t xml:space="preserve">Status: </w:t>
      </w:r>
      <w:r>
        <w:t>In Flight — Permit Management Process is the seed (state-level Michigan BCC contact (Phil Myron) documented); full register including county fire marshals pending.</w:t>
      </w:r>
    </w:p>
    <w:p>
      <w:r>
        <w:t>Owner: To confirm during Kevin / Justin review.</w:t>
      </w:r>
    </w:p>
    <w:p>
      <w:r>
        <w:t>Sequence: To confirm during Kevin / Justin review; identify predecessors, successors, and any required operating-model decision before execution.</w:t>
      </w:r>
    </w:p>
    <w:p>
      <w:r>
        <w:t>Success Criteria: To define as a testable done condition during Kevin / Justin review.</w:t>
      </w:r>
    </w:p>
    <w:p>
      <w:r>
        <w:t>Estimated Effort: To size after owner and workstream decision are confirmed.</w:t>
      </w:r>
    </w:p>
    <w:p>
      <w:r>
        <w:t>Milestones: To assign once the item is prioritized; use transaction close, first 90 days, or Year 1 gates where specific dates are not yet known.</w:t>
      </w:r>
    </w:p>
    <w:p>
      <w:r>
        <w:t>Open Questions: Confirm owner, priority, and whether this item should be handled by process documentation, system implementation, training, or policy.</w:t>
      </w:r>
    </w:p>
    <w:p>
      <w:pPr>
        <w:pStyle w:val="Heading3"/>
      </w:pPr>
      <w:r>
        <w:t>Finding #44 — BFS / S-0440 Fire Suppression Firm Certification Continuity (Low)</w:t>
      </w:r>
    </w:p>
    <w:p>
      <w:r>
        <w:rPr>
          <w:b/>
        </w:rPr>
        <w:t xml:space="preserve">Cross-reference: </w:t>
      </w:r>
      <w:r>
        <w:t>Gap Analysis §3.6; Current-State §2.6</w:t>
      </w:r>
    </w:p>
    <w:p>
      <w:r>
        <w:t>Status: Verified / Sequenced — Excel Fire Protection Co., Inc. certificate S-0440 confirmed valid through September 2028 for categories J/K/P; continuity work remains because Kevin is the current qualifying person.</w:t>
      </w:r>
    </w:p>
    <w:p>
      <w:r>
        <w:t>Owner: Justin, with Kevin input; BFS/LARA as external regulatory source.</w:t>
      </w:r>
    </w:p>
    <w:p>
      <w:r>
        <w:t>Sequence: Certificate verification is complete. Next step is to map Kevin’s qualifying-person role, confirm BFS notice/replacement requirements, and build an owner/additional-employee licensing and certification path so S-0440 continuity is not dependent on one person.</w:t>
      </w:r>
    </w:p>
    <w:p>
      <w:r>
        <w:t>Success Criteria: Excel Fire maintains S-0440 certification without interruption; at least one backup path is documented for mechanical contractor fire suppression licensing and BFS qualifying-person coverage; expiration, renewal, and notice deadlines are tracked in the compliance calendar.</w:t>
      </w:r>
    </w:p>
    <w:p>
      <w:r>
        <w:t>Estimated Effort: Moderate; mostly requirements research, LARA/BFS correspondence, application/exam planning, and internal candidate development.</w:t>
      </w:r>
    </w:p>
    <w:p>
      <w:r>
        <w:t>Milestones: May 2026: capture certificate and Kevin qualifying-person facts. 0–90 days: confirm Justin licensing/experience-waiver path and BFS qualifying-person requirements. Year 1: begin execution of owner/backup certification plan.</w:t>
      </w:r>
    </w:p>
    <w:p>
      <w:r>
        <w:t>Open Questions: Which associate degree programs, if any, qualify for the one-year Michigan mechanical contractor experience waiver; what experience/training BFS will accept for S-0440 qualifying-person status; which internal employee could become the second qualified option.</w:t>
      </w:r>
    </w:p>
    <w:p>
      <w:pPr>
        <w:pStyle w:val="Heading1"/>
      </w:pPr>
      <w:r>
        <w:t>6. Items Not Yet Scoped</w:t>
      </w:r>
    </w:p>
    <w:p>
      <w: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sz w:val="17"/>
              </w:rPr>
            </w:r>
            <w:r>
              <w:rPr>
                <w:b/>
                <w:sz w:val="17"/>
              </w:rPr>
              <w:t>#</w:t>
            </w:r>
          </w:p>
        </w:tc>
        <w:tc>
          <w:tcPr>
            <w:tcW w:type="dxa" w:w="2556"/>
            <w:shd w:fill="D9EAF7"/>
          </w:tcPr>
          <w:p>
            <w:r>
              <w:rPr>
                <w:sz w:val="17"/>
              </w:rPr>
            </w:r>
            <w:r>
              <w:rPr>
                <w:b/>
                <w:sz w:val="17"/>
              </w:rPr>
              <w:t>Finding</w:t>
            </w:r>
          </w:p>
        </w:tc>
        <w:tc>
          <w:tcPr>
            <w:tcW w:type="dxa" w:w="2556"/>
            <w:shd w:fill="D9EAF7"/>
          </w:tcPr>
          <w:p>
            <w:r>
              <w:rPr>
                <w:sz w:val="17"/>
              </w:rPr>
            </w:r>
            <w:r>
              <w:rPr>
                <w:b/>
                <w:sz w:val="17"/>
              </w:rPr>
              <w:t>Horizon</w:t>
            </w:r>
          </w:p>
        </w:tc>
        <w:tc>
          <w:tcPr>
            <w:tcW w:type="dxa" w:w="2556"/>
            <w:shd w:fill="D9EAF7"/>
          </w:tcPr>
          <w:p>
            <w:r>
              <w:rPr>
                <w:sz w:val="17"/>
              </w:rPr>
            </w:r>
            <w:r>
              <w:rPr>
                <w:b/>
                <w:sz w:val="17"/>
              </w:rPr>
              <w:t>Decision trigger</w:t>
            </w:r>
          </w:p>
        </w:tc>
      </w:tr>
      <w:tr>
        <w:tc>
          <w:tcPr>
            <w:tcW w:type="dxa" w:w="2556"/>
            <w:vAlign w:val="top"/>
          </w:tcPr>
          <w:p>
            <w:r>
              <w:rPr>
                <w:sz w:val="17"/>
              </w:rPr>
            </w:r>
            <w:r>
              <w:rPr>
                <w:b w:val="0"/>
                <w:sz w:val="17"/>
              </w:rPr>
              <w:t>#4</w:t>
            </w:r>
          </w:p>
        </w:tc>
        <w:tc>
          <w:tcPr>
            <w:tcW w:type="dxa" w:w="2556"/>
            <w:vAlign w:val="top"/>
          </w:tcPr>
          <w:p>
            <w:r>
              <w:rPr>
                <w:sz w:val="17"/>
              </w:rPr>
            </w:r>
            <w:r>
              <w:rPr>
                <w:b w:val="0"/>
                <w:sz w:val="17"/>
              </w:rPr>
              <w:t>Stale Accounts Receivable</w:t>
            </w:r>
          </w:p>
        </w:tc>
        <w:tc>
          <w:tcPr>
            <w:tcW w:type="dxa" w:w="2556"/>
            <w:vAlign w:val="top"/>
          </w:tcPr>
          <w:p>
            <w:r>
              <w:rPr>
                <w:sz w:val="17"/>
              </w:rPr>
            </w:r>
            <w:r>
              <w:rPr>
                <w:b w:val="0"/>
                <w:sz w:val="17"/>
              </w:rPr>
              <w:t>0–90 days</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#5</w:t>
            </w:r>
          </w:p>
        </w:tc>
        <w:tc>
          <w:tcPr>
            <w:tcW w:type="dxa" w:w="2556"/>
            <w:vAlign w:val="top"/>
          </w:tcPr>
          <w:p>
            <w:r>
              <w:rPr>
                <w:sz w:val="17"/>
              </w:rPr>
            </w:r>
            <w:r>
              <w:rPr>
                <w:b w:val="0"/>
                <w:sz w:val="17"/>
              </w:rPr>
              <w:t>Chart of Accounts — Expense-Side Structure</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#6</w:t>
            </w:r>
          </w:p>
        </w:tc>
        <w:tc>
          <w:tcPr>
            <w:tcW w:type="dxa" w:w="2556"/>
            <w:vAlign w:val="top"/>
          </w:tcPr>
          <w:p>
            <w:r>
              <w:rPr>
                <w:sz w:val="17"/>
              </w:rPr>
            </w:r>
            <w:r>
              <w:rPr>
                <w:b w:val="0"/>
                <w:sz w:val="17"/>
              </w:rPr>
              <w:t>Revenue-Side Segmentation</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#9</w:t>
            </w:r>
          </w:p>
        </w:tc>
        <w:tc>
          <w:tcPr>
            <w:tcW w:type="dxa" w:w="2556"/>
            <w:vAlign w:val="top"/>
          </w:tcPr>
          <w:p>
            <w:r>
              <w:rPr>
                <w:sz w:val="17"/>
              </w:rPr>
            </w:r>
            <w:r>
              <w:rPr>
                <w:b w:val="0"/>
                <w:sz w:val="17"/>
              </w:rPr>
              <w:t>Certificate of Insurance Tracking</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#10</w:t>
            </w:r>
          </w:p>
        </w:tc>
        <w:tc>
          <w:tcPr>
            <w:tcW w:type="dxa" w:w="2556"/>
            <w:vAlign w:val="top"/>
          </w:tcPr>
          <w:p>
            <w:r>
              <w:rPr>
                <w:sz w:val="17"/>
              </w:rPr>
            </w:r>
            <w:r>
              <w:rPr>
                <w:b w:val="0"/>
                <w:sz w:val="17"/>
              </w:rPr>
              <w:t>Budgeting, Forecasting &amp; Management Reporting</w:t>
            </w:r>
          </w:p>
        </w:tc>
        <w:tc>
          <w:tcPr>
            <w:tcW w:type="dxa" w:w="2556"/>
            <w:vAlign w:val="top"/>
          </w:tcPr>
          <w:p>
            <w:r>
              <w:rPr>
                <w:sz w:val="17"/>
              </w:rPr>
            </w:r>
            <w:r>
              <w:rPr>
                <w:b w:val="0"/>
                <w:sz w:val="17"/>
              </w:rPr>
              <w:t>Year 1</w:t>
            </w:r>
          </w:p>
        </w:tc>
        <w:tc>
          <w:tcPr>
            <w:tcW w:type="dxa" w:w="2556"/>
            <w:vAlign w:val="top"/>
          </w:tcPr>
          <w:p>
            <w:r>
              <w:rPr>
                <w:sz w:val="17"/>
              </w:rPr>
            </w:r>
            <w:r>
              <w:rPr>
                <w:b w:val="0"/>
                <w:sz w:val="17"/>
              </w:rPr>
              <w:t>Tie to QBO migration / finance modernization scope.</w:t>
            </w:r>
          </w:p>
        </w:tc>
      </w:tr>
      <w:tr>
        <w:tc>
          <w:tcPr>
            <w:tcW w:type="dxa" w:w="2556"/>
            <w:vAlign w:val="top"/>
          </w:tcPr>
          <w:p>
            <w:r>
              <w:rPr>
                <w:sz w:val="17"/>
              </w:rPr>
            </w:r>
            <w:r>
              <w:rPr>
                <w:b w:val="0"/>
                <w:sz w:val="17"/>
              </w:rPr>
              <w:t>#13</w:t>
            </w:r>
          </w:p>
        </w:tc>
        <w:tc>
          <w:tcPr>
            <w:tcW w:type="dxa" w:w="2556"/>
            <w:vAlign w:val="top"/>
          </w:tcPr>
          <w:p>
            <w:r>
              <w:rPr>
                <w:sz w:val="17"/>
              </w:rPr>
            </w:r>
            <w:r>
              <w:rPr>
                <w:b w:val="0"/>
                <w:sz w:val="17"/>
              </w:rPr>
              <w:t>Declining Inspection Volume &amp; Competitive Consolidation Risk</w:t>
            </w:r>
          </w:p>
        </w:tc>
        <w:tc>
          <w:tcPr>
            <w:tcW w:type="dxa" w:w="2556"/>
            <w:vAlign w:val="top"/>
          </w:tcPr>
          <w:p>
            <w:r>
              <w:rPr>
                <w:sz w:val="17"/>
              </w:rPr>
            </w:r>
            <w:r>
              <w:rPr>
                <w:b w:val="0"/>
                <w:sz w:val="17"/>
              </w:rPr>
              <w:t>Year 1</w:t>
            </w:r>
          </w:p>
        </w:tc>
        <w:tc>
          <w:tcPr>
            <w:tcW w:type="dxa" w:w="2556"/>
            <w:vAlign w:val="top"/>
          </w:tcPr>
          <w:p>
            <w:r>
              <w:rPr>
                <w:sz w:val="17"/>
              </w:rPr>
            </w:r>
            <w:r>
              <w:rPr>
                <w:b w:val="0"/>
                <w:sz w:val="17"/>
              </w:rPr>
              <w:t>Decide inspection-service strategy and whether to measure declined inbound volume first.</w:t>
            </w:r>
          </w:p>
        </w:tc>
      </w:tr>
      <w:tr>
        <w:tc>
          <w:tcPr>
            <w:tcW w:type="dxa" w:w="2556"/>
            <w:vAlign w:val="top"/>
          </w:tcPr>
          <w:p>
            <w:r>
              <w:rPr>
                <w:sz w:val="17"/>
              </w:rPr>
            </w:r>
            <w:r>
              <w:rPr>
                <w:b w:val="0"/>
                <w:sz w:val="17"/>
              </w:rPr>
              <w:t>#15</w:t>
            </w:r>
          </w:p>
        </w:tc>
        <w:tc>
          <w:tcPr>
            <w:tcW w:type="dxa" w:w="2556"/>
            <w:vAlign w:val="top"/>
          </w:tcPr>
          <w:p>
            <w:r>
              <w:rPr>
                <w:sz w:val="17"/>
              </w:rPr>
            </w:r>
            <w:r>
              <w:rPr>
                <w:b w:val="0"/>
                <w:sz w:val="17"/>
              </w:rPr>
              <w:t>Declined Inspection-Adjacent Inbound Service Volume (Revenue Leakage)</w:t>
            </w:r>
          </w:p>
        </w:tc>
        <w:tc>
          <w:tcPr>
            <w:tcW w:type="dxa" w:w="2556"/>
            <w:vAlign w:val="top"/>
          </w:tcPr>
          <w:p>
            <w:r>
              <w:rPr>
                <w:sz w:val="17"/>
              </w:rPr>
            </w:r>
            <w:r>
              <w:rPr>
                <w:b w:val="0"/>
                <w:sz w:val="17"/>
              </w:rPr>
              <w:t>Year 1</w:t>
            </w:r>
          </w:p>
        </w:tc>
        <w:tc>
          <w:tcPr>
            <w:tcW w:type="dxa" w:w="2556"/>
            <w:vAlign w:val="top"/>
          </w:tcPr>
          <w:p>
            <w:r>
              <w:rPr>
                <w:sz w:val="17"/>
              </w:rPr>
            </w:r>
            <w:r>
              <w:rPr>
                <w:b w:val="0"/>
                <w:sz w:val="17"/>
              </w:rPr>
              <w:t>Decide inspection-service strategy and whether to measure declined inbound volume first.</w:t>
            </w:r>
          </w:p>
        </w:tc>
      </w:tr>
      <w:tr>
        <w:tc>
          <w:tcPr>
            <w:tcW w:type="dxa" w:w="2556"/>
            <w:vAlign w:val="top"/>
          </w:tcPr>
          <w:p>
            <w:r>
              <w:rPr>
                <w:sz w:val="17"/>
              </w:rPr>
            </w:r>
            <w:r>
              <w:rPr>
                <w:b w:val="0"/>
                <w:sz w:val="17"/>
              </w:rPr>
              <w:t>#20</w:t>
            </w:r>
          </w:p>
        </w:tc>
        <w:tc>
          <w:tcPr>
            <w:tcW w:type="dxa" w:w="2556"/>
            <w:vAlign w:val="top"/>
          </w:tcPr>
          <w:p>
            <w:r>
              <w:rPr>
                <w:sz w:val="17"/>
              </w:rPr>
            </w:r>
            <w:r>
              <w:rPr>
                <w:b w:val="0"/>
                <w:sz w:val="17"/>
              </w:rPr>
              <w:t>Absence of Written QA/QC Program</w:t>
            </w:r>
          </w:p>
        </w:tc>
        <w:tc>
          <w:tcPr>
            <w:tcW w:type="dxa" w:w="2556"/>
            <w:vAlign w:val="top"/>
          </w:tcPr>
          <w:p>
            <w:r>
              <w:rPr>
                <w:sz w:val="17"/>
              </w:rPr>
            </w:r>
            <w:r>
              <w:rPr>
                <w:b w:val="0"/>
                <w:sz w:val="17"/>
              </w:rPr>
              <w:t>Year 1</w:t>
            </w:r>
          </w:p>
        </w:tc>
        <w:tc>
          <w:tcPr>
            <w:tcW w:type="dxa" w:w="2556"/>
            <w:vAlign w:val="top"/>
          </w:tcPr>
          <w:p>
            <w:r>
              <w:rPr>
                <w:sz w:val="17"/>
              </w:rPr>
            </w:r>
            <w:r>
              <w:rPr>
                <w:b w:val="0"/>
                <w:sz w:val="17"/>
              </w:rPr>
              <w:t>Decide QA/QC ownership after the field-leadership / inspection-delivery discussion.</w:t>
            </w:r>
          </w:p>
        </w:tc>
      </w:tr>
      <w:tr>
        <w:tc>
          <w:tcPr>
            <w:tcW w:type="dxa" w:w="2556"/>
            <w:vAlign w:val="top"/>
          </w:tcPr>
          <w:p>
            <w:r>
              <w:rPr>
                <w:sz w:val="17"/>
              </w:rPr>
            </w:r>
            <w:r>
              <w:rPr>
                <w:b w:val="0"/>
                <w:sz w:val="17"/>
              </w:rPr>
              <w:t>#25</w:t>
            </w:r>
          </w:p>
        </w:tc>
        <w:tc>
          <w:tcPr>
            <w:tcW w:type="dxa" w:w="2556"/>
            <w:vAlign w:val="top"/>
          </w:tcPr>
          <w:p>
            <w:r>
              <w:rPr>
                <w:sz w:val="17"/>
              </w:rPr>
            </w:r>
            <w:r>
              <w:rPr>
                <w:b w:val="0"/>
                <w:sz w:val="17"/>
              </w:rPr>
              <w:t>Fleet Maintenance Tracking</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#26</w:t>
            </w:r>
          </w:p>
        </w:tc>
        <w:tc>
          <w:tcPr>
            <w:tcW w:type="dxa" w:w="2556"/>
            <w:vAlign w:val="top"/>
          </w:tcPr>
          <w:p>
            <w:r>
              <w:rPr>
                <w:sz w:val="17"/>
              </w:rPr>
            </w:r>
            <w:r>
              <w:rPr>
                <w:b w:val="0"/>
                <w:sz w:val="17"/>
              </w:rPr>
              <w:t>Inventory Management</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#32</w:t>
            </w:r>
          </w:p>
        </w:tc>
        <w:tc>
          <w:tcPr>
            <w:tcW w:type="dxa" w:w="2556"/>
            <w:vAlign w:val="top"/>
          </w:tcPr>
          <w:p>
            <w:r>
              <w:rPr>
                <w:sz w:val="17"/>
              </w:rPr>
            </w:r>
            <w:r>
              <w:rPr>
                <w:b w:val="0"/>
                <w:sz w:val="17"/>
              </w:rPr>
              <w:t>Mobile Device Management &amp; Endpoint Posture</w:t>
            </w:r>
          </w:p>
        </w:tc>
        <w:tc>
          <w:tcPr>
            <w:tcW w:type="dxa" w:w="2556"/>
            <w:vAlign w:val="top"/>
          </w:tcPr>
          <w:p>
            <w:r>
              <w:rPr>
                <w:sz w:val="17"/>
              </w:rPr>
            </w:r>
            <w:r>
              <w:rPr>
                <w:b w:val="0"/>
                <w:sz w:val="17"/>
              </w:rPr>
              <w:t>Year 1</w:t>
            </w:r>
          </w:p>
        </w:tc>
        <w:tc>
          <w:tcPr>
            <w:tcW w:type="dxa" w:w="2556"/>
            <w:vAlign w:val="top"/>
          </w:tcPr>
          <w:p>
            <w:r>
              <w:rPr>
                <w:sz w:val="17"/>
              </w:rPr>
            </w:r>
            <w:r>
              <w:rPr>
                <w:b w:val="0"/>
                <w:sz w:val="17"/>
              </w:rPr>
              <w:t>Assign an owner and decide whether to fold into an existing workstream or defer intentionally.</w:t>
            </w:r>
          </w:p>
        </w:tc>
      </w:tr>
      <w:tr>
        <w:tc>
          <w:tcPr>
            <w:tcW w:type="dxa" w:w="2556"/>
            <w:vAlign w:val="top"/>
          </w:tcPr>
          <w:p>
            <w:r>
              <w:rPr>
                <w:sz w:val="17"/>
              </w:rPr>
            </w:r>
            <w:r>
              <w:rPr>
                <w:b w:val="0"/>
                <w:sz w:val="17"/>
              </w:rPr>
              <w:t>#41</w:t>
            </w:r>
          </w:p>
        </w:tc>
        <w:tc>
          <w:tcPr>
            <w:tcW w:type="dxa" w:w="2556"/>
            <w:vAlign w:val="top"/>
          </w:tcPr>
          <w:p>
            <w:r>
              <w:rPr>
                <w:sz w:val="17"/>
              </w:rPr>
            </w:r>
            <w:r>
              <w:rPr>
                <w:b w:val="0"/>
                <w:sz w:val="17"/>
              </w:rPr>
              <w:t>ISN / ISNetworld Prequalification Obligations</w:t>
            </w:r>
          </w:p>
        </w:tc>
        <w:tc>
          <w:tcPr>
            <w:tcW w:type="dxa" w:w="2556"/>
            <w:vAlign w:val="top"/>
          </w:tcPr>
          <w:p>
            <w:r>
              <w:rPr>
                <w:sz w:val="17"/>
              </w:rPr>
            </w:r>
            <w:r>
              <w:rPr>
                <w:b w:val="0"/>
                <w:sz w:val="17"/>
              </w:rPr>
              <w:t>0–90 days</w:t>
            </w:r>
          </w:p>
        </w:tc>
        <w:tc>
          <w:tcPr>
            <w:tcW w:type="dxa" w:w="2556"/>
            <w:vAlign w:val="top"/>
          </w:tcPr>
          <w:p>
            <w:r>
              <w:rPr>
                <w:sz w:val="17"/>
              </w:rPr>
            </w:r>
            <w:r>
              <w:rPr>
                <w:b w:val="0"/>
                <w:sz w:val="17"/>
              </w:rPr>
              <w:t>Confirm HR/compliance calendar scope and owner.</w:t>
            </w:r>
          </w:p>
        </w:tc>
      </w:tr>
      <w:tr>
        <w:tc>
          <w:tcPr>
            <w:tcW w:type="dxa" w:w="2556"/>
            <w:vAlign w:val="top"/>
          </w:tcPr>
          <w:p>
            <w:r>
              <w:rPr>
                <w:sz w:val="17"/>
              </w:rPr>
            </w:r>
            <w:r>
              <w:rPr>
                <w:b w:val="0"/>
                <w:sz w:val="17"/>
              </w:rPr>
              <w:t>#42</w:t>
            </w:r>
          </w:p>
        </w:tc>
        <w:tc>
          <w:tcPr>
            <w:tcW w:type="dxa" w:w="2556"/>
            <w:vAlign w:val="top"/>
          </w:tcPr>
          <w:p>
            <w:r>
              <w:rPr>
                <w:sz w:val="17"/>
              </w:rPr>
            </w:r>
            <w:r>
              <w:rPr>
                <w:b w:val="0"/>
                <w:sz w:val="17"/>
              </w:rPr>
              <w:t>Customer-Specific Compliance Tracking</w:t>
            </w:r>
          </w:p>
        </w:tc>
        <w:tc>
          <w:tcPr>
            <w:tcW w:type="dxa" w:w="2556"/>
            <w:vAlign w:val="top"/>
          </w:tcPr>
          <w:p>
            <w:r>
              <w:rPr>
                <w:sz w:val="17"/>
              </w:rPr>
            </w:r>
            <w:r>
              <w:rPr>
                <w:b w:val="0"/>
                <w:sz w:val="17"/>
              </w:rPr>
              <w:t>0–90 days</w:t>
            </w:r>
          </w:p>
        </w:tc>
        <w:tc>
          <w:tcPr>
            <w:tcW w:type="dxa" w:w="2556"/>
            <w:vAlign w:val="top"/>
          </w:tcPr>
          <w:p>
            <w:r>
              <w:rPr>
                <w:sz w:val="17"/>
              </w:rPr>
            </w:r>
            <w:r>
              <w:rPr>
                <w:b w:val="0"/>
                <w:sz w:val="17"/>
              </w:rPr>
              <w:t>Confirm HR/compliance calendar scope and owner.</w:t>
            </w:r>
          </w:p>
        </w:tc>
      </w:tr>
    </w:tbl>
    <w:p>
      <w:pPr>
        <w:pStyle w:val="Heading1"/>
      </w:pPr>
      <w:r>
        <w:t>7. Out-of-Scope Items</w:t>
      </w:r>
    </w:p>
    <w:p>
      <w:r>
        <w:t>The modernization plan should not become a catch-all business plan. The items below may matter strategically, but they should be tracked separately unless they directly remediate a gap-analysis finding.</w:t>
      </w:r>
    </w:p>
    <w:p>
      <w:pPr>
        <w:pStyle w:val="ListBullet"/>
      </w:pPr>
      <w:r>
        <w:t>New product-line investigations not tied to an identified gap.</w:t>
      </w:r>
    </w:p>
    <w:p>
      <w:pPr>
        <w:pStyle w:val="ListBullet"/>
      </w:pPr>
      <w:r>
        <w:t>Marquette warehouse / facility expansion options except where required for document retention, backup, or operations continuity.</w:t>
      </w:r>
    </w:p>
    <w:p>
      <w:pPr>
        <w:pStyle w:val="ListBullet"/>
      </w:pPr>
      <w:r>
        <w:t>Sister-company concepts such as extinguisher service unless Justin chooses to tie them to declined inspection-adjacent inbound demand.</w:t>
      </w:r>
    </w:p>
    <w:p>
      <w:pPr>
        <w:pStyle w:val="ListBullet"/>
      </w:pPr>
      <w:r>
        <w:t>Long-range M&amp;A / buyer-readiness positioning beyond maintaining the gap analysis as a dated diagnostic artifact.</w:t>
      </w:r>
    </w:p>
    <w:p>
      <w:r>
        <w:t>Drafting note: This draft uses the current gap-analysis numbering as of May 12, 2026. In particular, Absence of Written QA/QC Program is Finding #20 in the live document.</w:t>
      </w:r>
    </w:p>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