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ptos" w:hAnsi="Aptos" w:eastAsia="Aptos"/>
          <w:b/>
          <w:color w:val="1F4E79"/>
          <w:sz w:val="36"/>
        </w:rPr>
        <w:t>Modernization Plan &amp; Roadmap</w:t>
      </w:r>
    </w:p>
    <w:p>
      <w:pPr>
        <w:spacing w:after="40" w:before="0"/>
        <w:jc w:val="center"/>
      </w:pPr>
      <w:r>
        <w:rPr>
          <w:rFonts w:ascii="Aptos" w:hAnsi="Aptos" w:eastAsia="Aptos"/>
          <w:b w:val="0"/>
          <w:color w:val="595959"/>
          <w:sz w:val="22"/>
        </w:rPr>
        <w:t>Operational Assessment &amp; Process Documentation</w:t>
      </w:r>
    </w:p>
    <w:p>
      <w:pPr>
        <w:spacing w:after="120" w:before="0"/>
        <w:jc w:val="center"/>
      </w:pPr>
      <w:r>
        <w:rPr>
          <w:rFonts w:ascii="Aptos" w:hAnsi="Aptos" w:eastAsia="Aptos"/>
          <w:b/>
          <w:color w:val="1F4E79"/>
          <w:sz w:val="24"/>
        </w:rPr>
        <w:t>Excel Fire Protection Co., Inc.</w:t>
      </w:r>
    </w:p>
    <w:p>
      <w:pPr>
        <w:spacing w:after="20" w:before="0"/>
        <w:jc w:val="center"/>
      </w:pPr>
      <w:r>
        <w:rPr>
          <w:rFonts w:ascii="Aptos" w:hAnsi="Aptos" w:eastAsia="Aptos"/>
          <w:b w:val="0"/>
          <w:sz w:val="20"/>
        </w:rPr>
        <w:t>Prepared by: Predictive Lines</w:t>
      </w:r>
    </w:p>
    <w:p>
      <w:pPr>
        <w:spacing w:after="20" w:before="0"/>
        <w:jc w:val="center"/>
      </w:pPr>
      <w:r>
        <w:rPr>
          <w:rFonts w:ascii="Aptos" w:hAnsi="Aptos" w:eastAsia="Aptos"/>
          <w:b w:val="0"/>
          <w:sz w:val="20"/>
        </w:rPr>
        <w:t>Prepared for: Kevin Masich / Excel Fire Protection</w:t>
      </w:r>
    </w:p>
    <w:p>
      <w:pPr>
        <w:spacing w:after="20" w:before="0"/>
        <w:jc w:val="center"/>
      </w:pPr>
      <w:r>
        <w:rPr>
          <w:rFonts w:ascii="Aptos" w:hAnsi="Aptos" w:eastAsia="Aptos"/>
          <w:b w:val="0"/>
          <w:sz w:val="20"/>
        </w:rPr>
        <w:t>Date: May 2026</w:t>
      </w:r>
    </w:p>
    <w:p>
      <w:pPr>
        <w:spacing w:after="160" w:before="0"/>
        <w:jc w:val="center"/>
      </w:pPr>
      <w:r>
        <w:rPr>
          <w:rFonts w:ascii="Aptos" w:hAnsi="Aptos" w:eastAsia="Aptos"/>
          <w:b/>
          <w:sz w:val="20"/>
        </w:rPr>
        <w:t>Status: Draft for Kevin review</w:t>
      </w:r>
    </w:p>
    <w:p/>
    <w:p>
      <w:pPr>
        <w:pStyle w:val="Heading1"/>
      </w:pPr>
      <w:r>
        <w:rPr>
          <w:rFonts w:ascii="Aptos Display" w:hAnsi="Aptos Display" w:eastAsia="Aptos Display"/>
          <w:b/>
          <w:color w:val="1F4E79"/>
          <w:sz w:val="28"/>
        </w:rPr>
        <w:t>1. Purpose &amp; Scope</w:t>
      </w:r>
    </w:p>
    <w:p>
      <w:r>
        <w:rPr>
          <w:rFonts w:ascii="Aptos" w:hAnsi="Aptos" w:eastAsia="Aptos"/>
          <w:b w:val="0"/>
          <w:sz w:val="20"/>
        </w:rPr>
        <w:t>This document is the Modernization Plan &amp; Roadmap deliverable contemplated by the March 30, 2026 Statement of Work. It is designed to read alongside, not replace, the Current-State Process Documentation and Gap Analysis &amp; Risk Assessment.</w:t>
      </w:r>
    </w:p>
    <w:p>
      <w:r>
        <w:rPr>
          <w:rFonts w:ascii="Aptos" w:hAnsi="Aptos" w:eastAsia="Aptos"/>
          <w:b w:val="0"/>
          <w:sz w:val="20"/>
        </w:rP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rPr>
          <w:rFonts w:ascii="Aptos" w:hAnsi="Aptos" w:eastAsia="Aptos"/>
          <w:b w:val="0"/>
          <w:sz w:val="20"/>
        </w:rP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rPr>
          <w:rFonts w:ascii="Aptos Display" w:hAnsi="Aptos Display" w:eastAsia="Aptos Display"/>
          <w:b/>
          <w:color w:val="1F4E79"/>
          <w:sz w:val="28"/>
        </w:rPr>
        <w:t>2. Roadmap Overview</w:t>
      </w:r>
    </w:p>
    <w:p>
      <w:r>
        <w:rPr>
          <w:rFonts w:ascii="Aptos" w:hAnsi="Aptos" w:eastAsia="Aptos"/>
          <w:b w:val="0"/>
          <w:sz w:val="20"/>
        </w:rP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Severity</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Status</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Workstream</w:t>
            </w:r>
          </w:p>
        </w:tc>
      </w:tr>
      <w:tr>
        <w:tc>
          <w:tcPr>
            <w:tcW w:type="dxa" w:w="1704"/>
            <w:vAlign w:val="top"/>
          </w:tcPr>
          <w:p>
            <w:pPr>
              <w:spacing w:after="40"/>
            </w:pPr>
            <w:r>
              <w:rPr>
                <w:sz w:val="17"/>
              </w:rPr>
            </w:r>
            <w:r>
              <w:rPr>
                <w:b w:val="0"/>
                <w:sz w:val="17"/>
              </w:rPr>
              <w:t>#2</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Missing Federal &amp; State New-Hire Forms (Form I-9, W-4, MI-W4)</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#39</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Michigan Unemployment Insurance Filings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#27</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Office Succession — Betty Retirement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Banking Signature-Stamp Practice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#44</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Low</w:t>
            </w:r>
          </w:p>
        </w:tc>
        <w:tc>
          <w:tcPr>
            <w:tcW w:type="dxa" w:w="1704"/>
            <w:vAlign w:val="top"/>
          </w:tcPr>
          <w:p>
            <w:pPr>
              <w:spacing w:after="40"/>
            </w:pPr>
            <w:r>
              <w:rPr>
                <w:sz w:val="18"/>
              </w:rPr>
            </w:r>
            <w:r>
              <w:rPr>
                <w:sz w:val="18"/>
              </w:rPr>
              <w:t>Verified / Sequenced</w:t>
            </w:r>
          </w:p>
        </w:tc>
        <w:tc>
          <w:tcPr>
            <w:tcW w:type="dxa" w:w="1704"/>
            <w:vAlign w:val="top"/>
          </w:tcPr>
          <w:p>
            <w:pPr>
              <w:spacing w:after="40"/>
            </w:pPr>
            <w:r>
              <w:rPr>
                <w:sz w:val="18"/>
              </w:rPr>
            </w:r>
            <w:r>
              <w:rPr>
                <w:sz w:val="18"/>
              </w:rPr>
              <w:t>BFS / S-0440 Fire Suppression Firm Certification Continuity</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#37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Undocumented Owner Knowledge</w:t>
            </w:r>
          </w:p>
        </w:tc>
        <w:tc>
          <w:tcPr>
            <w:tcW w:type="dxa" w:w="1704"/>
            <w:vAlign w:val="top"/>
          </w:tcPr>
          <w:p>
            <w:pPr>
              <w:spacing w:after="40"/>
            </w:pPr>
            <w:r>
              <w:rPr>
                <w:sz w:val="17"/>
              </w:rPr>
            </w:r>
            <w:r>
              <w:rPr>
                <w:b w:val="0"/>
                <w:sz w:val="17"/>
              </w:rPr>
              <w:t>Institutional Knowledge &amp; Key Relationships</w:t>
            </w:r>
          </w:p>
        </w:tc>
      </w:tr>
      <w:tr>
        <w:tc>
          <w:tcPr>
            <w:tcW w:type="dxa" w:w="1704"/>
            <w:vAlign w:val="top"/>
          </w:tcPr>
          <w:p>
            <w:pPr>
              <w:spacing w:after="40"/>
            </w:pPr>
            <w:r>
              <w:rPr>
                <w:sz w:val="17"/>
              </w:rPr>
            </w:r>
            <w:r>
              <w:rPr>
                <w:b w:val="0"/>
                <w:sz w:val="17"/>
              </w:rPr>
              <w:t>#16</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Delivery Concentration — Single Point of Failure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Estimating Methodology Not Documented</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Field-to-Office Communication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#18</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Safety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#29</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Backup, Disaster Recovery, and Continuity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#30</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Security Posture Beyond the Email Account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Cyber Insurance Gap and Property-Form Cyber-Incident Exclusion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Internal Controls &amp; Segregation of Duties</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ISN / ISNetworld Prequalification Obligations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#42</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Customer-Specific Compliance Tracking</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No Defined Job Intake Data Model</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#4</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Stale Accounts Receivable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NFPA &amp; AHJ Knowledge Concentration</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Project Management &amp; Subcontractor Management — GC-Seat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 Workforce Recruiting &amp; Retention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Absence of Standing Inspection Service Agreements</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Declining Inspection Volume &amp; Competitive Consolidation Risk</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Absence of Written QA/QC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Certified Payroll — Tooling &amp; Data-Structure Gap</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#7</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QuickBooks Customer Master Data Quality</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#22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AHJ Rough-In / Final Re-Trip Cost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Records Retention Obligations Going Unmet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Software Inventory and Identity Management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Hiring, Onboarding &amp; Termination Process Definition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HR Compliance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#43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Absence of AHJ / Fire Marshal Register</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No CRM or Pipeline System</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Rough-In Artifact Preparation &amp; Centralization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Management System Absent (No ITM Platform)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Chart of Accounts — Expense-Side Structure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Revenue-Side Segmentation</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Certificate of Insurance Tracking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Budgeting, Forecasting &amp; Management Reporting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Declined Inspection-Adjacent Inbound Service Volume (Revenue Leakage)</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Fleet Maintenance Tracking</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Mobile Device Management &amp; Endpoint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#26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Low</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Inventory Management</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#38</w:t>
            </w:r>
          </w:p>
        </w:tc>
        <w:tc>
          <w:tcPr>
            <w:tcW w:type="dxa" w:w="1704"/>
            <w:vAlign w:val="top"/>
          </w:tcPr>
          <w:p>
            <w:pPr>
              <w:spacing w:after="40"/>
            </w:pPr>
            <w:r>
              <w:rPr>
                <w:sz w:val="17"/>
              </w:rPr>
            </w:r>
            <w:r>
              <w:rPr>
                <w:b w:val="0"/>
                <w:sz w:val="17"/>
              </w:rPr>
              <w:t>Strategic</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Customer Concentration</w:t>
            </w:r>
          </w:p>
        </w:tc>
        <w:tc>
          <w:tcPr>
            <w:tcW w:type="dxa" w:w="1704"/>
            <w:vAlign w:val="top"/>
          </w:tcPr>
          <w:p>
            <w:pPr>
              <w:spacing w:after="40"/>
            </w:pPr>
            <w:r>
              <w:rPr>
                <w:sz w:val="17"/>
              </w:rPr>
            </w:r>
            <w:r>
              <w:rPr>
                <w:b w:val="0"/>
                <w:sz w:val="17"/>
              </w:rPr>
              <w:t>Institutional Knowledge &amp; Key Relationships</w:t>
            </w:r>
          </w:p>
        </w:tc>
      </w:tr>
    </w:tbl>
    <w:p>
      <w:r>
        <w:rPr>
          <w:rFonts w:ascii="Aptos" w:hAnsi="Aptos" w:eastAsia="Aptos"/>
          <w:b w:val="0"/>
          <w:sz w:val="20"/>
        </w:rPr>
        <w:t>Narrative summary. 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rPr>
          <w:rFonts w:ascii="Aptos Display" w:hAnsi="Aptos Display" w:eastAsia="Aptos Display"/>
          <w:b/>
          <w:color w:val="1F4E79"/>
          <w:sz w:val="28"/>
        </w:rPr>
        <w:t>3. Sequencing &amp; Dependencies</w:t>
      </w:r>
    </w:p>
    <w:p>
      <w:r>
        <w:rPr>
          <w:rFonts w:ascii="Aptos" w:hAnsi="Aptos" w:eastAsia="Aptos"/>
          <w:b w:val="0"/>
          <w:sz w:val="20"/>
        </w:rP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F2F2F2"/>
            <w:vAlign w:val="top"/>
          </w:tcPr>
          <w:p>
            <w:pPr>
              <w:spacing w:after="40"/>
            </w:pPr>
            <w:r>
              <w:rPr>
                <w:rFonts w:ascii="Aptos" w:hAnsi="Aptos" w:eastAsia="Aptos"/>
                <w:b/>
                <w:color w:val="1F4E79"/>
                <w:sz w:val="18"/>
              </w:rPr>
            </w:r>
            <w:r>
              <w:rPr>
                <w:rFonts w:ascii="Aptos" w:hAnsi="Aptos" w:eastAsia="Aptos"/>
                <w:b/>
                <w:color w:val="1F4E79"/>
                <w:sz w:val="18"/>
              </w:rPr>
              <w:t>Dependency / Critical Path Item</w:t>
            </w:r>
          </w:p>
        </w:tc>
        <w:tc>
          <w:tcPr>
            <w:tcW w:type="dxa" w:w="5112"/>
            <w:shd w:fill="D9EAF7"/>
            <w:vAlign w:val="top"/>
          </w:tcPr>
          <w:p>
            <w:pPr>
              <w:spacing w:after="40"/>
            </w:pPr>
            <w:r>
              <w:rPr>
                <w:rFonts w:ascii="Aptos" w:hAnsi="Aptos" w:eastAsia="Aptos"/>
                <w:b/>
                <w:color w:val="1F4E79"/>
                <w:sz w:val="18"/>
              </w:rPr>
            </w:r>
            <w:r>
              <w:rPr>
                <w:rFonts w:ascii="Aptos" w:hAnsi="Aptos" w:eastAsia="Aptos"/>
                <w:b/>
                <w:color w:val="1F4E79"/>
                <w:sz w:val="18"/>
              </w:rPr>
              <w:t>Downstream effect</w:t>
            </w:r>
          </w:p>
        </w:tc>
      </w:tr>
      <w:tr>
        <w:tc>
          <w:tcPr>
            <w:tcW w:type="dxa" w:w="5112"/>
            <w:vAlign w:val="top"/>
            <w:shd w:fill="F2F2F2"/>
          </w:tcPr>
          <w:p>
            <w:pPr>
              <w:spacing w:after="40"/>
            </w:pPr>
            <w:r>
              <w:rPr>
                <w:sz w:val="17"/>
              </w:rPr>
            </w:r>
            <w:r>
              <w:rPr>
                <w:b w:val="0"/>
                <w:sz w:val="17"/>
              </w:rPr>
              <w:t>Inspection-delivery hire decision</w:t>
            </w:r>
          </w:p>
        </w:tc>
        <w:tc>
          <w:tcPr>
            <w:tcW w:type="dxa" w:w="5112"/>
            <w:vAlign w:val="top"/>
          </w:tcPr>
          <w:p>
            <w:pPr>
              <w:spacing w:after="40"/>
            </w:pPr>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shd w:fill="F2F2F2"/>
          </w:tcPr>
          <w:p>
            <w:pPr>
              <w:spacing w:after="40"/>
            </w:pPr>
            <w:r>
              <w:rPr>
                <w:sz w:val="17"/>
              </w:rPr>
            </w:r>
            <w:r>
              <w:rPr>
                <w:b w:val="0"/>
                <w:sz w:val="17"/>
              </w:rPr>
              <w:t>Deal close / buy-in mechanics</w:t>
            </w:r>
          </w:p>
        </w:tc>
        <w:tc>
          <w:tcPr>
            <w:tcW w:type="dxa" w:w="5112"/>
            <w:vAlign w:val="top"/>
          </w:tcPr>
          <w:p>
            <w:pPr>
              <w:spacing w:after="40"/>
            </w:pPr>
            <w:r>
              <w:rPr>
                <w:sz w:val="17"/>
              </w:rPr>
            </w:r>
            <w:r>
              <w:rPr>
                <w:b w:val="0"/>
                <w:sz w:val="17"/>
              </w:rPr>
              <w:t>Unlocks Findings #1 and #3 through new banking relationships, authority tiers, and dual-control thresholds in the shareholder or operating agreement.</w:t>
            </w:r>
          </w:p>
        </w:tc>
      </w:tr>
      <w:tr>
        <w:tc>
          <w:tcPr>
            <w:tcW w:type="dxa" w:w="5112"/>
            <w:vAlign w:val="top"/>
            <w:shd w:fill="F2F2F2"/>
          </w:tcPr>
          <w:p>
            <w:pPr>
              <w:spacing w:after="40"/>
            </w:pPr>
            <w:r>
              <w:rPr>
                <w:sz w:val="17"/>
              </w:rPr>
            </w:r>
            <w:r>
              <w:rPr>
                <w:b w:val="0"/>
                <w:sz w:val="17"/>
              </w:rPr>
              <w:t>QuickBooks Desktop → QBO / Payroll migration</w:t>
            </w:r>
          </w:p>
        </w:tc>
        <w:tc>
          <w:tcPr>
            <w:tcW w:type="dxa" w:w="5112"/>
            <w:vAlign w:val="top"/>
          </w:tcPr>
          <w:p>
            <w:pPr>
              <w:spacing w:after="40"/>
            </w:pPr>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shd w:fill="F2F2F2"/>
          </w:tcPr>
          <w:p>
            <w:pPr>
              <w:spacing w:after="40"/>
            </w:pPr>
            <w:r>
              <w:rPr>
                <w:sz w:val="17"/>
              </w:rPr>
            </w:r>
            <w:r>
              <w:rPr>
                <w:b w:val="0"/>
                <w:sz w:val="17"/>
              </w:rPr>
              <w:t>HR / compliance calendar buildout</w:t>
            </w:r>
          </w:p>
        </w:tc>
        <w:tc>
          <w:tcPr>
            <w:tcW w:type="dxa" w:w="5112"/>
            <w:vAlign w:val="top"/>
          </w:tcPr>
          <w:p>
            <w:pPr>
              <w:spacing w:after="40"/>
            </w:pPr>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shd w:fill="F2F2F2"/>
          </w:tcPr>
          <w:p>
            <w:pPr>
              <w:spacing w:after="40"/>
            </w:pPr>
            <w:r>
              <w:rPr>
                <w:sz w:val="17"/>
              </w:rPr>
            </w:r>
            <w:r>
              <w:rPr>
                <w:b w:val="0"/>
                <w:sz w:val="17"/>
              </w:rPr>
              <w:t>Field Crew Communication + Job Tracking adoption</w:t>
            </w:r>
          </w:p>
        </w:tc>
        <w:tc>
          <w:tcPr>
            <w:tcW w:type="dxa" w:w="5112"/>
            <w:vAlign w:val="top"/>
          </w:tcPr>
          <w:p>
            <w:pPr>
              <w:spacing w:after="40"/>
            </w:pPr>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shd w:fill="F2F2F2"/>
          </w:tcPr>
          <w:p>
            <w:pPr>
              <w:spacing w:after="40"/>
            </w:pPr>
            <w:r>
              <w:rPr>
                <w:sz w:val="17"/>
              </w:rPr>
            </w:r>
            <w:r>
              <w:rPr>
                <w:b w:val="0"/>
                <w:sz w:val="17"/>
              </w:rPr>
              <w:t>Estimating methodology capture</w:t>
            </w:r>
          </w:p>
        </w:tc>
        <w:tc>
          <w:tcPr>
            <w:tcW w:type="dxa" w:w="5112"/>
            <w:vAlign w:val="top"/>
          </w:tcPr>
          <w:p>
            <w:pPr>
              <w:spacing w:after="40"/>
            </w:pPr>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shd w:fill="F2F2F2"/>
          </w:tcPr>
          <w:p>
            <w:pPr>
              <w:spacing w:after="40"/>
            </w:pPr>
            <w:r>
              <w:rPr>
                <w:sz w:val="18"/>
              </w:rPr>
            </w:r>
            <w:r>
              <w:rPr>
                <w:b w:val="0"/>
                <w:sz w:val="18"/>
              </w:rPr>
              <w:t>Daily job site reporting / photo documentation</w:t>
            </w:r>
          </w:p>
        </w:tc>
        <w:tc>
          <w:tcPr>
            <w:tcW w:type="dxa" w:w="5112"/>
            <w:vAlign w:val="top"/>
          </w:tcPr>
          <w:p>
            <w:pPr>
              <w:spacing w:after="40"/>
            </w:pPr>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shd w:fill="F2F2F2"/>
          </w:tcPr>
          <w:p>
            <w:pPr>
              <w:spacing w:after="40"/>
            </w:pPr>
            <w:r>
              <w:rPr>
                <w:sz w:val="18"/>
              </w:rPr>
            </w:r>
            <w:r>
              <w:rPr>
                <w:b w:val="0"/>
                <w:sz w:val="18"/>
              </w:rPr>
              <w:t>Digital timecard submission / labor cost capture</w:t>
            </w:r>
          </w:p>
        </w:tc>
        <w:tc>
          <w:tcPr>
            <w:tcW w:type="dxa" w:w="5112"/>
            <w:vAlign w:val="top"/>
          </w:tcPr>
          <w:p>
            <w:pPr>
              <w:spacing w:after="40"/>
            </w:pPr>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rPr>
          <w:rFonts w:ascii="Aptos Display" w:hAnsi="Aptos Display" w:eastAsia="Aptos Display"/>
          <w:b/>
          <w:color w:val="1F4E79"/>
          <w:sz w:val="24"/>
        </w:rPr>
        <w:t>3.1 Workflow Documentation Backlog</w:t>
      </w:r>
    </w:p>
    <w:p>
      <w:r>
        <w:rPr>
          <w:rFonts w:ascii="Aptos" w:hAnsi="Aptos" w:eastAsia="Aptos"/>
          <w:b w:val="0"/>
          <w:sz w:val="20"/>
        </w:rP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rPr>
          <w:rFonts w:ascii="Aptos" w:hAnsi="Aptos" w:eastAsia="Aptos"/>
          <w:b w:val="0"/>
          <w:sz w:val="20"/>
        </w:rP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Workflow</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Current-state flow to capture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Modernization linkage</w:t>
            </w:r>
          </w:p>
        </w:tc>
      </w:tr>
      <w:tr>
        <w:tc>
          <w:tcPr>
            <w:tcW w:type="dxa" w:w="3408"/>
            <w:vAlign w:val="top"/>
          </w:tcPr>
          <w:p>
            <w:pPr>
              <w:spacing w:after="40"/>
            </w:pPr>
            <w:r>
              <w:rPr>
                <w:sz w:val="17"/>
              </w:rPr>
            </w:r>
            <w:r>
              <w:rPr>
                <w:b w:val="0"/>
                <w:sz w:val="17"/>
              </w:rPr>
              <w:t>Service Work Order → Pricing → Invoicing</w:t>
            </w:r>
          </w:p>
        </w:tc>
        <w:tc>
          <w:tcPr>
            <w:tcW w:type="dxa" w:w="3408"/>
            <w:vAlign w:val="top"/>
          </w:tcPr>
          <w:p>
            <w:pPr>
              <w:spacing w:after="40"/>
            </w:pPr>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pPr>
              <w:spacing w:after="40"/>
            </w:pPr>
            <w:r>
              <w:rPr>
                <w:sz w:val="17"/>
              </w:rPr>
            </w:r>
            <w:r>
              <w:rPr>
                <w:b w:val="0"/>
                <w:sz w:val="17"/>
              </w:rPr>
              <w:t>Current-State §2.3; supports billing-control and service-margin modernization.</w:t>
            </w:r>
          </w:p>
        </w:tc>
      </w:tr>
      <w:tr>
        <w:tc>
          <w:tcPr>
            <w:tcW w:type="dxa" w:w="3408"/>
            <w:vAlign w:val="top"/>
          </w:tcPr>
          <w:p>
            <w:pPr>
              <w:spacing w:after="40"/>
            </w:pPr>
            <w:r>
              <w:rPr>
                <w:sz w:val="17"/>
              </w:rPr>
            </w:r>
            <w:r>
              <w:rPr>
                <w:b w:val="0"/>
                <w:sz w:val="17"/>
              </w:rPr>
              <w:t>Marketing &amp; Sales Funnel / Inbound Opportunity Intake</w:t>
            </w:r>
          </w:p>
        </w:tc>
        <w:tc>
          <w:tcPr>
            <w:tcW w:type="dxa" w:w="3408"/>
            <w:vAlign w:val="top"/>
          </w:tcPr>
          <w:p>
            <w:pPr>
              <w:spacing w:after="40"/>
            </w:pPr>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pPr>
              <w:spacing w:after="40"/>
            </w:pPr>
            <w:r>
              <w:rPr>
                <w:sz w:val="17"/>
              </w:rPr>
            </w:r>
            <w:r>
              <w:rPr>
                <w:b w:val="0"/>
                <w:sz w:val="17"/>
              </w:rPr>
              <w:t>Ties directly to Findings #12, #14, #15, #28, and #38; captures the current low-system, relationship-driven sales motion before CRM design.</w:t>
            </w:r>
          </w:p>
        </w:tc>
      </w:tr>
      <w:tr>
        <w:tc>
          <w:tcPr>
            <w:tcW w:type="dxa" w:w="3408"/>
            <w:vAlign w:val="top"/>
          </w:tcPr>
          <w:p>
            <w:pPr>
              <w:spacing w:after="40"/>
            </w:pPr>
            <w:r>
              <w:rPr>
                <w:sz w:val="17"/>
              </w:rPr>
            </w:r>
            <w:r>
              <w:rPr>
                <w:b w:val="0"/>
                <w:sz w:val="17"/>
              </w:rPr>
              <w:t>Installation Job Award → Contract Review → Execution → Billing/Retainage</w:t>
            </w:r>
          </w:p>
        </w:tc>
        <w:tc>
          <w:tcPr>
            <w:tcW w:type="dxa" w:w="3408"/>
            <w:vAlign w:val="top"/>
          </w:tcPr>
          <w:p>
            <w:pPr>
              <w:spacing w:after="40"/>
            </w:pPr>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pPr>
              <w:spacing w:after="40"/>
            </w:pPr>
            <w:r>
              <w:rPr>
                <w:sz w:val="17"/>
              </w:rPr>
            </w:r>
            <w:r>
              <w:rPr>
                <w:b w:val="0"/>
                <w:sz w:val="17"/>
              </w:rPr>
              <w:t>Current-State §2.2–§2.3; supports PM/subcontractor-management and billing process remediation.</w:t>
            </w:r>
          </w:p>
        </w:tc>
      </w:tr>
      <w:tr>
        <w:tc>
          <w:tcPr>
            <w:tcW w:type="dxa" w:w="3408"/>
            <w:vAlign w:val="top"/>
          </w:tcPr>
          <w:p>
            <w:pPr>
              <w:spacing w:after="40"/>
            </w:pPr>
            <w:r>
              <w:rPr>
                <w:sz w:val="17"/>
              </w:rPr>
            </w:r>
            <w:r>
              <w:rPr>
                <w:b w:val="0"/>
                <w:sz w:val="17"/>
              </w:rPr>
              <w:t>Inspection Intake → Scheduling → NFPA-25 Report → Billing / Follow-up</w:t>
            </w:r>
          </w:p>
        </w:tc>
        <w:tc>
          <w:tcPr>
            <w:tcW w:type="dxa" w:w="3408"/>
            <w:vAlign w:val="top"/>
          </w:tcPr>
          <w:p>
            <w:pPr>
              <w:spacing w:after="40"/>
            </w:pPr>
            <w:r>
              <w:rPr>
                <w:sz w:val="17"/>
              </w:rPr>
            </w:r>
            <w:r>
              <w:rPr>
                <w:b w:val="0"/>
                <w:sz w:val="17"/>
              </w:rPr>
              <w:t>Inbound inspection request, Keith scheduling, report preparation, deficiency handling, customer communication, invoice generation, and follow-up.</w:t>
            </w:r>
          </w:p>
        </w:tc>
        <w:tc>
          <w:tcPr>
            <w:tcW w:type="dxa" w:w="3408"/>
            <w:vAlign w:val="top"/>
          </w:tcPr>
          <w:p>
            <w:pPr>
              <w:spacing w:after="40"/>
            </w:pPr>
            <w:r>
              <w:rPr>
                <w:sz w:val="17"/>
              </w:rPr>
            </w:r>
            <w:r>
              <w:rPr>
                <w:b w:val="0"/>
                <w:sz w:val="17"/>
              </w:rPr>
              <w:t>Ties to inspection-delivery concentration, ITM platform decision, standing inspection agreements, and declined inspection-adjacent demand.</w:t>
            </w:r>
          </w:p>
        </w:tc>
      </w:tr>
      <w:tr>
        <w:tc>
          <w:tcPr>
            <w:tcW w:type="dxa" w:w="3408"/>
            <w:vAlign w:val="top"/>
          </w:tcPr>
          <w:p>
            <w:pPr>
              <w:spacing w:after="40"/>
            </w:pPr>
            <w:r>
              <w:rPr>
                <w:sz w:val="18"/>
              </w:rPr>
            </w:r>
            <w:r>
              <w:rPr>
                <w:b w:val="0"/>
                <w:sz w:val="18"/>
              </w:rPr>
              <w:t>Payroll / Digital Timecard Submission Flow</w:t>
            </w:r>
          </w:p>
        </w:tc>
        <w:tc>
          <w:tcPr>
            <w:tcW w:type="dxa" w:w="3408"/>
            <w:vAlign w:val="top"/>
          </w:tcPr>
          <w:p>
            <w:pPr>
              <w:spacing w:after="40"/>
            </w:pPr>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pPr>
              <w:spacing w:after="40"/>
            </w:pPr>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pPr>
              <w:spacing w:after="40"/>
            </w:pPr>
            <w:r>
              <w:rPr>
                <w:sz w:val="17"/>
              </w:rPr>
            </w:r>
            <w:r>
              <w:rPr>
                <w:b w:val="0"/>
                <w:sz w:val="17"/>
              </w:rPr>
              <w:t>New Hire / Onboarding Flow</w:t>
            </w:r>
          </w:p>
        </w:tc>
        <w:tc>
          <w:tcPr>
            <w:tcW w:type="dxa" w:w="3408"/>
            <w:vAlign w:val="top"/>
          </w:tcPr>
          <w:p>
            <w:pPr>
              <w:spacing w:after="40"/>
            </w:pPr>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pPr>
              <w:spacing w:after="40"/>
            </w:pPr>
            <w:r>
              <w:rPr>
                <w:sz w:val="17"/>
              </w:rPr>
            </w:r>
            <w:r>
              <w:rPr>
                <w:b w:val="0"/>
                <w:sz w:val="17"/>
              </w:rPr>
              <w:t>Supports Findings #2, #18, #28, #35, and #36.</w:t>
            </w:r>
          </w:p>
        </w:tc>
      </w:tr>
      <w:tr>
        <w:tc>
          <w:tcPr>
            <w:tcW w:type="dxa" w:w="3408"/>
            <w:vAlign w:val="top"/>
          </w:tcPr>
          <w:p>
            <w:pPr>
              <w:spacing w:after="40"/>
            </w:pPr>
            <w:r>
              <w:rPr>
                <w:sz w:val="18"/>
              </w:rPr>
            </w:r>
            <w:r>
              <w:rPr>
                <w:b w:val="0"/>
                <w:sz w:val="18"/>
              </w:rPr>
              <w:t>Daily Job Site Reporting / Photo Documentation</w:t>
            </w:r>
          </w:p>
        </w:tc>
        <w:tc>
          <w:tcPr>
            <w:tcW w:type="dxa" w:w="3408"/>
            <w:vAlign w:val="top"/>
          </w:tcPr>
          <w:p>
            <w:pPr>
              <w:spacing w:after="40"/>
            </w:pPr>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pPr>
              <w:spacing w:after="40"/>
            </w:pPr>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rPr>
          <w:rFonts w:ascii="Aptos Display" w:hAnsi="Aptos Display" w:eastAsia="Aptos Display"/>
          <w:b/>
          <w:color w:val="1F4E79"/>
          <w:sz w:val="28"/>
        </w:rPr>
        <w:t>4. Resource &amp; Effort Summary</w:t>
      </w:r>
    </w:p>
    <w:p>
      <w:r>
        <w:rPr>
          <w:rFonts w:ascii="Aptos" w:hAnsi="Aptos" w:eastAsia="Aptos"/>
          <w:b w:val="0"/>
          <w:sz w:val="20"/>
        </w:rP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Resource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Likely role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Capacity note</w:t>
            </w:r>
          </w:p>
        </w:tc>
      </w:tr>
      <w:tr>
        <w:tc>
          <w:tcPr>
            <w:tcW w:type="dxa" w:w="3408"/>
            <w:vAlign w:val="top"/>
          </w:tcPr>
          <w:p>
            <w:pPr>
              <w:spacing w:after="40"/>
            </w:pPr>
            <w:r>
              <w:rPr>
                <w:sz w:val="17"/>
              </w:rPr>
            </w:r>
            <w:r>
              <w:rPr>
                <w:b w:val="0"/>
                <w:sz w:val="17"/>
              </w:rPr>
              <w:t>Justin / Predictive Lines</w:t>
            </w:r>
          </w:p>
        </w:tc>
        <w:tc>
          <w:tcPr>
            <w:tcW w:type="dxa" w:w="3408"/>
            <w:vAlign w:val="top"/>
          </w:tcPr>
          <w:p>
            <w:pPr>
              <w:spacing w:after="40"/>
            </w:pPr>
            <w:r>
              <w:rPr>
                <w:sz w:val="17"/>
              </w:rPr>
            </w:r>
            <w:r>
              <w:rPr>
                <w:b w:val="0"/>
                <w:sz w:val="17"/>
              </w:rPr>
              <w:t>Roadmap owner; document/process design; Notion + OpenClaw implementation; operating-model decisions; May 11/18 working sessions.</w:t>
            </w:r>
          </w:p>
        </w:tc>
        <w:tc>
          <w:tcPr>
            <w:tcW w:type="dxa" w:w="3408"/>
            <w:vAlign w:val="top"/>
          </w:tcPr>
          <w:p>
            <w:pPr>
              <w:spacing w:after="40"/>
            </w:pPr>
            <w:r>
              <w:rPr>
                <w:sz w:val="17"/>
              </w:rPr>
            </w:r>
            <w:r>
              <w:rPr>
                <w:b w:val="0"/>
                <w:sz w:val="17"/>
              </w:rPr>
              <w:t>High through first 90 days, tapering in Year 1.</w:t>
            </w:r>
          </w:p>
        </w:tc>
      </w:tr>
      <w:tr>
        <w:tc>
          <w:tcPr>
            <w:tcW w:type="dxa" w:w="3408"/>
            <w:vAlign w:val="top"/>
          </w:tcPr>
          <w:p>
            <w:pPr>
              <w:spacing w:after="40"/>
            </w:pPr>
            <w:r>
              <w:rPr>
                <w:sz w:val="17"/>
              </w:rPr>
            </w:r>
            <w:r>
              <w:rPr>
                <w:b w:val="0"/>
                <w:sz w:val="17"/>
              </w:rPr>
              <w:t>Kevin</w:t>
            </w:r>
          </w:p>
        </w:tc>
        <w:tc>
          <w:tcPr>
            <w:tcW w:type="dxa" w:w="3408"/>
            <w:vAlign w:val="top"/>
          </w:tcPr>
          <w:p>
            <w:pPr>
              <w:spacing w:after="40"/>
            </w:pPr>
            <w:r>
              <w:rPr>
                <w:sz w:val="17"/>
              </w:rPr>
            </w:r>
            <w:r>
              <w:rPr>
                <w:b w:val="0"/>
                <w:sz w:val="17"/>
              </w:rPr>
              <w:t>Source of owner knowledge, estimating methodology, customer relationships, banking authority transition, PM/subcontractor-management discussion.</w:t>
            </w:r>
          </w:p>
        </w:tc>
        <w:tc>
          <w:tcPr>
            <w:tcW w:type="dxa" w:w="3408"/>
            <w:vAlign w:val="top"/>
          </w:tcPr>
          <w:p>
            <w:pPr>
              <w:spacing w:after="40"/>
            </w:pPr>
            <w:r>
              <w:rPr>
                <w:sz w:val="17"/>
              </w:rPr>
            </w:r>
            <w:r>
              <w:rPr>
                <w:b w:val="0"/>
                <w:sz w:val="17"/>
              </w:rPr>
              <w:t>High but must be tightly scheduled; use interviews/workshops, not open-ended asks.</w:t>
            </w:r>
          </w:p>
        </w:tc>
      </w:tr>
      <w:tr>
        <w:tc>
          <w:tcPr>
            <w:tcW w:type="dxa" w:w="3408"/>
            <w:vAlign w:val="top"/>
          </w:tcPr>
          <w:p>
            <w:pPr>
              <w:spacing w:after="40"/>
            </w:pPr>
            <w:r>
              <w:rPr>
                <w:sz w:val="17"/>
              </w:rPr>
            </w:r>
            <w:r>
              <w:rPr>
                <w:b w:val="0"/>
                <w:sz w:val="17"/>
              </w:rPr>
              <w:t>Jaclyn</w:t>
            </w:r>
          </w:p>
        </w:tc>
        <w:tc>
          <w:tcPr>
            <w:tcW w:type="dxa" w:w="3408"/>
            <w:vAlign w:val="top"/>
          </w:tcPr>
          <w:p>
            <w:pPr>
              <w:spacing w:after="40"/>
            </w:pPr>
            <w:r>
              <w:rPr>
                <w:sz w:val="17"/>
              </w:rPr>
            </w:r>
            <w:r>
              <w:rPr>
                <w:b w:val="0"/>
                <w:sz w:val="17"/>
              </w:rPr>
              <w:t>Finance/control environment, QBO/payroll migration decisions, reporting cadence, approval authority, vendor/payment controls.</w:t>
            </w:r>
          </w:p>
        </w:tc>
        <w:tc>
          <w:tcPr>
            <w:tcW w:type="dxa" w:w="3408"/>
            <w:vAlign w:val="top"/>
          </w:tcPr>
          <w:p>
            <w:pPr>
              <w:spacing w:after="40"/>
            </w:pPr>
            <w:r>
              <w:rPr>
                <w:sz w:val="17"/>
              </w:rPr>
            </w:r>
            <w:r>
              <w:rPr>
                <w:b w:val="0"/>
                <w:sz w:val="17"/>
              </w:rPr>
              <w:t>Moderate; spikes around finance migration and internal controls.</w:t>
            </w:r>
          </w:p>
        </w:tc>
      </w:tr>
      <w:tr>
        <w:tc>
          <w:tcPr>
            <w:tcW w:type="dxa" w:w="3408"/>
            <w:vAlign w:val="top"/>
          </w:tcPr>
          <w:p>
            <w:pPr>
              <w:spacing w:after="40"/>
            </w:pPr>
            <w:r>
              <w:rPr>
                <w:sz w:val="17"/>
              </w:rPr>
            </w:r>
            <w:r>
              <w:rPr>
                <w:b w:val="0"/>
                <w:sz w:val="17"/>
              </w:rPr>
              <w:t>AT&amp;C</w:t>
            </w:r>
          </w:p>
        </w:tc>
        <w:tc>
          <w:tcPr>
            <w:tcW w:type="dxa" w:w="3408"/>
            <w:vAlign w:val="top"/>
          </w:tcPr>
          <w:p>
            <w:pPr>
              <w:spacing w:after="40"/>
            </w:pPr>
            <w:r>
              <w:rPr>
                <w:sz w:val="17"/>
              </w:rPr>
            </w:r>
            <w:r>
              <w:rPr>
                <w:b w:val="0"/>
                <w:sz w:val="17"/>
              </w:rPr>
              <w:t>UIA reconstruction, payroll/tax support, QuickBooks transition support, chart-of-accounts cleanup.</w:t>
            </w:r>
          </w:p>
        </w:tc>
        <w:tc>
          <w:tcPr>
            <w:tcW w:type="dxa" w:w="3408"/>
            <w:vAlign w:val="top"/>
          </w:tcPr>
          <w:p>
            <w:pPr>
              <w:spacing w:after="40"/>
            </w:pPr>
            <w:r>
              <w:rPr>
                <w:sz w:val="17"/>
              </w:rPr>
            </w:r>
            <w:r>
              <w:rPr>
                <w:b w:val="0"/>
                <w:sz w:val="17"/>
              </w:rPr>
              <w:t>Moderate; external dependency and possible bottleneck.</w:t>
            </w:r>
          </w:p>
        </w:tc>
      </w:tr>
      <w:tr>
        <w:tc>
          <w:tcPr>
            <w:tcW w:type="dxa" w:w="3408"/>
            <w:vAlign w:val="top"/>
          </w:tcPr>
          <w:p>
            <w:pPr>
              <w:spacing w:after="40"/>
            </w:pPr>
            <w:r>
              <w:rPr>
                <w:sz w:val="17"/>
              </w:rPr>
            </w:r>
            <w:r>
              <w:rPr>
                <w:b w:val="0"/>
                <w:sz w:val="17"/>
              </w:rPr>
              <w:t>External vendors</w:t>
            </w:r>
          </w:p>
        </w:tc>
        <w:tc>
          <w:tcPr>
            <w:tcW w:type="dxa" w:w="3408"/>
            <w:vAlign w:val="top"/>
          </w:tcPr>
          <w:p>
            <w:pPr>
              <w:spacing w:after="40"/>
            </w:pPr>
            <w:r>
              <w:rPr>
                <w:sz w:val="17"/>
              </w:rPr>
            </w:r>
            <w:r>
              <w:rPr>
                <w:b w:val="0"/>
                <w:sz w:val="17"/>
              </w:rPr>
              <w:t>Lee Init / IT, Gauthier Insurance, StangDS, potential ITM platform vendor, possible HR/payroll support.</w:t>
            </w:r>
          </w:p>
        </w:tc>
        <w:tc>
          <w:tcPr>
            <w:tcW w:type="dxa" w:w="3408"/>
            <w:vAlign w:val="top"/>
          </w:tcPr>
          <w:p>
            <w:pPr>
              <w:spacing w:after="40"/>
            </w:pPr>
            <w:r>
              <w:rPr>
                <w:sz w:val="17"/>
              </w:rPr>
            </w:r>
            <w:r>
              <w:rPr>
                <w:b w:val="0"/>
                <w:sz w:val="17"/>
              </w:rPr>
              <w:t>Use where specialized capacity prevents Justin/Kevin bottlenecks.</w:t>
            </w:r>
          </w:p>
        </w:tc>
      </w:tr>
    </w:tbl>
    <w:p>
      <w:pPr>
        <w:pStyle w:val="Heading1"/>
      </w:pPr>
      <w:r>
        <w:rPr>
          <w:rFonts w:ascii="Aptos Display" w:hAnsi="Aptos Display" w:eastAsia="Aptos Display"/>
          <w:b/>
          <w:color w:val="1F4E79"/>
          <w:sz w:val="28"/>
        </w:rPr>
        <w:t>5. Workstream-Aligned Remediation Plans</w:t>
      </w:r>
    </w:p>
    <w:p>
      <w:r>
        <w:rPr>
          <w:rFonts w:ascii="Aptos" w:hAnsi="Aptos" w:eastAsia="Aptos"/>
          <w:b w:val="0"/>
          <w:sz w:val="20"/>
        </w:rP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rPr>
          <w:rFonts w:ascii="Aptos Display" w:hAnsi="Aptos Display" w:eastAsia="Aptos Display"/>
          <w:b/>
          <w:color w:val="1F4E79"/>
          <w:sz w:val="24"/>
        </w:rPr>
        <w:t>5.1 Financial Operations &amp; Controls</w:t>
      </w:r>
    </w:p>
    <w:p>
      <w:pPr>
        <w:pStyle w:val="Heading3"/>
      </w:pPr>
      <w:r>
        <w:rPr>
          <w:rFonts w:ascii="Aptos Display" w:hAnsi="Aptos Display" w:eastAsia="Aptos Display"/>
          <w:b/>
          <w:color w:val="5B9BD5"/>
          <w:sz w:val="22"/>
        </w:rPr>
        <w:t>Finding #1 — Banking Signature-Stamp Practice (Critical)</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Sunsets at Betty's mid-May 2026 retirement and the buy-in; spending-authority tiers and dual-control thresholds being pulled forward from the existing operating agreement into the new shareholders' agreement at close.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 — Missing Federal &amp; State New-Hire Forms (Form I-9, W-4, MI-W4) (Critical)</w:t>
      </w:r>
    </w:p>
    <w:p>
      <w:r>
        <w:rPr>
          <w:rFonts w:ascii="Aptos" w:hAnsi="Aptos" w:eastAsia="Aptos"/>
          <w:b/>
          <w:sz w:val="20"/>
        </w:rPr>
        <w:t xml:space="preserve">Cross-reference: </w:t>
      </w:r>
      <w:r>
        <w:rPr>
          <w:rFonts w:ascii="Aptos" w:hAnsi="Aptos" w:eastAsia="Aptos"/>
          <w:b w:val="0"/>
          <w:sz w:val="20"/>
        </w:rPr>
        <w:t>Gap Analysis §3.1; Current-State §2.4</w:t>
      </w:r>
    </w:p>
    <w:p>
      <w:r>
        <w:rPr>
          <w:rFonts w:ascii="Aptos" w:hAnsi="Aptos" w:eastAsia="Aptos"/>
          <w:b/>
          <w:sz w:val="20"/>
        </w:rPr>
        <w:t xml:space="preserve">Status: </w:t>
      </w:r>
      <w:r>
        <w:rPr>
          <w:rFonts w:ascii="Aptos" w:hAnsi="Aptos" w:eastAsia="Aptos"/>
          <w:b w:val="0"/>
          <w:sz w:val="20"/>
        </w:rPr>
        <w:t>Scheduled — Workforce-wide audit and replacement-form collection on the May 11 on-site agenda; the New Employee Onboarding Checklist (Notion) is the standing process for new hires going forward.</w:t>
      </w:r>
    </w:p>
    <w:p>
      <w:r>
        <w:rPr>
          <w:rFonts w:ascii="Aptos" w:hAnsi="Aptos" w:eastAsia="Aptos"/>
          <w:b/>
          <w:sz w:val="20"/>
        </w:rPr>
        <w:t xml:space="preserve">Owner: </w:t>
      </w:r>
      <w:r>
        <w:rPr>
          <w:rFonts w:ascii="Aptos" w:hAnsi="Aptos" w:eastAsia="Aptos"/>
          <w:b w:val="0"/>
          <w:sz w:val="20"/>
        </w:rPr>
        <w:t>Justin / Krissy, with Kevin support as needed</w:t>
      </w:r>
    </w:p>
    <w:p>
      <w:r>
        <w:rPr>
          <w:rFonts w:ascii="Aptos" w:hAnsi="Aptos" w:eastAsia="Aptos"/>
          <w:b/>
          <w:sz w:val="20"/>
        </w:rPr>
        <w:t xml:space="preserve">Sequence: </w:t>
      </w:r>
      <w:r>
        <w:rPr>
          <w:rFonts w:ascii="Aptos" w:hAnsi="Aptos" w:eastAsia="Aptos"/>
          <w:b w:val="0"/>
          <w:sz w:val="20"/>
        </w:rPr>
        <w:t>Pre-close scheduled item; feeds the standing new-hire onboarding process and employee-records cleanup.</w:t>
      </w:r>
    </w:p>
    <w:p>
      <w:r>
        <w:rPr>
          <w:rFonts w:ascii="Aptos" w:hAnsi="Aptos" w:eastAsia="Aptos"/>
          <w:b/>
          <w:sz w:val="20"/>
        </w:rPr>
        <w:t xml:space="preserve">Success Criteria: </w:t>
      </w:r>
      <w:r>
        <w:rPr>
          <w:rFonts w:ascii="Aptos" w:hAnsi="Aptos" w:eastAsia="Aptos"/>
          <w:b w:val="0"/>
          <w:sz w:val="20"/>
        </w:rPr>
        <w:t>For every current employee, either a complete I-9, W-4, and MI-W4 is located and filed, or replacement forms are collected and retained in the employee record. The New Employee Onboarding Checklist becomes the forward process so the gap does not recur.</w:t>
      </w:r>
    </w:p>
    <w:p>
      <w:r>
        <w:rPr>
          <w:rFonts w:ascii="Aptos" w:hAnsi="Aptos" w:eastAsia="Aptos"/>
          <w:b/>
          <w:sz w:val="20"/>
        </w:rPr>
        <w:t xml:space="preserve">Estimated Effort: </w:t>
      </w:r>
      <w:r>
        <w:rPr>
          <w:rFonts w:ascii="Aptos" w:hAnsi="Aptos" w:eastAsia="Aptos"/>
          <w:b w:val="0"/>
          <w:sz w:val="20"/>
        </w:rPr>
        <w:t>Low to moderate; one focused office audit plus employee follow-up for missing forms.</w:t>
      </w:r>
    </w:p>
    <w:p>
      <w:r>
        <w:rPr>
          <w:rFonts w:ascii="Aptos" w:hAnsi="Aptos" w:eastAsia="Aptos"/>
          <w:b/>
          <w:sz w:val="20"/>
        </w:rPr>
        <w:t xml:space="preserve">Milestones: </w:t>
      </w:r>
      <w:r>
        <w:rPr>
          <w:rFonts w:ascii="Aptos" w:hAnsi="Aptos" w:eastAsia="Aptos"/>
          <w:b w:val="0"/>
          <w:sz w:val="20"/>
        </w:rPr>
        <w:t>May 11 on-site: audit existing files and identify gaps. Week of May 11: collect replacements. Post-close: spot-check onboarding checklist against next new hire.</w:t>
      </w:r>
    </w:p>
    <w:p>
      <w:r>
        <w:rPr>
          <w:rFonts w:ascii="Aptos" w:hAnsi="Aptos" w:eastAsia="Aptos"/>
          <w:b/>
          <w:sz w:val="20"/>
        </w:rPr>
        <w:t xml:space="preserve">Open Questions: </w:t>
      </w:r>
      <w:r>
        <w:rPr>
          <w:rFonts w:ascii="Aptos" w:hAnsi="Aptos" w:eastAsia="Aptos"/>
          <w:b w:val="0"/>
          <w:sz w:val="20"/>
        </w:rPr>
        <w:t>Confirm where employee files will live long-term: Paperless / controlled Drive / M365 / other canonical repository.</w:t>
      </w:r>
    </w:p>
    <w:p>
      <w:pPr>
        <w:pStyle w:val="Heading3"/>
      </w:pPr>
      <w:r>
        <w:rPr>
          <w:rFonts w:ascii="Aptos Display" w:hAnsi="Aptos Display" w:eastAsia="Aptos Display"/>
          <w:b/>
          <w:color w:val="5B9BD5"/>
          <w:sz w:val="22"/>
        </w:rPr>
        <w:t>Finding #3 — Internal Controls &amp; Segregation of Duties (High)</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Same path as Finding #1; spending-authority tiers and dual-control thresholds formalized in the new shareholders' agreement at buy-in.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 — Stale Accounts Receivable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recommend folding into the broader chart-of-accounts and AR cleanup pass scheduled for Year 1.</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#5 — Chart of Accounts — Expense-Side Structure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so the expense hierarchy is restructured once rather than twice.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#6 — Revenue-Side Segmentation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to introduce installation-vs-service and new-construction-vs-renovation revenue accounts.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#7 — QuickBooks Customer Master Data Quality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In Flight — The Customers database in EFP Job Tracking (Notion) is the target canonical store; QuickBooks-side reconciliation in flight as part of the QB Desktop → QB Online migration.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#8 — Certified Payroll — Tooling &amp; Data-Structure Gap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val="0"/>
          <w:sz w:val="20"/>
        </w:rP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w:t>
      </w:r>
    </w:p>
    <w:p>
      <w:r>
        <w:rPr>
          <w:rFonts w:ascii="Aptos" w:hAnsi="Aptos" w:eastAsia="Aptos"/>
          <w:b w:val="0"/>
          <w:sz w:val="20"/>
        </w:rPr>
        <w:t>Owner: To confirm during Kevin / Justin review.</w:t>
      </w:r>
    </w:p>
    <w:p>
      <w:r>
        <w:rPr>
          <w:rFonts w:ascii="Aptos" w:hAnsi="Aptos" w:eastAsia="Aptos"/>
          <w:b w:val="0"/>
          <w:sz w:val="20"/>
        </w:rPr>
        <w:t>Sequence: Do not wait for the final payroll platform to improve capture. First standardize submission timing and required fields; then align the durable tool decision with the QBO/payroll migration and job-costing design.</w:t>
      </w:r>
    </w:p>
    <w:p>
      <w:r>
        <w:rPr>
          <w:rFonts w:ascii="Aptos" w:hAnsi="Aptos" w:eastAsia="Aptos"/>
          <w:b w:val="0"/>
          <w:sz w:val="20"/>
        </w:rPr>
        <w:t>Success Criteria: Time is submitted on schedule, legible, retained, and attributable by employee/job/work type; payroll can be processed without chasing paper; certified payroll and job-costing data can be produced from the same source of truth or a controlled reconciliation.</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#9 — Certificate of Insurance Tracking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item; candidate to fold into the consolidated compliance / training / certification calendar that the HR agent is building under Finding #23.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#10 — Budgeting, Forecasting &amp; Management Reporting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baseline forecasting exists in the three-year business plan model that informed the SBA package, but a recurring management-reporting cadence is not yet defined.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5.2 Revenue Generation &amp; Customer Management</w:t>
      </w:r>
    </w:p>
    <w:p>
      <w:pPr>
        <w:pStyle w:val="Heading3"/>
      </w:pPr>
      <w:r>
        <w:rPr>
          <w:rFonts w:ascii="Aptos Display" w:hAnsi="Aptos Display" w:eastAsia="Aptos Display"/>
          <w:b/>
          <w:color w:val="5B9BD5"/>
          <w:sz w:val="22"/>
        </w:rPr>
        <w:t>Finding #11 — Estimating Methodology Not Documented (High)</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Scheduled — Focus weeks of May 11 and May 18; success criterion is a documented process that can be followed without Kevin or Keith's assistance; benchmarked against a planned visit with Kevin's friend Scott (modern sprinkler-fitter shop in Wisconsin).</w:t>
      </w:r>
    </w:p>
    <w:p>
      <w:r>
        <w:rPr>
          <w:rFonts w:ascii="Aptos" w:hAnsi="Aptos" w:eastAsia="Aptos"/>
          <w:b/>
          <w:sz w:val="20"/>
        </w:rPr>
        <w:t xml:space="preserve">Owner: </w:t>
      </w:r>
      <w:r>
        <w:rPr>
          <w:rFonts w:ascii="Aptos" w:hAnsi="Aptos" w:eastAsia="Aptos"/>
          <w:b w:val="0"/>
          <w:sz w:val="20"/>
        </w:rPr>
        <w:t>Justin + Kevin, with Keith input and Scott benchmarking input if the Wisconsin visit occurs.</w:t>
      </w:r>
    </w:p>
    <w:p>
      <w:r>
        <w:rPr>
          <w:rFonts w:ascii="Aptos" w:hAnsi="Aptos" w:eastAsia="Aptos"/>
          <w:b/>
          <w:sz w:val="20"/>
        </w:rPr>
        <w:t xml:space="preserve">Sequence: </w:t>
      </w:r>
      <w:r>
        <w:rPr>
          <w:rFonts w:ascii="Aptos" w:hAnsi="Aptos" w:eastAsia="Aptos"/>
          <w:b w:val="0"/>
          <w:sz w:val="20"/>
        </w:rPr>
        <w:t>Highest-leverage owner-knowledge capture item. Should happen before broader sales process or estimating delegation decisions.</w:t>
      </w:r>
    </w:p>
    <w:p>
      <w:r>
        <w:rPr>
          <w:rFonts w:ascii="Aptos" w:hAnsi="Aptos" w:eastAsia="Aptos"/>
          <w:b/>
          <w:sz w:val="20"/>
        </w:rPr>
        <w:t xml:space="preserve">Success Criteria: </w:t>
      </w:r>
      <w:r>
        <w:rPr>
          <w:rFonts w:ascii="Aptos" w:hAnsi="Aptos" w:eastAsia="Aptos"/>
          <w:b w:val="0"/>
          <w:sz w:val="20"/>
        </w:rPr>
        <w:t>A documented estimating process exists that can be followed without Kevin or Keith’s assistance, including cost buildup, labor assumptions, materials/subcontractor inputs, markup/contingency logic, review/approval points, and examples from recent bids.</w:t>
      </w:r>
    </w:p>
    <w:p>
      <w:r>
        <w:rPr>
          <w:rFonts w:ascii="Aptos" w:hAnsi="Aptos" w:eastAsia="Aptos"/>
          <w:b/>
          <w:sz w:val="20"/>
        </w:rPr>
        <w:t xml:space="preserve">Estimated Effort: </w:t>
      </w:r>
      <w:r>
        <w:rPr>
          <w:rFonts w:ascii="Aptos" w:hAnsi="Aptos" w:eastAsia="Aptos"/>
          <w:b w:val="0"/>
          <w:sz w:val="20"/>
        </w:rPr>
        <w:t>Moderate to high; two working sessions plus one test pass by someone other than Kevin/Keith.</w:t>
      </w:r>
    </w:p>
    <w:p>
      <w:r>
        <w:rPr>
          <w:rFonts w:ascii="Aptos" w:hAnsi="Aptos" w:eastAsia="Aptos"/>
          <w:b/>
          <w:sz w:val="20"/>
        </w:rPr>
        <w:t xml:space="preserve">Milestones: </w:t>
      </w:r>
      <w:r>
        <w:rPr>
          <w:rFonts w:ascii="Aptos" w:hAnsi="Aptos" w:eastAsia="Aptos"/>
          <w:b w:val="0"/>
          <w:sz w:val="20"/>
        </w:rPr>
        <w:t>Week of May 11: map current method and collect example estimates. Week of May 18: draft v0 and test against one historical job. Follow-up: revise based on test failure points.</w:t>
      </w:r>
    </w:p>
    <w:p>
      <w:r>
        <w:rPr>
          <w:rFonts w:ascii="Aptos" w:hAnsi="Aptos" w:eastAsia="Aptos"/>
          <w:b/>
          <w:sz w:val="20"/>
        </w:rPr>
        <w:t xml:space="preserve">Open Questions: </w:t>
      </w:r>
      <w:r>
        <w:rPr>
          <w:rFonts w:ascii="Aptos" w:hAnsi="Aptos" w:eastAsia="Aptos"/>
          <w:b w:val="0"/>
          <w:sz w:val="20"/>
        </w:rPr>
        <w:t>Decide whether the first version should be a Word/Notion SOP only, or include spreadsheet templates / calculators as controlled artifacts.</w:t>
      </w:r>
    </w:p>
    <w:p>
      <w:pPr>
        <w:pStyle w:val="Heading3"/>
      </w:pPr>
      <w:r>
        <w:rPr>
          <w:rFonts w:ascii="Aptos Display" w:hAnsi="Aptos Display" w:eastAsia="Aptos Display"/>
          <w:b/>
          <w:color w:val="5B9BD5"/>
          <w:sz w:val="22"/>
        </w:rPr>
        <w:t>Finding #12 — Absence of Standing Inspection Service Agreements (High)</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Depends on Finding #6 (inspection-delivery hire decision); MSA template development begins after the delivery model is decided.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#13 — Declining Inspection Volume &amp; Competitive Consolidation Risk (High)</w:t>
      </w:r>
    </w:p>
    <w:p>
      <w:r>
        <w:rPr>
          <w:rFonts w:ascii="Aptos" w:hAnsi="Aptos" w:eastAsia="Aptos"/>
          <w:b/>
          <w:sz w:val="20"/>
        </w:rPr>
        <w:t xml:space="preserve">Cross-reference: </w:t>
      </w:r>
      <w:r>
        <w:rPr>
          <w:rFonts w:ascii="Aptos" w:hAnsi="Aptos" w:eastAsia="Aptos"/>
          <w:b w:val="0"/>
          <w:sz w:val="20"/>
        </w:rPr>
        <w:t>Gap Analysis §3.2; Current-State §2.3</w:t>
      </w:r>
    </w:p>
    <w:p>
      <w:r>
        <w:rPr>
          <w:rFonts w:ascii="Aptos" w:hAnsi="Aptos" w:eastAsia="Aptos"/>
          <w:b/>
          <w:sz w:val="20"/>
        </w:rPr>
        <w:t xml:space="preserve">Status: </w:t>
      </w:r>
      <w:r>
        <w:rPr>
          <w:rFonts w:ascii="Aptos" w:hAnsi="Aptos" w:eastAsia="Aptos"/>
          <w:b w:val="0"/>
          <w:sz w:val="20"/>
        </w:rPr>
        <w:t>Open — Strategic context exists in the UP Michigan Fire Protection Market Analysis (Notion); no defensive product offering or customer-conversion plan in motion. Trade Organization Membership Plan in Notion is an adjacent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#14 — No CRM or Pipeline System (Medium)</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Customers database in EFP Job Tracking provides the foundation; full CRM/pipeline functionality follows the inspection-line and PM workstream decisions.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#15 — Declined Inspection-Adjacent Inbound Service Volume (Revenue Leakage) (Medium)</w:t>
      </w:r>
    </w:p>
    <w:p>
      <w:r>
        <w:rPr>
          <w:rFonts w:ascii="Aptos" w:hAnsi="Aptos" w:eastAsia="Aptos"/>
          <w:b/>
          <w:sz w:val="20"/>
        </w:rPr>
        <w:t xml:space="preserve">Cross-reference: </w:t>
      </w:r>
      <w:r>
        <w:rPr>
          <w:rFonts w:ascii="Aptos" w:hAnsi="Aptos" w:eastAsia="Aptos"/>
          <w:b w:val="0"/>
          <w:sz w:val="20"/>
        </w:rPr>
        <w:t>Gap Analysis §3.2; Current-State §2.2 / 2.3</w:t>
      </w:r>
    </w:p>
    <w:p>
      <w:r>
        <w:rPr>
          <w:rFonts w:ascii="Aptos" w:hAnsi="Aptos" w:eastAsia="Aptos"/>
          <w:b/>
          <w:sz w:val="20"/>
        </w:rPr>
        <w:t xml:space="preserve">Status: </w:t>
      </w:r>
      <w:r>
        <w:rPr>
          <w:rFonts w:ascii="Aptos" w:hAnsi="Aptos" w:eastAsia="Aptos"/>
          <w:b w:val="0"/>
          <w:sz w:val="20"/>
        </w:rPr>
        <w:t>Open — Measurement gap; lightweight intake-logging at the front desk would unlock the service-line decision. Sister-company fire extinguisher service concept (agent memory) is a partial defensive move.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5.3 Project Delivery &amp; Operations</w:t>
      </w:r>
    </w:p>
    <w:p>
      <w:pPr>
        <w:pStyle w:val="Heading3"/>
      </w:pPr>
      <w:r>
        <w:rPr>
          <w:rFonts w:ascii="Aptos Display" w:hAnsi="Aptos Display" w:eastAsia="Aptos Display"/>
          <w:b/>
          <w:color w:val="5B9BD5"/>
          <w:sz w:val="22"/>
        </w:rPr>
        <w:t>Finding #16 — Inspection Delivery Concentration — Single Point of Failure (Critical)</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Mitigation depends on the inspection-delivery hire decision (internal Konner promotion vs. external NFPA-25 hire); cross-training plan defined post-decision. Strategic conversation seeded on the May 11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#17 — Field-to-Office Communication Gap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rPr>
          <w:rFonts w:ascii="Aptos" w:hAnsi="Aptos" w:eastAsia="Aptos"/>
          <w:b w:val="0"/>
          <w:sz w:val="20"/>
        </w:rPr>
        <w:t>Owner: To confirm during Kevin / Justin review.</w:t>
      </w:r>
    </w:p>
    <w:p>
      <w:r>
        <w:rPr>
          <w:rFonts w:ascii="Aptos" w:hAnsi="Aptos" w:eastAsia="Aptos"/>
          <w:b w:val="0"/>
          <w:sz w:val="20"/>
        </w:rP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rPr>
          <w:rFonts w:ascii="Aptos" w:hAnsi="Aptos" w:eastAsia="Aptos"/>
          <w:b w:val="0"/>
          <w:sz w:val="20"/>
        </w:rP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rPr>
          <w:rFonts w:ascii="Aptos" w:hAnsi="Aptos" w:eastAsia="Aptos"/>
          <w:b w:val="0"/>
          <w:sz w:val="20"/>
        </w:rPr>
        <w:t>Estimated Effort: Moderate. Phase 1 is process design and adoption management; Phase 2 may require vendor selection, device policy decisions, QBO/payroll integration, and field training.</w:t>
      </w:r>
    </w:p>
    <w:p>
      <w:r>
        <w:rPr>
          <w:rFonts w:ascii="Aptos" w:hAnsi="Aptos" w:eastAsia="Aptos"/>
          <w:b w:val="0"/>
          <w:sz w:val="20"/>
        </w:rP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rPr>
          <w:rFonts w:ascii="Aptos" w:hAnsi="Aptos" w:eastAsia="Aptos"/>
          <w:b w:val="0"/>
          <w:sz w:val="20"/>
        </w:rP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rPr>
          <w:rFonts w:ascii="Aptos Display" w:hAnsi="Aptos Display" w:eastAsia="Aptos Display"/>
          <w:b/>
          <w:color w:val="5B9BD5"/>
          <w:sz w:val="22"/>
        </w:rPr>
        <w:t>Finding #18 — Safety Program (High)</w:t>
      </w:r>
    </w:p>
    <w:p>
      <w:r>
        <w:rPr>
          <w:rFonts w:ascii="Aptos" w:hAnsi="Aptos" w:eastAsia="Aptos"/>
          <w:b/>
          <w:sz w:val="20"/>
        </w:rPr>
        <w:t xml:space="preserve">Cross-reference: </w:t>
      </w:r>
      <w:r>
        <w:rPr>
          <w:rFonts w:ascii="Aptos" w:hAnsi="Aptos" w:eastAsia="Aptos"/>
          <w:b w:val="0"/>
          <w:sz w:val="20"/>
        </w:rPr>
        <w:t>Gap Analysis §3.3; Current-State §2.3 / 2.6</w:t>
      </w:r>
    </w:p>
    <w:p>
      <w:r>
        <w:rPr>
          <w:rFonts w:ascii="Aptos" w:hAnsi="Aptos" w:eastAsia="Aptos"/>
          <w:b/>
          <w:sz w:val="20"/>
        </w:rPr>
        <w:t xml:space="preserve">Status: </w:t>
      </w:r>
      <w:r>
        <w:rPr>
          <w:rFonts w:ascii="Aptos" w:hAnsi="Aptos" w:eastAsia="Aptos"/>
          <w:b w:val="0"/>
          <w:sz w:val="20"/>
        </w:rPr>
        <w:t>In Flight — Under the HR agent in the modernization effort, including a standing safety calendar — the piece that's missing in the current state. New Employee Onboarding Checklist owns the at-hire MIOSHA orientation.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#19 — Project Management &amp; Subcontractor Management — GC-Seat Exposure (High)</w:t>
      </w:r>
    </w:p>
    <w:p>
      <w:r>
        <w:rPr>
          <w:rFonts w:ascii="Aptos" w:hAnsi="Aptos" w:eastAsia="Aptos"/>
          <w:b/>
          <w:sz w:val="20"/>
        </w:rPr>
        <w:t xml:space="preserve">Cross-reference: </w:t>
      </w:r>
      <w:r>
        <w:rPr>
          <w:rFonts w:ascii="Aptos" w:hAnsi="Aptos" w:eastAsia="Aptos"/>
          <w:b w:val="0"/>
          <w:sz w:val="20"/>
        </w:rPr>
        <w:t>Gap Analysis §3.3; Current-State §2.3 / 2.5</w:t>
      </w:r>
    </w:p>
    <w:p>
      <w:r>
        <w:rPr>
          <w:rFonts w:ascii="Aptos" w:hAnsi="Aptos" w:eastAsia="Aptos"/>
          <w:b/>
          <w:sz w:val="20"/>
        </w:rPr>
        <w:t xml:space="preserve">Status: </w:t>
      </w:r>
      <w:r>
        <w:rPr>
          <w:rFonts w:ascii="Aptos" w:hAnsi="Aptos" w:eastAsia="Aptos"/>
          <w:b w:val="0"/>
          <w:sz w:val="20"/>
        </w:rPr>
        <w:t>Scheduled — Kevin/Justin working session on the May 11 on-site, anchored by the EMP / Advanced Products case.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#20 — Absence of Written QA/QC Program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No modernization workstream yet; ownership question to be surfaced on the May 11 trip. The most material un-anchored High finding.</w:t>
      </w:r>
    </w:p>
    <w:p>
      <w:r>
        <w:rPr>
          <w:rFonts w:ascii="Aptos" w:hAnsi="Aptos" w:eastAsia="Aptos"/>
          <w:b/>
          <w:sz w:val="20"/>
        </w:rPr>
        <w:t xml:space="preserve">Owner: </w:t>
      </w:r>
      <w:r>
        <w:rPr>
          <w:rFonts w:ascii="Aptos" w:hAnsi="Aptos" w:eastAsia="Aptos"/>
          <w:b w:val="0"/>
          <w:sz w:val="20"/>
        </w:rPr>
        <w:t>Not yet assigned; likely Justin + Keith/Kevin initially, then inspection/project delivery owner once named.</w:t>
      </w:r>
    </w:p>
    <w:p>
      <w:r>
        <w:rPr>
          <w:rFonts w:ascii="Aptos" w:hAnsi="Aptos" w:eastAsia="Aptos"/>
          <w:b/>
          <w:sz w:val="20"/>
        </w:rPr>
        <w:t xml:space="preserve">Sequence: </w:t>
      </w:r>
      <w:r>
        <w:rPr>
          <w:rFonts w:ascii="Aptos" w:hAnsi="Aptos" w:eastAsia="Aptos"/>
          <w:b w:val="0"/>
          <w:sz w:val="20"/>
        </w:rPr>
        <w:t>Open item. Should not be overbuilt until the inspection-delivery and PM ownership decisions are clearer, but the absence of a QA/QC baseline is a High finding and needs an owner.</w:t>
      </w:r>
    </w:p>
    <w:p>
      <w:r>
        <w:rPr>
          <w:rFonts w:ascii="Aptos" w:hAnsi="Aptos" w:eastAsia="Aptos"/>
          <w:b/>
          <w:sz w:val="20"/>
        </w:rPr>
        <w:t xml:space="preserve">Success Criteria: </w:t>
      </w:r>
      <w:r>
        <w:rPr>
          <w:rFonts w:ascii="Aptos" w:hAnsi="Aptos" w:eastAsia="Aptos"/>
          <w:b w:val="0"/>
          <w:sz w:val="20"/>
        </w:rPr>
        <w:t>A written QA/QC program defines minimum review points, inspection/readiness checks, documentation artifacts, correction tracking, and accountability for install and inspection work. The program is light enough to be used by the field, not just filed.</w:t>
      </w:r>
    </w:p>
    <w:p>
      <w:r>
        <w:rPr>
          <w:rFonts w:ascii="Aptos" w:hAnsi="Aptos" w:eastAsia="Aptos"/>
          <w:b/>
          <w:sz w:val="20"/>
        </w:rPr>
        <w:t xml:space="preserve">Estimated Effort: </w:t>
      </w:r>
      <w:r>
        <w:rPr>
          <w:rFonts w:ascii="Aptos" w:hAnsi="Aptos" w:eastAsia="Aptos"/>
          <w:b w:val="0"/>
          <w:sz w:val="20"/>
        </w:rPr>
        <w:t>Moderate; best built from actual rework/callback patterns and AHJ re-trip causes rather than from a generic template.</w:t>
      </w:r>
    </w:p>
    <w:p>
      <w:r>
        <w:rPr>
          <w:rFonts w:ascii="Aptos" w:hAnsi="Aptos" w:eastAsia="Aptos"/>
          <w:b/>
          <w:sz w:val="20"/>
        </w:rPr>
        <w:t xml:space="preserve">Milestones: </w:t>
      </w:r>
      <w:r>
        <w:rPr>
          <w:rFonts w:ascii="Aptos" w:hAnsi="Aptos" w:eastAsia="Aptos"/>
          <w:b w:val="0"/>
          <w:sz w:val="20"/>
        </w:rPr>
        <w:t>May on-site: identify current informal QA checks and common failure modes. 0–90 days: name owner and define minimum QA gates. Year 1: fold QA artifacts into job tracking / permit / inspection workflows.</w:t>
      </w:r>
    </w:p>
    <w:p>
      <w:r>
        <w:rPr>
          <w:rFonts w:ascii="Aptos" w:hAnsi="Aptos" w:eastAsia="Aptos"/>
          <w:b/>
          <w:sz w:val="20"/>
        </w:rPr>
        <w:t xml:space="preserve">Open Questions: </w:t>
      </w:r>
      <w:r>
        <w:rPr>
          <w:rFonts w:ascii="Aptos" w:hAnsi="Aptos" w:eastAsia="Aptos"/>
          <w:b w:val="0"/>
          <w:sz w:val="20"/>
        </w:rPr>
        <w:t>Who owns QA/QC after Keith’s eventual transition: field lead, inspector, office PM function, or new operations manager?</w:t>
      </w:r>
    </w:p>
    <w:p>
      <w:pPr>
        <w:pStyle w:val="Heading3"/>
      </w:pPr>
      <w:r>
        <w:rPr>
          <w:rFonts w:ascii="Aptos Display" w:hAnsi="Aptos Display" w:eastAsia="Aptos Display"/>
          <w:b/>
          <w:color w:val="5B9BD5"/>
          <w:sz w:val="22"/>
        </w:rPr>
        <w:t>Finding #21 — No Defined Job Intake Data Model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In Flight — Installation Jobs and Inspection Jobs databases in EFP Job Tracking define the canonical intake data model; office adoption is the remaining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#22 — AHJ Rough-In / Final Re-Trip Cost Exposure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Permit Management Process page in Notion documents the workflow; per-trip cost exposure addressed indirectly through pre-inspection readiness improvements paired with QA/QC (Finding #20, open).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#23 — Rough-In Artifact Preparation &amp; Centralization Gap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Depends on the inspection-delivery hire and the eventual choice of ITM platform (Inspect Point or alternative); document centralization follows.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#24 — Inspection Management System Absent (No ITM Platform)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Inspection Jobs database provides interim tracking; full ITM platform adoption sequenced behind the inspection-delivery model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#25 — Fleet Maintenance Tracking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Year-1 item; vehicles themselves are well maintained, so this is a documentation and diligence-readability gap.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#26 — Inventory Management (Low)</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Low-severity item; no modernization workstream attached. Defer until inventory volume or shrink justifies the management overhead.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5.4 People &amp; Administration</w:t>
      </w:r>
    </w:p>
    <w:p>
      <w:pPr>
        <w:pStyle w:val="Heading3"/>
      </w:pPr>
      <w:r>
        <w:rPr>
          <w:rFonts w:ascii="Aptos Display" w:hAnsi="Aptos Display" w:eastAsia="Aptos Display"/>
          <w:b/>
          <w:color w:val="5B9BD5"/>
          <w:sz w:val="22"/>
        </w:rPr>
        <w:t>Finding #27 — Office Succession — Betty Retirement (Critical)</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Krissy cross-training underway; Betty-functions runbook interview scheduled for the May 11 on-site (before the May 15 retirement).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#28 — Field Workforce Recruiting &amp; Retention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#29 — IT Backup, Disaster Recovery, and Continuity Posture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Site Infrastructure Standard (SIS-003) in Notion is the architectural reference (S3 with Object Lock, cross-region replication, PostgreSQL daily backups, Git config repo, 4-hour recovery target); deployment in progress.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#30 — IT Security Posture Beyond the Email Account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IT Policies (EFP-ITP-004) and M365 Email &amp; Identity Architecture pages in Notion define the target; Bitwarden/Vaultwarden mandated for all employees with system access. Implementation tracks the SIS-003 deployment.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#31 — Cyber Insurance Gap and Property-Form Cyber-Incident Exclusion (High)</w:t>
      </w:r>
    </w:p>
    <w:p>
      <w:r>
        <w:rPr>
          <w:rFonts w:ascii="Aptos" w:hAnsi="Aptos" w:eastAsia="Aptos"/>
          <w:b/>
          <w:sz w:val="20"/>
        </w:rPr>
        <w:t xml:space="preserve">Cross-reference: </w:t>
      </w:r>
      <w:r>
        <w:rPr>
          <w:rFonts w:ascii="Aptos" w:hAnsi="Aptos" w:eastAsia="Aptos"/>
          <w:b w:val="0"/>
          <w:sz w:val="20"/>
        </w:rPr>
        <w:t>Gap Analysis §3.4; Current-State §2.1 / 2.4</w:t>
      </w:r>
    </w:p>
    <w:p>
      <w:r>
        <w:rPr>
          <w:rFonts w:ascii="Aptos" w:hAnsi="Aptos" w:eastAsia="Aptos"/>
          <w:b/>
          <w:sz w:val="20"/>
        </w:rPr>
        <w:t xml:space="preserve">Status: </w:t>
      </w:r>
      <w:r>
        <w:rPr>
          <w:rFonts w:ascii="Aptos" w:hAnsi="Aptos" w:eastAsia="Aptos"/>
          <w:b w:val="0"/>
          <w:sz w:val="20"/>
        </w:rPr>
        <w:t>In Flight — Gauthier Insurance currently quoting a cyber liability line per the IT Policies page §4.3.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#32 — Mobile Device Management &amp; Endpoint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Open — Linked to broader M365 / Intune decision per IT Policies; deferred until M365 Business Premium licensing is in place. Currently only Kevin and Keith carry Company-provided phones; all others on personal devices.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#33 — Records Retention Obligations Going Unmet (Medium)</w:t>
      </w:r>
    </w:p>
    <w:p>
      <w:r>
        <w:rPr>
          <w:rFonts w:ascii="Aptos" w:hAnsi="Aptos" w:eastAsia="Aptos"/>
          <w:b/>
          <w:sz w:val="20"/>
        </w:rPr>
        <w:t xml:space="preserve">Cross-reference: </w:t>
      </w:r>
      <w:r>
        <w:rPr>
          <w:rFonts w:ascii="Aptos" w:hAnsi="Aptos" w:eastAsia="Aptos"/>
          <w:b w:val="0"/>
          <w:sz w:val="20"/>
        </w:rPr>
        <w:t>Gap Analysis §3.4; Current-State §2.4 / 2.6</w:t>
      </w:r>
    </w:p>
    <w:p>
      <w:r>
        <w:rPr>
          <w:rFonts w:ascii="Aptos" w:hAnsi="Aptos" w:eastAsia="Aptos"/>
          <w:b/>
          <w:sz w:val="20"/>
        </w:rPr>
        <w:t xml:space="preserve">Status: </w:t>
      </w:r>
      <w:r>
        <w:rPr>
          <w:rFonts w:ascii="Aptos" w:hAnsi="Aptos" w:eastAsia="Aptos"/>
          <w:b w:val="0"/>
          <w:sz w:val="20"/>
        </w:rP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#34 — Software Inventory and Identity Management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M365 Email &amp; Identity Architecture page in Notion defines the target (named user inboxes, shared mailboxes, AI agent identity, vendor-account migration); Bitwarden as the password manager.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#35 — Hiring, Onboarding &amp; Termination Process Definition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New Employee Onboarding Checklist published in Notion covers hiring/onboarding end-to-end; termination side and broader hiring pipeline still being scoped.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#36 — HR Compliance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HR Compliance &amp; Functions Guide published in Notion covering federal, Michigan state, and Marquette local HR regulatory framework.</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5.5 Institutional Knowledge &amp; Key Relationships</w:t>
      </w:r>
    </w:p>
    <w:p>
      <w:pPr>
        <w:pStyle w:val="Heading3"/>
      </w:pPr>
      <w:r>
        <w:rPr>
          <w:rFonts w:ascii="Aptos Display" w:hAnsi="Aptos Display" w:eastAsia="Aptos Display"/>
          <w:b/>
          <w:color w:val="5B9BD5"/>
          <w:sz w:val="22"/>
        </w:rPr>
        <w:t>Finding #37 — Undocumented Owner Knowledge (Critical)</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#38 — Customer Concentration (High)</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Sequenced — Pairs with Finding #12 on the inspection-customer side and Finding #16 on the GC-seat side; MSA development sequenced behind the inspection-delivery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5.6 Regulatory &amp; Compliance</w:t>
      </w:r>
    </w:p>
    <w:p>
      <w:pPr>
        <w:pStyle w:val="Heading3"/>
      </w:pPr>
      <w:r>
        <w:rPr>
          <w:rFonts w:ascii="Aptos Display" w:hAnsi="Aptos Display" w:eastAsia="Aptos Display"/>
          <w:b/>
          <w:color w:val="5B9BD5"/>
          <w:sz w:val="22"/>
        </w:rPr>
        <w:t>Finding #39 — Michigan Unemployment Insurance Filings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Scheduled — AT&amp;C TPA assignment complete; reconstruction kickoff on the May 11 on-site.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#40 — NFPA &amp; AHJ Knowledge Concentration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documents the AHJ piece; full NFPA-25 procedural documentation sequenced behind the inspection-delivery hire (Finding #6).</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#41 — ISN / ISNetworld Prequalification Obligations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Recommend folding into the consolidated compliance / training / certification calendar that the HR agent is building under Finding #23 (Safety Program).</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#42 — Customer-Specific Compliance Tracking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Same consolidation recommendation as Finding #21 — fold into the HR agent compliance calendar.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#43 — Absence of AHJ / Fire Marshal Register (Medium)</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is the seed (state-level Michigan BCC contact (Phil Myron) documented); full register including county fire marshals pending.</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#44 — BFS / S-0440 Fire Suppression Firm Certification Continuity (Low)</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val="0"/>
          <w:sz w:val="20"/>
        </w:rPr>
        <w:t>Status: Verified / Sequenced — Excel Fire Protection Co., Inc. certificate S-0440 confirmed valid through September 2028 for categories J/K/P; continuity work remains because Kevin is the current qualifying person.</w:t>
      </w:r>
    </w:p>
    <w:p>
      <w:r>
        <w:rPr>
          <w:rFonts w:ascii="Aptos" w:hAnsi="Aptos" w:eastAsia="Aptos"/>
          <w:b w:val="0"/>
          <w:sz w:val="20"/>
        </w:rPr>
        <w:t>Owner: Justin, with Kevin input; BFS/LARA as external regulatory source.</w:t>
      </w:r>
    </w:p>
    <w:p>
      <w:r>
        <w:rPr>
          <w:rFonts w:ascii="Aptos" w:hAnsi="Aptos" w:eastAsia="Aptos"/>
          <w:b w:val="0"/>
          <w:sz w:val="20"/>
        </w:rPr>
        <w:t>Sequence: Certificate verification is complete. Next step is to map Kevin’s qualifying-person role, confirm BFS notice/replacement requirements, and build an owner/additional-employee licensing and certification path so S-0440 continuity is not dependent on one person.</w:t>
      </w:r>
    </w:p>
    <w:p>
      <w:r>
        <w:rPr>
          <w:rFonts w:ascii="Aptos" w:hAnsi="Aptos" w:eastAsia="Aptos"/>
          <w:b w:val="0"/>
          <w:sz w:val="20"/>
        </w:rP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r>
        <w:rPr>
          <w:rFonts w:ascii="Aptos" w:hAnsi="Aptos" w:eastAsia="Aptos"/>
          <w:b w:val="0"/>
          <w:sz w:val="20"/>
        </w:rPr>
        <w:t>Estimated Effort: Moderate; mostly requirements research, LARA/BFS correspondence, application/exam planning, and internal candidate development.</w:t>
      </w:r>
    </w:p>
    <w:p>
      <w:r>
        <w:rPr>
          <w:rFonts w:ascii="Aptos" w:hAnsi="Aptos" w:eastAsia="Aptos"/>
          <w:b w:val="0"/>
          <w:sz w:val="20"/>
        </w:rPr>
        <w:t>Milestones: May 2026: capture certificate and Kevin qualifying-person facts. 0–90 days: confirm Justin licensing/experience-waiver path and BFS qualifying-person requirements. Year 1: begin execution of owner/backup certification plan.</w:t>
      </w:r>
    </w:p>
    <w:p>
      <w:r>
        <w:rPr>
          <w:rFonts w:ascii="Aptos" w:hAnsi="Aptos" w:eastAsia="Aptos"/>
          <w:b w:val="0"/>
          <w:sz w:val="20"/>
        </w:rP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pPr>
        <w:pStyle w:val="Heading1"/>
      </w:pPr>
      <w:r>
        <w:rPr>
          <w:rFonts w:ascii="Aptos Display" w:hAnsi="Aptos Display" w:eastAsia="Aptos Display"/>
          <w:b/>
          <w:color w:val="1F4E79"/>
          <w:sz w:val="28"/>
        </w:rPr>
        <w:t>6. Items Not Yet Scoped</w:t>
      </w:r>
    </w:p>
    <w:p>
      <w:r>
        <w:rPr>
          <w:rFonts w:ascii="Aptos" w:hAnsi="Aptos" w:eastAsia="Aptos"/>
          <w:b w:val="0"/>
          <w:sz w:val="20"/>
        </w:rP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Decision trigger</w:t>
            </w:r>
          </w:p>
        </w:tc>
      </w:tr>
      <w:tr>
        <w:tc>
          <w:tcPr>
            <w:tcW w:type="dxa" w:w="2556"/>
            <w:vAlign w:val="top"/>
          </w:tcPr>
          <w:p>
            <w:pPr>
              <w:spacing w:after="40"/>
            </w:pPr>
            <w:r>
              <w:rPr>
                <w:sz w:val="17"/>
              </w:rPr>
            </w:r>
            <w:r>
              <w:rPr>
                <w:b w:val="0"/>
                <w:sz w:val="17"/>
              </w:rPr>
              <w:t>#4</w:t>
            </w:r>
          </w:p>
        </w:tc>
        <w:tc>
          <w:tcPr>
            <w:tcW w:type="dxa" w:w="2556"/>
            <w:vAlign w:val="top"/>
          </w:tcPr>
          <w:p>
            <w:pPr>
              <w:spacing w:after="40"/>
            </w:pPr>
            <w:r>
              <w:rPr>
                <w:sz w:val="17"/>
              </w:rPr>
            </w:r>
            <w:r>
              <w:rPr>
                <w:b w:val="0"/>
                <w:sz w:val="17"/>
              </w:rPr>
              <w:t>Stale Accounts Receivable</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#5</w:t>
            </w:r>
          </w:p>
        </w:tc>
        <w:tc>
          <w:tcPr>
            <w:tcW w:type="dxa" w:w="2556"/>
            <w:vAlign w:val="top"/>
          </w:tcPr>
          <w:p>
            <w:pPr>
              <w:spacing w:after="40"/>
            </w:pPr>
            <w:r>
              <w:rPr>
                <w:sz w:val="17"/>
              </w:rPr>
            </w:r>
            <w:r>
              <w:rPr>
                <w:b w:val="0"/>
                <w:sz w:val="17"/>
              </w:rPr>
              <w:t>Chart of Accounts — Expense-Side Structure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#6</w:t>
            </w:r>
          </w:p>
        </w:tc>
        <w:tc>
          <w:tcPr>
            <w:tcW w:type="dxa" w:w="2556"/>
            <w:vAlign w:val="top"/>
          </w:tcPr>
          <w:p>
            <w:pPr>
              <w:spacing w:after="40"/>
            </w:pPr>
            <w:r>
              <w:rPr>
                <w:sz w:val="17"/>
              </w:rPr>
            </w:r>
            <w:r>
              <w:rPr>
                <w:b w:val="0"/>
                <w:sz w:val="17"/>
              </w:rPr>
              <w:t>Revenue-Side Segmentation</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#9</w:t>
            </w:r>
          </w:p>
        </w:tc>
        <w:tc>
          <w:tcPr>
            <w:tcW w:type="dxa" w:w="2556"/>
            <w:vAlign w:val="top"/>
          </w:tcPr>
          <w:p>
            <w:pPr>
              <w:spacing w:after="40"/>
            </w:pPr>
            <w:r>
              <w:rPr>
                <w:sz w:val="17"/>
              </w:rPr>
            </w:r>
            <w:r>
              <w:rPr>
                <w:b w:val="0"/>
                <w:sz w:val="17"/>
              </w:rPr>
              <w:t>Certificate of Insurance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#10</w:t>
            </w:r>
          </w:p>
        </w:tc>
        <w:tc>
          <w:tcPr>
            <w:tcW w:type="dxa" w:w="2556"/>
            <w:vAlign w:val="top"/>
          </w:tcPr>
          <w:p>
            <w:pPr>
              <w:spacing w:after="40"/>
            </w:pPr>
            <w:r>
              <w:rPr>
                <w:sz w:val="17"/>
              </w:rPr>
            </w:r>
            <w:r>
              <w:rPr>
                <w:b w:val="0"/>
                <w:sz w:val="17"/>
              </w:rPr>
              <w:t>Budgeting, Forecasting &amp; Management Reporting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#13</w:t>
            </w:r>
          </w:p>
        </w:tc>
        <w:tc>
          <w:tcPr>
            <w:tcW w:type="dxa" w:w="2556"/>
            <w:vAlign w:val="top"/>
          </w:tcPr>
          <w:p>
            <w:pPr>
              <w:spacing w:after="40"/>
            </w:pPr>
            <w:r>
              <w:rPr>
                <w:sz w:val="17"/>
              </w:rPr>
            </w:r>
            <w:r>
              <w:rPr>
                <w:b w:val="0"/>
                <w:sz w:val="17"/>
              </w:rPr>
              <w:t>Declining Inspection Volume &amp; Competitive Consolidation Risk</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#15</w:t>
            </w:r>
          </w:p>
        </w:tc>
        <w:tc>
          <w:tcPr>
            <w:tcW w:type="dxa" w:w="2556"/>
            <w:vAlign w:val="top"/>
          </w:tcPr>
          <w:p>
            <w:pPr>
              <w:spacing w:after="40"/>
            </w:pPr>
            <w:r>
              <w:rPr>
                <w:sz w:val="17"/>
              </w:rPr>
            </w:r>
            <w:r>
              <w:rPr>
                <w:b w:val="0"/>
                <w:sz w:val="17"/>
              </w:rPr>
              <w:t>Declined Inspection-Adjacent Inbound Service Volume (Revenue Leakage)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#20</w:t>
            </w:r>
          </w:p>
        </w:tc>
        <w:tc>
          <w:tcPr>
            <w:tcW w:type="dxa" w:w="2556"/>
            <w:vAlign w:val="top"/>
          </w:tcPr>
          <w:p>
            <w:pPr>
              <w:spacing w:after="40"/>
            </w:pPr>
            <w:r>
              <w:rPr>
                <w:sz w:val="17"/>
              </w:rPr>
            </w:r>
            <w:r>
              <w:rPr>
                <w:b w:val="0"/>
                <w:sz w:val="17"/>
              </w:rPr>
              <w:t>Absence of Written QA/QC Program</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QA/QC ownership after the field-leadership / inspection-delivery discussion.</w:t>
            </w:r>
          </w:p>
        </w:tc>
      </w:tr>
      <w:tr>
        <w:tc>
          <w:tcPr>
            <w:tcW w:type="dxa" w:w="2556"/>
            <w:vAlign w:val="top"/>
          </w:tcPr>
          <w:p>
            <w:pPr>
              <w:spacing w:after="40"/>
            </w:pPr>
            <w:r>
              <w:rPr>
                <w:sz w:val="17"/>
              </w:rPr>
            </w:r>
            <w:r>
              <w:rPr>
                <w:b w:val="0"/>
                <w:sz w:val="17"/>
              </w:rPr>
              <w:t>#25</w:t>
            </w:r>
          </w:p>
        </w:tc>
        <w:tc>
          <w:tcPr>
            <w:tcW w:type="dxa" w:w="2556"/>
            <w:vAlign w:val="top"/>
          </w:tcPr>
          <w:p>
            <w:pPr>
              <w:spacing w:after="40"/>
            </w:pPr>
            <w:r>
              <w:rPr>
                <w:sz w:val="17"/>
              </w:rPr>
            </w:r>
            <w:r>
              <w:rPr>
                <w:b w:val="0"/>
                <w:sz w:val="17"/>
              </w:rPr>
              <w:t>Fleet Maintenance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#26</w:t>
            </w:r>
          </w:p>
        </w:tc>
        <w:tc>
          <w:tcPr>
            <w:tcW w:type="dxa" w:w="2556"/>
            <w:vAlign w:val="top"/>
          </w:tcPr>
          <w:p>
            <w:pPr>
              <w:spacing w:after="40"/>
            </w:pPr>
            <w:r>
              <w:rPr>
                <w:sz w:val="17"/>
              </w:rPr>
            </w:r>
            <w:r>
              <w:rPr>
                <w:b w:val="0"/>
                <w:sz w:val="17"/>
              </w:rPr>
              <w:t>Inventory Management</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#32</w:t>
            </w:r>
          </w:p>
        </w:tc>
        <w:tc>
          <w:tcPr>
            <w:tcW w:type="dxa" w:w="2556"/>
            <w:vAlign w:val="top"/>
          </w:tcPr>
          <w:p>
            <w:pPr>
              <w:spacing w:after="40"/>
            </w:pPr>
            <w:r>
              <w:rPr>
                <w:sz w:val="17"/>
              </w:rPr>
            </w:r>
            <w:r>
              <w:rPr>
                <w:b w:val="0"/>
                <w:sz w:val="17"/>
              </w:rPr>
              <w:t>Mobile Device Management &amp; Endpoint Posture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#41</w:t>
            </w:r>
          </w:p>
        </w:tc>
        <w:tc>
          <w:tcPr>
            <w:tcW w:type="dxa" w:w="2556"/>
            <w:vAlign w:val="top"/>
          </w:tcPr>
          <w:p>
            <w:pPr>
              <w:spacing w:after="40"/>
            </w:pPr>
            <w:r>
              <w:rPr>
                <w:sz w:val="17"/>
              </w:rPr>
            </w:r>
            <w:r>
              <w:rPr>
                <w:b w:val="0"/>
                <w:sz w:val="17"/>
              </w:rPr>
              <w:t>ISN / ISNetworld Prequalification Obligations</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r>
        <w:tc>
          <w:tcPr>
            <w:tcW w:type="dxa" w:w="2556"/>
            <w:vAlign w:val="top"/>
          </w:tcPr>
          <w:p>
            <w:pPr>
              <w:spacing w:after="40"/>
            </w:pPr>
            <w:r>
              <w:rPr>
                <w:sz w:val="17"/>
              </w:rPr>
            </w:r>
            <w:r>
              <w:rPr>
                <w:b w:val="0"/>
                <w:sz w:val="17"/>
              </w:rPr>
              <w:t>#42</w:t>
            </w:r>
          </w:p>
        </w:tc>
        <w:tc>
          <w:tcPr>
            <w:tcW w:type="dxa" w:w="2556"/>
            <w:vAlign w:val="top"/>
          </w:tcPr>
          <w:p>
            <w:pPr>
              <w:spacing w:after="40"/>
            </w:pPr>
            <w:r>
              <w:rPr>
                <w:sz w:val="17"/>
              </w:rPr>
            </w:r>
            <w:r>
              <w:rPr>
                <w:b w:val="0"/>
                <w:sz w:val="17"/>
              </w:rPr>
              <w:t>Customer-Specific Compliance Tracking</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bl>
    <w:p>
      <w:pPr>
        <w:pStyle w:val="Heading1"/>
      </w:pPr>
      <w:r>
        <w:rPr>
          <w:rFonts w:ascii="Aptos Display" w:hAnsi="Aptos Display" w:eastAsia="Aptos Display"/>
          <w:b/>
          <w:color w:val="1F4E79"/>
          <w:sz w:val="28"/>
        </w:rPr>
        <w:t>7. Out-of-Scope Items</w:t>
      </w:r>
    </w:p>
    <w:p>
      <w:r>
        <w:rPr>
          <w:rFonts w:ascii="Aptos" w:hAnsi="Aptos" w:eastAsia="Aptos"/>
          <w:b w:val="0"/>
          <w:sz w:val="20"/>
        </w:rPr>
        <w:t>The modernization plan should not become a catch-all business plan. The items below may matter strategically, but they should be tracked separately unless they directly remediate a gap-analysis finding.</w:t>
      </w:r>
    </w:p>
    <w:p>
      <w:pPr>
        <w:pStyle w:val="ListBullet"/>
      </w:pPr>
      <w:r>
        <w:rPr>
          <w:rFonts w:ascii="Aptos" w:hAnsi="Aptos" w:eastAsia="Aptos"/>
          <w:b w:val="0"/>
          <w:sz w:val="20"/>
        </w:rPr>
        <w:t>New product-line investigations not tied to an identified gap.</w:t>
      </w:r>
    </w:p>
    <w:p>
      <w:pPr>
        <w:pStyle w:val="ListBullet"/>
      </w:pPr>
      <w:r>
        <w:rPr>
          <w:rFonts w:ascii="Aptos" w:hAnsi="Aptos" w:eastAsia="Aptos"/>
          <w:b w:val="0"/>
          <w:sz w:val="20"/>
        </w:rPr>
        <w:t>Marquette warehouse / facility expansion options except where required for document retention, backup, or operations continuity.</w:t>
      </w:r>
    </w:p>
    <w:p>
      <w:pPr>
        <w:pStyle w:val="ListBullet"/>
      </w:pPr>
      <w:r>
        <w:rPr>
          <w:rFonts w:ascii="Aptos" w:hAnsi="Aptos" w:eastAsia="Aptos"/>
          <w:b w:val="0"/>
          <w:sz w:val="20"/>
        </w:rPr>
        <w:t>Sister-company concepts such as extinguisher service unless Justin chooses to tie them to declined inspection-adjacent inbound demand.</w:t>
      </w:r>
    </w:p>
    <w:p>
      <w:pPr>
        <w:pStyle w:val="ListBullet"/>
      </w:pPr>
      <w:r>
        <w:rPr>
          <w:rFonts w:ascii="Aptos" w:hAnsi="Aptos" w:eastAsia="Aptos"/>
          <w:b w:val="0"/>
          <w:sz w:val="20"/>
        </w:rPr>
        <w:t>Long-range M&amp;A / buyer-readiness positioning beyond maintaining the gap analysis as a dated diagnostic artifact.</w:t>
      </w:r>
    </w:p>
    <w:p>
      <w:r>
        <w:rPr>
          <w:rFonts w:ascii="Aptos" w:hAnsi="Aptos" w:eastAsia="Aptos"/>
          <w:b w:val="0"/>
          <w:sz w:val="20"/>
        </w:rPr>
        <w:t>Drafting note: This draft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