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Value Creation Board Report</w:t>
      </w:r>
    </w:p>
    <w:p>
      <w:pPr>
        <w:pStyle w:val="Heading1"/>
      </w:pPr>
      <w:r>
        <w:t>1. Executive Summary</w:t>
      </w:r>
    </w:p>
    <w:p>
      <w:r>
        <w:t>Programme status, headline value, key movements this quarter.</w:t>
      </w:r>
    </w:p>
    <w:p>
      <w:pPr>
        <w:pStyle w:val="Heading1"/>
      </w:pPr>
      <w:r>
        <w:t>2. Programme Health &amp; RAG</w:t>
      </w:r>
    </w:p>
    <w:p>
      <w:r>
        <w:t>Initiative count, RAG breakdown, on-track and on-time delivery.</w:t>
      </w:r>
    </w:p>
    <w:p>
      <w:pPr>
        <w:pStyle w:val="Heading1"/>
      </w:pPr>
      <w:r>
        <w:t>3. Value Realisation</w:t>
      </w:r>
    </w:p>
    <w:p>
      <w:r>
        <w:t>Realised vs target by value category (EBITDA, cost savings, revenue, synergy).</w:t>
      </w:r>
    </w:p>
    <w:p>
      <w:pPr>
        <w:pStyle w:val="Heading1"/>
      </w:pPr>
      <w:r>
        <w:t>4. Initiative Highlights</w:t>
      </w:r>
    </w:p>
    <w:p>
      <w:r>
        <w:t>Progress and value by workstream and AI use case.</w:t>
      </w:r>
    </w:p>
    <w:p>
      <w:pPr>
        <w:pStyle w:val="Heading1"/>
      </w:pPr>
      <w:r>
        <w:t>5. Key Risks &amp; Mitigations</w:t>
      </w:r>
    </w:p>
    <w:p>
      <w:r>
        <w:t>Top risks by probability × impact with mitigating actions.</w:t>
      </w:r>
    </w:p>
    <w:p>
      <w:pPr>
        <w:pStyle w:val="Heading1"/>
      </w:pPr>
      <w:r>
        <w:t>6. Priorities for Next Quarter</w:t>
      </w:r>
    </w:p>
    <w:p>
      <w:r>
        <w:t>Focus areas and decisions required from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