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0"/>
        <w:gridCol w:w="2938"/>
      </w:tblGrid>
      <w:tr w:rsidR="00EC26DE" w14:paraId="7285E95C" w14:textId="77777777">
        <w:tblPrEx>
          <w:tblCellMar>
            <w:top w:w="0" w:type="dxa"/>
            <w:bottom w:w="0" w:type="dxa"/>
          </w:tblCellMar>
        </w:tblPrEx>
        <w:tc>
          <w:tcPr>
            <w:tcW w:w="6700" w:type="dxa"/>
            <w:shd w:val="clear" w:color="auto" w:fill="1F4E79"/>
            <w:tcMar>
              <w:top w:w="260" w:type="dxa"/>
              <w:left w:w="400" w:type="dxa"/>
              <w:bottom w:w="260" w:type="dxa"/>
              <w:right w:w="240" w:type="dxa"/>
            </w:tcMar>
          </w:tcPr>
          <w:p w14:paraId="19A249D2" w14:textId="77777777" w:rsidR="00EC26DE" w:rsidRDefault="00000000">
            <w:pPr>
              <w:spacing w:after="60"/>
            </w:pPr>
            <w:r>
              <w:rPr>
                <w:b/>
                <w:bCs/>
                <w:color w:val="FFFFFF"/>
                <w:sz w:val="25"/>
                <w:szCs w:val="25"/>
              </w:rPr>
              <w:t>SHARIAH-COMPLIANT INSTRUMENTS</w:t>
            </w:r>
          </w:p>
          <w:p w14:paraId="01F6BD35" w14:textId="77777777" w:rsidR="00EC26DE" w:rsidRDefault="00000000">
            <w:pPr>
              <w:spacing w:after="40"/>
            </w:pPr>
            <w:r>
              <w:rPr>
                <w:i/>
                <w:iCs/>
                <w:color w:val="BDD7EE"/>
                <w:sz w:val="18"/>
                <w:szCs w:val="18"/>
              </w:rPr>
              <w:t>Built on Uzbekistan’s Verified Invoice Infrastructure</w:t>
            </w:r>
          </w:p>
          <w:p w14:paraId="71C54B67" w14:textId="77777777" w:rsidR="00EC26DE" w:rsidRDefault="00000000">
            <w:r>
              <w:rPr>
                <w:color w:val="9EC8E8"/>
                <w:sz w:val="16"/>
                <w:szCs w:val="16"/>
              </w:rPr>
              <w:t>A product roadmap for Universalbank — targeting Dubai / DIFC investors</w:t>
            </w:r>
          </w:p>
        </w:tc>
        <w:tc>
          <w:tcPr>
            <w:tcW w:w="2938" w:type="dxa"/>
            <w:shd w:val="clear" w:color="auto" w:fill="B8860B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8EAB49E" w14:textId="77777777" w:rsidR="00EC26DE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بسم الله</w:t>
            </w:r>
          </w:p>
          <w:p w14:paraId="1F1FE818" w14:textId="77777777" w:rsidR="00EC26DE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Registan Capital</w:t>
            </w:r>
          </w:p>
          <w:p w14:paraId="26179A44" w14:textId="77777777" w:rsidR="00EC26DE" w:rsidRDefault="00000000">
            <w:pPr>
              <w:jc w:val="center"/>
            </w:pPr>
            <w:r>
              <w:rPr>
                <w:i/>
                <w:iCs/>
                <w:color w:val="FFE082"/>
                <w:sz w:val="15"/>
                <w:szCs w:val="15"/>
              </w:rPr>
              <w:t>factorfinance.org</w:t>
            </w:r>
          </w:p>
        </w:tc>
      </w:tr>
    </w:tbl>
    <w:p w14:paraId="16565347" w14:textId="77777777" w:rsidR="00EC26DE" w:rsidRDefault="00EC26DE">
      <w:pPr>
        <w:spacing w:before="180"/>
      </w:pPr>
    </w:p>
    <w:p w14:paraId="08C59128" w14:textId="77777777" w:rsidR="00EC26DE" w:rsidRDefault="00000000">
      <w:pPr>
        <w:spacing w:after="160"/>
      </w:pPr>
      <w:r>
        <w:t>Universalbank’s white-label factoring platform generates a pool of government-verified, short-tenor trade receivables every day. This document sets out how that asset pool can be packaged into Shariah-compliant financial instruments and distributed to Islamic investors in Dubai and the broader Gulf — creating a new, scalable source of foreign capital for Uzbekistan’s SME sector.</w:t>
      </w:r>
    </w:p>
    <w:p w14:paraId="1E5E4E27" w14:textId="77777777" w:rsidR="00EC26DE" w:rsidRDefault="00000000">
      <w:pPr>
        <w:pBdr>
          <w:bottom w:val="single" w:sz="6" w:space="3" w:color="2E75B6"/>
        </w:pBdr>
        <w:spacing w:before="280" w:after="100"/>
      </w:pPr>
      <w:r>
        <w:rPr>
          <w:b/>
          <w:bCs/>
          <w:color w:val="1F4E79"/>
          <w:sz w:val="23"/>
          <w:szCs w:val="23"/>
        </w:rPr>
        <w:t>1.  The Opportunity</w:t>
      </w:r>
    </w:p>
    <w:p w14:paraId="22E8DE80" w14:textId="77777777" w:rsidR="00EC26DE" w:rsidRDefault="00000000">
      <w:pPr>
        <w:spacing w:after="140"/>
      </w:pPr>
      <w:r>
        <w:t>Uzbekistan’s digital invoice infrastructure (SoliqOnline / Didox) has accidentally created the ideal foundation for Islamic trade finance. Every B2B invoice is government-validated, buyer-confirmed on official record, and automatically archived — providing the asset-backed, real-goods-transaction evidence that AAOIFI Shariah standards require and that most emerging markets cannot demonstrate.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1"/>
        <w:gridCol w:w="2436"/>
        <w:gridCol w:w="2759"/>
        <w:gridCol w:w="1982"/>
      </w:tblGrid>
      <w:tr w:rsidR="00EC26DE" w14:paraId="4895E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AAC8E0B" w14:textId="77777777" w:rsidR="00EC26D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$3.5 trillion</w:t>
            </w:r>
          </w:p>
          <w:p w14:paraId="28D22905" w14:textId="77777777" w:rsidR="00EC26DE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Global Islamic finance assets (2025)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17C634F" w14:textId="77777777" w:rsidR="00EC26D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20–30%</w:t>
            </w:r>
          </w:p>
          <w:p w14:paraId="3BFA93E8" w14:textId="77777777" w:rsidR="00EC26DE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Annualised yield on Uzbek invoices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7090CB1" w14:textId="77777777" w:rsidR="00EC26D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$2 billion</w:t>
            </w:r>
          </w:p>
          <w:p w14:paraId="51389ADF" w14:textId="77777777" w:rsidR="00EC26DE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Uzbekistan addressable factoring market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39A3C2D" w14:textId="77777777" w:rsidR="00EC26D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&lt;2.5%</w:t>
            </w:r>
          </w:p>
          <w:p w14:paraId="4F0331AF" w14:textId="77777777" w:rsidR="00EC26DE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Current market penetration</w:t>
            </w:r>
          </w:p>
        </w:tc>
      </w:tr>
    </w:tbl>
    <w:p w14:paraId="3AE2DC41" w14:textId="77777777" w:rsidR="00EC26DE" w:rsidRDefault="00EC26DE">
      <w:pPr>
        <w:spacing w:before="16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9"/>
        <w:gridCol w:w="4879"/>
      </w:tblGrid>
      <w:tr w:rsidR="00EC26DE" w14:paraId="09DCEF2D" w14:textId="77777777">
        <w:tblPrEx>
          <w:tblCellMar>
            <w:top w:w="0" w:type="dxa"/>
            <w:bottom w:w="0" w:type="dxa"/>
          </w:tblCellMar>
        </w:tblPrEx>
        <w:tc>
          <w:tcPr>
            <w:tcW w:w="47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C2887E0" w14:textId="77777777" w:rsidR="00EC26DE" w:rsidRDefault="00000000">
            <w:pPr>
              <w:spacing w:after="70"/>
            </w:pPr>
            <w:r>
              <w:rPr>
                <w:b/>
                <w:bCs/>
                <w:color w:val="C9503A"/>
                <w:sz w:val="19"/>
                <w:szCs w:val="19"/>
              </w:rPr>
              <w:t>The Shariah Problem with Conventional Factoring</w:t>
            </w:r>
          </w:p>
          <w:p w14:paraId="29F1632F" w14:textId="77777777" w:rsidR="00EC26DE" w:rsidRDefault="00000000">
            <w:r>
              <w:rPr>
                <w:sz w:val="19"/>
                <w:szCs w:val="19"/>
              </w:rPr>
              <w:t xml:space="preserve">Standard factoring buys a receivable (a debt) at a discount. Under Shariah, this is </w:t>
            </w:r>
            <w:r>
              <w:rPr>
                <w:i/>
                <w:iCs/>
                <w:sz w:val="19"/>
                <w:szCs w:val="19"/>
              </w:rPr>
              <w:t>bay’ al-dayn</w:t>
            </w:r>
            <w:r>
              <w:rPr>
                <w:sz w:val="19"/>
                <w:szCs w:val="19"/>
              </w:rPr>
              <w:t xml:space="preserve"> — selling a debt below face value — which is prohibited as a form of riba (interest). The structure must be reengineered, not cosmetically adjusted.</w:t>
            </w:r>
          </w:p>
        </w:tc>
        <w:tc>
          <w:tcPr>
            <w:tcW w:w="4879" w:type="dxa"/>
            <w:tcBorders>
              <w:top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160" w:type="dxa"/>
              <w:left w:w="160" w:type="dxa"/>
              <w:bottom w:w="160" w:type="dxa"/>
              <w:right w:w="200" w:type="dxa"/>
            </w:tcMar>
          </w:tcPr>
          <w:p w14:paraId="2C76CE81" w14:textId="77777777" w:rsidR="00EC26DE" w:rsidRDefault="00000000">
            <w:pPr>
              <w:spacing w:after="70"/>
            </w:pPr>
            <w:r>
              <w:rPr>
                <w:b/>
                <w:bCs/>
                <w:color w:val="276827"/>
                <w:sz w:val="19"/>
                <w:szCs w:val="19"/>
              </w:rPr>
              <w:t>Why Uzbekistan’s Infrastructure Is the Solution</w:t>
            </w:r>
          </w:p>
          <w:p w14:paraId="64DCE8D4" w14:textId="77777777" w:rsidR="00EC26DE" w:rsidRDefault="00000000">
            <w:r>
              <w:rPr>
                <w:color w:val="276827"/>
                <w:sz w:val="19"/>
                <w:szCs w:val="19"/>
              </w:rPr>
              <w:t>SoliqOnline provides government-verified evidence of the underlying goods transaction — exactly what AAOIFI standards require (physical existence of commodities, genuine ownership transfer). Most markets cannot prove this. Uzbekistan’s mandatory e-invoicing makes it automatic.</w:t>
            </w:r>
          </w:p>
        </w:tc>
      </w:tr>
    </w:tbl>
    <w:p w14:paraId="7BD042DF" w14:textId="77777777" w:rsidR="00EC26DE" w:rsidRDefault="00EC26DE">
      <w:pPr>
        <w:spacing w:before="180"/>
      </w:pPr>
    </w:p>
    <w:p w14:paraId="7FA267AF" w14:textId="77777777" w:rsidR="00EC26DE" w:rsidRDefault="00000000">
      <w:pPr>
        <w:pBdr>
          <w:bottom w:val="single" w:sz="6" w:space="3" w:color="2E75B6"/>
        </w:pBdr>
        <w:spacing w:before="280" w:after="100"/>
      </w:pPr>
      <w:r>
        <w:rPr>
          <w:b/>
          <w:bCs/>
          <w:color w:val="1F4E79"/>
          <w:sz w:val="23"/>
          <w:szCs w:val="23"/>
        </w:rPr>
        <w:t>2.  The Four Instruments</w:t>
      </w:r>
    </w:p>
    <w:p w14:paraId="14709C63" w14:textId="77777777" w:rsidR="00EC26DE" w:rsidRDefault="00000000">
      <w:pPr>
        <w:spacing w:after="160"/>
      </w:pPr>
      <w:r>
        <w:t>Four Shariah-compliant structures can be built on top of the factoring platform, ranging from a simple pilot to a publicly issued Sukuk. They are not mutually exclusive — the recommended path is to execute them in sequence.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C26DE" w14:paraId="110C0D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0" w:space="0" w:color="005F6B"/>
              <w:left w:val="single" w:sz="10" w:space="0" w:color="005F6B"/>
              <w:bottom w:val="single" w:sz="10" w:space="0" w:color="005F6B"/>
              <w:right w:val="single" w:sz="10" w:space="0" w:color="005F6B"/>
            </w:tcBorders>
            <w:shd w:val="clear" w:color="auto" w:fill="E0F4F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F2C4686" w14:textId="77777777" w:rsidR="00EC26DE" w:rsidRDefault="00000000">
            <w:pPr>
              <w:spacing w:after="60"/>
            </w:pPr>
            <w:r>
              <w:rPr>
                <w:b/>
                <w:bCs/>
                <w:color w:val="005F6B"/>
                <w:sz w:val="17"/>
                <w:szCs w:val="17"/>
              </w:rPr>
              <w:t xml:space="preserve">01  </w:t>
            </w:r>
            <w:r>
              <w:rPr>
                <w:b/>
                <w:bCs/>
                <w:color w:val="005F6B"/>
                <w:sz w:val="22"/>
                <w:szCs w:val="22"/>
              </w:rPr>
              <w:t>Murabaha-Based Supply Chain Finance</w:t>
            </w:r>
            <w:r>
              <w:rPr>
                <w:i/>
                <w:iCs/>
                <w:color w:val="005F6B"/>
              </w:rPr>
              <w:t xml:space="preserve">   (Bai’ al-Murabaha)</w:t>
            </w:r>
          </w:p>
          <w:p w14:paraId="209A643D" w14:textId="77777777" w:rsidR="00EC26DE" w:rsidRDefault="00000000">
            <w:pPr>
              <w:spacing w:after="100"/>
            </w:pPr>
            <w:r>
              <w:t>The simplest and fastest instrument to deploy. Instead of buying a receivable at a discount (prohibited), the bank restructures the transaction as a cost-plus sale: it purchases the goods underlying the invoice from the supplier at cost, then sells them to the buyer at a disclosed mark-up payable on the invoice due date. The supplier receives immediate liquidity; the bank earns a profit margin; the investor funds the purchase leg and earns the mark-up.</w:t>
            </w:r>
          </w:p>
          <w:p w14:paraId="5E043EAB" w14:textId="77777777" w:rsidR="00EC26DE" w:rsidRDefault="00000000">
            <w:pPr>
              <w:spacing w:after="50"/>
            </w:pPr>
            <w:r>
              <w:rPr>
                <w:b/>
                <w:bCs/>
                <w:color w:val="005F6B"/>
                <w:sz w:val="19"/>
                <w:szCs w:val="19"/>
              </w:rPr>
              <w:t>Structure:</w:t>
            </w:r>
          </w:p>
          <w:p w14:paraId="63E4FD09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Supplier delivers goods/services to buyer; SoliqOnline invoice issued and buyer-confirmed</w:t>
            </w:r>
          </w:p>
          <w:p w14:paraId="62CC3715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Universalbank (as principal) purchases the receivable asset and on-sells to the buyer at a disclosed mark-up</w:t>
            </w:r>
          </w:p>
          <w:p w14:paraId="4F6A0149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Dubai investor funds the bank’s purchase leg via a participation agreement</w:t>
            </w:r>
          </w:p>
          <w:p w14:paraId="30C03380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Buyer pays full mark-up price at maturity; investor receives principal + profit; bank retains agency fee</w:t>
            </w:r>
          </w:p>
          <w:p w14:paraId="58847124" w14:textId="77777777" w:rsidR="00EC26DE" w:rsidRDefault="00000000">
            <w:pPr>
              <w:spacing w:before="80" w:after="50"/>
            </w:pPr>
            <w:r>
              <w:rPr>
                <w:b/>
                <w:bCs/>
                <w:color w:val="005F6B"/>
                <w:sz w:val="19"/>
                <w:szCs w:val="19"/>
              </w:rPr>
              <w:t>Why it works for Dubai investors:</w:t>
            </w:r>
          </w:p>
          <w:p w14:paraId="6BF56265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Yield of 5–8% per invoice in 30–90 days — far above anything available in Gulf Islamic fixed income</w:t>
            </w:r>
          </w:p>
          <w:p w14:paraId="3FCCA13F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Short duration is attractive to Gulf liquidity managers who need yield without lock-up</w:t>
            </w:r>
          </w:p>
          <w:p w14:paraId="2852BEBC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SoliqOnline evidence of the underlying goods transaction satisfies AAOIFI’s physical commodity requirement</w:t>
            </w:r>
          </w:p>
          <w:p w14:paraId="096C0BC4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Requires only a fatwa — no new fund licence or regulatory approval needed to begin</w:t>
            </w:r>
          </w:p>
        </w:tc>
      </w:tr>
    </w:tbl>
    <w:p w14:paraId="165CD9E7" w14:textId="77777777" w:rsidR="00EC26DE" w:rsidRDefault="00EC26DE">
      <w:pPr>
        <w:spacing w:before="1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C26DE" w14:paraId="0055073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0" w:space="0" w:color="276827"/>
              <w:left w:val="single" w:sz="10" w:space="0" w:color="276827"/>
              <w:bottom w:val="single" w:sz="10" w:space="0" w:color="276827"/>
              <w:right w:val="single" w:sz="10" w:space="0" w:color="276827"/>
            </w:tcBorders>
            <w:shd w:val="clear" w:color="auto" w:fill="EAF4E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3203F46" w14:textId="77777777" w:rsidR="00EC26DE" w:rsidRDefault="00000000">
            <w:pPr>
              <w:spacing w:after="60"/>
            </w:pPr>
            <w:r>
              <w:rPr>
                <w:b/>
                <w:bCs/>
                <w:color w:val="276827"/>
                <w:sz w:val="17"/>
                <w:szCs w:val="17"/>
              </w:rPr>
              <w:t xml:space="preserve">02  </w:t>
            </w:r>
            <w:r>
              <w:rPr>
                <w:b/>
                <w:bCs/>
                <w:color w:val="276827"/>
                <w:sz w:val="22"/>
                <w:szCs w:val="22"/>
              </w:rPr>
              <w:t>Wakala Investment Fund</w:t>
            </w:r>
            <w:r>
              <w:rPr>
                <w:i/>
                <w:iCs/>
                <w:color w:val="276827"/>
              </w:rPr>
              <w:t xml:space="preserve">   (Wakala bil-Istithmar)</w:t>
            </w:r>
          </w:p>
          <w:p w14:paraId="0728176E" w14:textId="77777777" w:rsidR="00EC26DE" w:rsidRDefault="00000000">
            <w:pPr>
              <w:spacing w:after="100"/>
            </w:pPr>
            <w:r>
              <w:t>The Wakala structure avoids the debt-sale prohibition entirely. The Dubai investor appoints Universalbank as their agent (wakeel) to deploy capital into a managed portfolio of Murabaha trade receivables. The investor does not buy receivables — they appoint the bank to manage their money and earn a target profit rate. Any surplus above the target return is retained by the bank as a performance incentive (ju’ala), directly aligning interests.</w:t>
            </w:r>
          </w:p>
          <w:p w14:paraId="281796E1" w14:textId="77777777" w:rsidR="00EC26DE" w:rsidRDefault="00000000">
            <w:pPr>
              <w:spacing w:after="50"/>
            </w:pPr>
            <w:r>
              <w:rPr>
                <w:b/>
                <w:bCs/>
                <w:color w:val="276827"/>
                <w:sz w:val="19"/>
                <w:szCs w:val="19"/>
              </w:rPr>
              <w:t>Structure:</w:t>
            </w:r>
          </w:p>
          <w:p w14:paraId="2C03FDE3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Dubai investor (muwakkil) signs Wakala agreement appointing Universalbank as agent</w:t>
            </w:r>
          </w:p>
          <w:p w14:paraId="302FB4FC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Bank deploys capital into SoliqOnline-verified Murabaha transactions</w:t>
            </w:r>
          </w:p>
          <w:p w14:paraId="313EFCA1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Profit is generated from the mark-up on each transaction cycle (30–90 days)</w:t>
            </w:r>
          </w:p>
          <w:p w14:paraId="586E7CD9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Bank reports portfolio performance monthly; distributes target profit; retains surplus as performance fee</w:t>
            </w:r>
          </w:p>
          <w:p w14:paraId="21B8768D" w14:textId="77777777" w:rsidR="00EC26DE" w:rsidRDefault="00000000">
            <w:pPr>
              <w:spacing w:before="80" w:after="50"/>
            </w:pPr>
            <w:r>
              <w:rPr>
                <w:b/>
                <w:bCs/>
                <w:color w:val="276827"/>
                <w:sz w:val="19"/>
                <w:szCs w:val="19"/>
              </w:rPr>
              <w:t>Why it works for Dubai investors:</w:t>
            </w:r>
          </w:p>
          <w:p w14:paraId="3CA8B59F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Structurally clean — no sale of debt; investor holds a beneficial interest in a managed portfolio</w:t>
            </w:r>
          </w:p>
          <w:p w14:paraId="2F4C69A8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Target profit rate can be set at 15–20% p.a. — exceptional by Gulf standards for short-duration product</w:t>
            </w:r>
          </w:p>
          <w:p w14:paraId="217E2428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Familiar structure to DIFC family offices and Islamic asset managers</w:t>
            </w:r>
          </w:p>
          <w:p w14:paraId="7F3DC900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Easily scaled from bilateral arrangement into a DIFC-registered open-ended fund</w:t>
            </w:r>
          </w:p>
        </w:tc>
      </w:tr>
    </w:tbl>
    <w:p w14:paraId="59030A38" w14:textId="77777777" w:rsidR="00EC26DE" w:rsidRDefault="00EC26DE">
      <w:pPr>
        <w:spacing w:before="1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C26DE" w14:paraId="2A933C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0" w:space="0" w:color="4A235A"/>
              <w:left w:val="single" w:sz="10" w:space="0" w:color="4A235A"/>
              <w:bottom w:val="single" w:sz="10" w:space="0" w:color="4A235A"/>
              <w:right w:val="single" w:sz="10" w:space="0" w:color="4A235A"/>
            </w:tcBorders>
            <w:shd w:val="clear" w:color="auto" w:fill="F3E8F9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4ABF17E" w14:textId="77777777" w:rsidR="00EC26DE" w:rsidRDefault="00000000">
            <w:pPr>
              <w:spacing w:after="6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03  </w:t>
            </w:r>
            <w:r>
              <w:rPr>
                <w:b/>
                <w:bCs/>
                <w:color w:val="4A235A"/>
                <w:sz w:val="22"/>
                <w:szCs w:val="22"/>
              </w:rPr>
              <w:t>Sukuk al-Murabaha</w:t>
            </w:r>
            <w:r>
              <w:rPr>
                <w:i/>
                <w:iCs/>
                <w:color w:val="4A235A"/>
              </w:rPr>
              <w:t xml:space="preserve">   (Islamic Trade Finance Certificates)</w:t>
            </w:r>
          </w:p>
          <w:p w14:paraId="335C4D42" w14:textId="77777777" w:rsidR="00EC26DE" w:rsidRDefault="00000000">
            <w:pPr>
              <w:spacing w:after="100"/>
            </w:pPr>
            <w:r>
              <w:t>The most publicly marketable and capital-scalable instrument. Universalbank establishes a Special Purpose Vehicle (SPV) in the DIFC or ADGM. The SPV issues Sukuk certificates — certificates of ownership representing undivided shares in a portfolio of Murabaha trade receivables. Dubai investors subscribe to the Sukuk; proceeds fund the invoice finance portfolio; periodic profit distributions are made from invoice mark-ups. This would be the first Central Asian Islamic trade finance Sukuk backed by government-verified receivables.</w:t>
            </w:r>
          </w:p>
          <w:p w14:paraId="770CB8B0" w14:textId="77777777" w:rsidR="00EC26DE" w:rsidRDefault="00000000">
            <w:pPr>
              <w:spacing w:after="50"/>
            </w:pPr>
            <w:r>
              <w:rPr>
                <w:b/>
                <w:bCs/>
                <w:color w:val="4A235A"/>
                <w:sz w:val="19"/>
                <w:szCs w:val="19"/>
              </w:rPr>
              <w:t>Structure:</w:t>
            </w:r>
          </w:p>
          <w:p w14:paraId="3E161E5D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Universalbank establishes DIFC SPV; Shariah board approves structure and issues fatwa</w:t>
            </w:r>
          </w:p>
          <w:p w14:paraId="7197BB4F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SPV issues Sukuk certificates to DIFC-registered institutional investors</w:t>
            </w:r>
          </w:p>
          <w:p w14:paraId="64F9CA9F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Proceeds flow to Universalbank as Murabaha purchase price; bank deploys into SoliqOnline invoice pool</w:t>
            </w:r>
          </w:p>
          <w:p w14:paraId="5DDF1897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Each invoice cycle generates profit; SPV distributes to Sukuk holders as periodic profit payment</w:t>
            </w:r>
          </w:p>
          <w:p w14:paraId="52BF4919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At maturity, SPV redeems certificates at face value from invoice settlement proceeds</w:t>
            </w:r>
          </w:p>
          <w:p w14:paraId="0F6421AC" w14:textId="77777777" w:rsidR="00EC26DE" w:rsidRDefault="00000000">
            <w:pPr>
              <w:spacing w:before="80" w:after="50"/>
            </w:pPr>
            <w:r>
              <w:rPr>
                <w:b/>
                <w:bCs/>
                <w:color w:val="4A235A"/>
                <w:sz w:val="19"/>
                <w:szCs w:val="19"/>
              </w:rPr>
              <w:t>Why it works for Dubai investors:</w:t>
            </w:r>
          </w:p>
          <w:p w14:paraId="0F6C71F1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Publicly listed and tradeable on NASDAQ Dubai or the London Stock Exchange’s Islamic market</w:t>
            </w:r>
          </w:p>
          <w:p w14:paraId="4E5BF5B4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Short-duration Sukuk (30–90 day rolling portfolio) is a rare and highly demanded product in the Gulf</w:t>
            </w:r>
          </w:p>
          <w:p w14:paraId="38EDDB59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Uzbek government-verified receivables as underlying assets gives credit quality transparency unmatched in most EM Sukuk</w:t>
            </w:r>
          </w:p>
          <w:p w14:paraId="1804C0D2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Positions Universalbank as a regional Islamic finance innovator — significant reputational and market value</w:t>
            </w:r>
          </w:p>
          <w:p w14:paraId="096609D1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DFSA (Dubai Financial Services Authority) has a dedicated Islamic finance regulatory framework</w:t>
            </w:r>
          </w:p>
        </w:tc>
      </w:tr>
    </w:tbl>
    <w:p w14:paraId="6D723BEB" w14:textId="77777777" w:rsidR="00EC26DE" w:rsidRDefault="00EC26DE">
      <w:pPr>
        <w:spacing w:before="1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C26DE" w14:paraId="6CD2884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0" w:space="0" w:color="B8860B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FF8E1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27197BD" w14:textId="77777777" w:rsidR="00EC26DE" w:rsidRDefault="00000000">
            <w:pPr>
              <w:spacing w:after="60"/>
            </w:pPr>
            <w:r>
              <w:rPr>
                <w:b/>
                <w:bCs/>
                <w:color w:val="B8860B"/>
                <w:sz w:val="17"/>
                <w:szCs w:val="17"/>
              </w:rPr>
              <w:t xml:space="preserve">04  </w:t>
            </w:r>
            <w:r>
              <w:rPr>
                <w:b/>
                <w:bCs/>
                <w:color w:val="B8860B"/>
                <w:sz w:val="22"/>
                <w:szCs w:val="22"/>
              </w:rPr>
              <w:t>Musharaka Partnership Fund</w:t>
            </w:r>
            <w:r>
              <w:rPr>
                <w:i/>
                <w:iCs/>
                <w:color w:val="B8860B"/>
              </w:rPr>
              <w:t xml:space="preserve">   (Profit and Loss Sharing)</w:t>
            </w:r>
          </w:p>
          <w:p w14:paraId="6AD700C1" w14:textId="77777777" w:rsidR="00EC26DE" w:rsidRDefault="00000000">
            <w:pPr>
              <w:spacing w:after="100"/>
            </w:pPr>
            <w:r>
              <w:t>The most Shariah-pure structure and the most attractive to conservative Gulf institutional investors. Universalbank and Dubai investors enter a Musharaka (partnership): investors contribute capital; the bank contributes its factoring licence, SoliqOnline infrastructure access, and existing SME client base. Profits from the factoring portfolio are shared according to a pre-agreed ratio; losses are shared proportionally. This is genuine risk-and-reward sharing, not a disguised loan.</w:t>
            </w:r>
          </w:p>
          <w:p w14:paraId="5544D6CF" w14:textId="77777777" w:rsidR="00EC26DE" w:rsidRDefault="00000000">
            <w:pPr>
              <w:spacing w:after="50"/>
            </w:pPr>
            <w:r>
              <w:rPr>
                <w:b/>
                <w:bCs/>
                <w:color w:val="B8860B"/>
                <w:sz w:val="19"/>
                <w:szCs w:val="19"/>
              </w:rPr>
              <w:t>Structure:</w:t>
            </w:r>
          </w:p>
          <w:p w14:paraId="4CF1B637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Musharaka agreement defines capital contributions, profit-sharing ratio, and governance</w:t>
            </w:r>
          </w:p>
          <w:p w14:paraId="6FE82ED9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lastRenderedPageBreak/>
              <w:t>Investors contribute USD capital; Universalbank contributes licence, access, and operational infrastructure</w:t>
            </w:r>
          </w:p>
          <w:p w14:paraId="395A36FD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Joint portfolio of Murabaha receivables is managed under Universalbank’s operational control</w:t>
            </w:r>
          </w:p>
          <w:p w14:paraId="54FC6100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Monthly profit distribution to partners; annual audit by AAOIFI-accredited Shariah board</w:t>
            </w:r>
          </w:p>
          <w:p w14:paraId="712215B6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sz w:val="19"/>
                <w:szCs w:val="19"/>
              </w:rPr>
              <w:t>Exit mechanism: investor buyout option after Year 3 at agreed valuation multiple</w:t>
            </w:r>
          </w:p>
          <w:p w14:paraId="43A7E9B8" w14:textId="77777777" w:rsidR="00EC26DE" w:rsidRDefault="00000000">
            <w:pPr>
              <w:spacing w:before="80" w:after="50"/>
            </w:pPr>
            <w:r>
              <w:rPr>
                <w:b/>
                <w:bCs/>
                <w:color w:val="B8860B"/>
                <w:sz w:val="19"/>
                <w:szCs w:val="19"/>
              </w:rPr>
              <w:t>Why it works for Dubai investors:</w:t>
            </w:r>
          </w:p>
          <w:p w14:paraId="1BBE0266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Highest Shariah authenticity — widely regarded as more Islamic than Murabaha by conservative scholars</w:t>
            </w:r>
          </w:p>
          <w:p w14:paraId="636ED2A0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Risk-sharing structure resonates strongly with Gulf sovereign wealth funds and Islamic development banks</w:t>
            </w:r>
          </w:p>
          <w:p w14:paraId="2D934095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Universalbank’s non-cash contribution (licence, infrastructure, clients) is valued as equity — reduces dilution</w:t>
            </w:r>
          </w:p>
          <w:p w14:paraId="052162A8" w14:textId="77777777" w:rsidR="00EC26DE" w:rsidRDefault="00000000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color w:val="555555"/>
                <w:sz w:val="19"/>
                <w:szCs w:val="19"/>
              </w:rPr>
              <w:t>Profit-sharing ratio negotiable; typical split 70/30 or 80/20 in favour of capital provider in early stages</w:t>
            </w:r>
          </w:p>
        </w:tc>
      </w:tr>
    </w:tbl>
    <w:p w14:paraId="63C3871A" w14:textId="77777777" w:rsidR="00EC26DE" w:rsidRDefault="00EC26DE">
      <w:pPr>
        <w:spacing w:before="240"/>
      </w:pPr>
    </w:p>
    <w:p w14:paraId="5F22D2F9" w14:textId="77777777" w:rsidR="00EC26DE" w:rsidRDefault="00000000">
      <w:pPr>
        <w:pBdr>
          <w:bottom w:val="single" w:sz="6" w:space="3" w:color="2E75B6"/>
        </w:pBdr>
        <w:spacing w:before="280" w:after="100"/>
      </w:pPr>
      <w:r>
        <w:rPr>
          <w:b/>
          <w:bCs/>
          <w:color w:val="1F4E79"/>
          <w:sz w:val="23"/>
          <w:szCs w:val="23"/>
        </w:rPr>
        <w:t>3.  Instrument Comparison</w:t>
      </w:r>
    </w:p>
    <w:p w14:paraId="56049530" w14:textId="77777777" w:rsidR="00EC26DE" w:rsidRDefault="00000000">
      <w:pPr>
        <w:spacing w:after="120"/>
      </w:pPr>
      <w:r>
        <w:t>All four instruments operate on the same underlying asset base. The choice of structure depends on investor profile, regulatory appetite, and time horizon.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50"/>
        <w:gridCol w:w="1850"/>
        <w:gridCol w:w="1850"/>
        <w:gridCol w:w="2188"/>
      </w:tblGrid>
      <w:tr w:rsidR="00EC26DE" w14:paraId="3CD1A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DC4083" w14:textId="77777777" w:rsidR="00EC26DE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5F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A38E8D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01  Murabaha SCF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682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A06A1A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02  Wakala Fund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1327BC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03  Sukuk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8860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E82B4B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04  Musharaka Fund</w:t>
            </w:r>
          </w:p>
        </w:tc>
      </w:tr>
      <w:tr w:rsidR="00EC26DE" w14:paraId="60DF52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12B4E2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Shariah purity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B21978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87E27D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08C3B4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48B89D" w14:textId="77777777" w:rsidR="00EC26DE" w:rsidRDefault="00000000">
            <w:pPr>
              <w:jc w:val="center"/>
            </w:pPr>
            <w:r>
              <w:rPr>
                <w:b/>
                <w:bCs/>
                <w:color w:val="276827"/>
                <w:sz w:val="18"/>
                <w:szCs w:val="18"/>
              </w:rPr>
              <w:t>Highest</w:t>
            </w:r>
          </w:p>
        </w:tc>
      </w:tr>
      <w:tr w:rsidR="00EC26DE" w14:paraId="755784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670F13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Complexity to structure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BA3792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Low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F2DCFD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Low–Medium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14C6FA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224255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Medium</w:t>
            </w:r>
          </w:p>
        </w:tc>
      </w:tr>
      <w:tr w:rsidR="00EC26DE" w14:paraId="36D740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8BC935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Time to market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B2D6FD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Fastest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EE6E7E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Fast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11B5A9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Slowest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72DEBA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Medium</w:t>
            </w:r>
          </w:p>
        </w:tc>
      </w:tr>
      <w:tr w:rsidR="00EC26DE" w14:paraId="31C823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C8469D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Investor appeal (Dubai)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49E8CC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Medium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74CC60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D158DD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Very High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4AF5E5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High</w:t>
            </w:r>
          </w:p>
        </w:tc>
      </w:tr>
      <w:tr w:rsidR="00EC26DE" w14:paraId="26E6C3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008F94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Capital raised per deal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910BD7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Small–Medium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80003C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Medium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95E26E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Large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1C4744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Medium–Large</w:t>
            </w:r>
          </w:p>
        </w:tc>
      </w:tr>
      <w:tr w:rsidR="00EC26DE" w14:paraId="78717D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D7E6FB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Universalbank retains control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C514E8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Full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BFED82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Full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077D46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Full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5DD998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Shared</w:t>
            </w:r>
          </w:p>
        </w:tc>
      </w:tr>
      <w:tr w:rsidR="00EC26DE" w14:paraId="25C965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D64318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Regulatory requirement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D8C98F" w14:textId="77777777" w:rsidR="00EC26DE" w:rsidRDefault="00000000">
            <w:pPr>
              <w:jc w:val="center"/>
            </w:pPr>
            <w:r>
              <w:rPr>
                <w:color w:val="276827"/>
                <w:sz w:val="18"/>
                <w:szCs w:val="18"/>
              </w:rPr>
              <w:t>Fatwa only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B944A0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Fatwa + fund licence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8A6127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Fatwa + DFSA approval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BDE365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Fatwa + fund licence</w:t>
            </w:r>
          </w:p>
        </w:tc>
      </w:tr>
      <w:tr w:rsidR="00EC26DE" w14:paraId="0CC8B3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459264" w14:textId="77777777" w:rsidR="00EC26DE" w:rsidRDefault="00000000">
            <w:r>
              <w:rPr>
                <w:b/>
                <w:bCs/>
                <w:color w:val="111111"/>
                <w:sz w:val="18"/>
                <w:szCs w:val="18"/>
              </w:rPr>
              <w:t>Best suited for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0DE737" w14:textId="77777777" w:rsidR="00EC26DE" w:rsidRDefault="00000000">
            <w:pPr>
              <w:jc w:val="center"/>
            </w:pPr>
            <w:r>
              <w:rPr>
                <w:b/>
                <w:bCs/>
                <w:color w:val="005F6B"/>
                <w:sz w:val="18"/>
                <w:szCs w:val="18"/>
              </w:rPr>
              <w:t>Pilot phase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6BD723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Family offices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8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292F5C" w14:textId="77777777" w:rsidR="00EC26DE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Institutional market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0AA780" w14:textId="77777777" w:rsidR="00EC26DE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Strategic partners</w:t>
            </w:r>
          </w:p>
        </w:tc>
      </w:tr>
    </w:tbl>
    <w:p w14:paraId="0A9AA206" w14:textId="77777777" w:rsidR="00EC26DE" w:rsidRDefault="00EC26DE">
      <w:pPr>
        <w:spacing w:before="180"/>
      </w:pPr>
    </w:p>
    <w:p w14:paraId="69466AF6" w14:textId="77777777" w:rsidR="00EC26DE" w:rsidRDefault="00000000">
      <w:pPr>
        <w:pBdr>
          <w:bottom w:val="single" w:sz="6" w:space="3" w:color="2E75B6"/>
        </w:pBdr>
        <w:spacing w:before="280" w:after="100"/>
      </w:pPr>
      <w:r>
        <w:rPr>
          <w:b/>
          <w:bCs/>
          <w:color w:val="1F4E79"/>
          <w:sz w:val="23"/>
          <w:szCs w:val="23"/>
        </w:rPr>
        <w:t>4.  Why Dubai / DIFC Is the Right Market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C26DE" w14:paraId="23CC6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8254B4" w14:textId="77777777" w:rsidR="00EC26DE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F86877" w14:textId="77777777" w:rsidR="00EC26DE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EC26DE" w14:paraId="628DC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7FBC0C" w14:textId="77777777" w:rsidR="00EC26DE" w:rsidRDefault="00000000">
            <w:r>
              <w:rPr>
                <w:b/>
                <w:bCs/>
                <w:color w:val="111111"/>
              </w:rPr>
              <w:t>Legal framework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5E1665" w14:textId="77777777" w:rsidR="00EC26DE" w:rsidRDefault="00000000">
            <w:r>
              <w:rPr>
                <w:color w:val="111111"/>
              </w:rPr>
              <w:t>UAE Commercial Transactions Law (Federal Decree-Law No. 50 of 2022, Articles 468–497) codifies Murabaha, Musharaka, Mudaraba, Wakala, and Sukuk with binding statutory precision — the most comprehensive Islamic finance codification in the region</w:t>
            </w:r>
          </w:p>
        </w:tc>
      </w:tr>
      <w:tr w:rsidR="00EC26DE" w14:paraId="4F688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53E6D8" w14:textId="77777777" w:rsidR="00EC26DE" w:rsidRDefault="00000000">
            <w:r>
              <w:rPr>
                <w:b/>
                <w:bCs/>
                <w:color w:val="111111"/>
              </w:rPr>
              <w:t>Regulatory infrastructure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CBF450" w14:textId="77777777" w:rsidR="00EC26DE" w:rsidRDefault="00000000">
            <w:r>
              <w:rPr>
                <w:color w:val="111111"/>
              </w:rPr>
              <w:t>DFSA (DIFC) and FSRA (ADGM) have dedicated Islamic finance frameworks; both recognise SPV structures for Sukuk issuance; AAOIFI standards formally adopted</w:t>
            </w:r>
          </w:p>
        </w:tc>
      </w:tr>
      <w:tr w:rsidR="00EC26DE" w14:paraId="28324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116CB6" w14:textId="77777777" w:rsidR="00EC26DE" w:rsidRDefault="00000000">
            <w:r>
              <w:rPr>
                <w:b/>
                <w:bCs/>
                <w:color w:val="111111"/>
              </w:rPr>
              <w:t>Investor demand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847967" w14:textId="77777777" w:rsidR="00EC26DE" w:rsidRDefault="00000000">
            <w:r>
              <w:rPr>
                <w:color w:val="111111"/>
              </w:rPr>
              <w:t>Dubai family offices, Islamic banks, and sovereign wealth funds actively seek short-duration, high-yield Shariah-compliant trade finance assets; Central Asian exposure is underweighted in most Gulf Islamic portfolios</w:t>
            </w:r>
          </w:p>
        </w:tc>
      </w:tr>
      <w:tr w:rsidR="00EC26DE" w14:paraId="6A6D9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883045" w14:textId="77777777" w:rsidR="00EC26DE" w:rsidRDefault="00000000">
            <w:r>
              <w:rPr>
                <w:b/>
                <w:bCs/>
                <w:color w:val="111111"/>
              </w:rPr>
              <w:lastRenderedPageBreak/>
              <w:t>Yield advantage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B08F13" w14:textId="77777777" w:rsidR="00EC26DE" w:rsidRDefault="00000000">
            <w:r>
              <w:rPr>
                <w:color w:val="111111"/>
              </w:rPr>
              <w:t>Uzbek factoring yields of 20–30% p.a. annualised compare against Gulf Islamic money market returns of 4–6% — the spread is exceptional for the risk profile, given SoliqOnline structural protections</w:t>
            </w:r>
          </w:p>
        </w:tc>
      </w:tr>
      <w:tr w:rsidR="00EC26DE" w14:paraId="2ABCC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EFB90E" w14:textId="77777777" w:rsidR="00EC26DE" w:rsidRDefault="00000000">
            <w:r>
              <w:rPr>
                <w:b/>
                <w:bCs/>
                <w:color w:val="111111"/>
              </w:rPr>
              <w:t>Diversification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9B0FDF" w14:textId="77777777" w:rsidR="00EC26DE" w:rsidRDefault="00000000">
            <w:r>
              <w:rPr>
                <w:color w:val="111111"/>
              </w:rPr>
              <w:t>Uzbek trade receivables are uncorrelated with Gulf real estate, regional equities, or oil price — a genuine diversification argument for Gulf portfolio managers</w:t>
            </w:r>
          </w:p>
        </w:tc>
      </w:tr>
      <w:tr w:rsidR="00EC26DE" w14:paraId="75C89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A91821" w14:textId="77777777" w:rsidR="00EC26DE" w:rsidRDefault="00000000">
            <w:r>
              <w:rPr>
                <w:b/>
                <w:bCs/>
                <w:color w:val="111111"/>
              </w:rPr>
              <w:t>Asset quality story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0F7A04" w14:textId="77777777" w:rsidR="00EC26DE" w:rsidRDefault="00000000">
            <w:r>
              <w:rPr>
                <w:color w:val="111111"/>
              </w:rPr>
              <w:t>Government-verified, buyer-confirmed, collateral-registered receivables — better documented than most GCC trade finance and far superior to typical EM credit products</w:t>
            </w:r>
          </w:p>
        </w:tc>
      </w:tr>
    </w:tbl>
    <w:p w14:paraId="2C7A62A7" w14:textId="77777777" w:rsidR="00EC26DE" w:rsidRDefault="00EC26DE">
      <w:pPr>
        <w:spacing w:before="200"/>
      </w:pPr>
    </w:p>
    <w:p w14:paraId="6E276453" w14:textId="77777777" w:rsidR="00EC26DE" w:rsidRDefault="00000000">
      <w:pPr>
        <w:pBdr>
          <w:bottom w:val="single" w:sz="6" w:space="3" w:color="2E75B6"/>
        </w:pBdr>
        <w:spacing w:before="280" w:after="100"/>
      </w:pPr>
      <w:r>
        <w:rPr>
          <w:b/>
          <w:bCs/>
          <w:color w:val="1F4E79"/>
          <w:sz w:val="23"/>
          <w:szCs w:val="23"/>
        </w:rPr>
        <w:t>5.  Recommended Rollout Sequence</w:t>
      </w:r>
    </w:p>
    <w:p w14:paraId="7840C52D" w14:textId="77777777" w:rsidR="00EC26DE" w:rsidRDefault="00000000">
      <w:pPr>
        <w:spacing w:after="120"/>
      </w:pPr>
      <w:r>
        <w:t>The three phases below move from simplest to most ambitious. Each phase generates the track record that makes the next phase credible to investors and regulators.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746"/>
        <w:gridCol w:w="2746"/>
        <w:gridCol w:w="2746"/>
      </w:tblGrid>
      <w:tr w:rsidR="00EC26DE" w14:paraId="7F517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D94775" w14:textId="77777777" w:rsidR="00EC26DE" w:rsidRDefault="00EC26DE"/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5F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9733F1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1 — Months 1–6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B04F42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2 — Months 6–18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DD8558" w14:textId="77777777" w:rsidR="00EC26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3 — Year 2+</w:t>
            </w:r>
          </w:p>
        </w:tc>
      </w:tr>
      <w:tr w:rsidR="00EC26DE" w14:paraId="4D7D20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48C403" w14:textId="77777777" w:rsidR="00EC26DE" w:rsidRDefault="00000000">
            <w:r>
              <w:rPr>
                <w:b/>
                <w:bCs/>
                <w:color w:val="111111"/>
              </w:rPr>
              <w:t>Instrument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948F50" w14:textId="77777777" w:rsidR="00EC26DE" w:rsidRDefault="00000000">
            <w:pPr>
              <w:jc w:val="center"/>
            </w:pPr>
            <w:r>
              <w:rPr>
                <w:color w:val="111111"/>
              </w:rPr>
              <w:t>Murabaha Supply Chain Finance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4AE361" w14:textId="77777777" w:rsidR="00EC26DE" w:rsidRDefault="00000000">
            <w:pPr>
              <w:jc w:val="center"/>
            </w:pPr>
            <w:r>
              <w:rPr>
                <w:color w:val="111111"/>
              </w:rPr>
              <w:t>Wakala Participation Fund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01C8B2" w14:textId="77777777" w:rsidR="00EC26DE" w:rsidRDefault="00000000">
            <w:pPr>
              <w:jc w:val="center"/>
            </w:pPr>
            <w:r>
              <w:rPr>
                <w:color w:val="111111"/>
              </w:rPr>
              <w:t>Sukuk al-Murabaha</w:t>
            </w:r>
          </w:p>
        </w:tc>
      </w:tr>
      <w:tr w:rsidR="00EC26DE" w14:paraId="34C770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6593F1" w14:textId="77777777" w:rsidR="00EC26DE" w:rsidRDefault="00000000">
            <w:r>
              <w:rPr>
                <w:b/>
                <w:bCs/>
                <w:color w:val="111111"/>
              </w:rPr>
              <w:t>Focus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E96EF3" w14:textId="77777777" w:rsidR="00EC26DE" w:rsidRDefault="00000000">
            <w:pPr>
              <w:jc w:val="center"/>
            </w:pPr>
            <w:r>
              <w:rPr>
                <w:color w:val="111111"/>
              </w:rPr>
              <w:t>Prove the model with Dubai family offices; first fatwa obtained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52376C" w14:textId="77777777" w:rsidR="00EC26DE" w:rsidRDefault="00000000">
            <w:pPr>
              <w:jc w:val="center"/>
            </w:pPr>
            <w:r>
              <w:rPr>
                <w:color w:val="111111"/>
              </w:rPr>
              <w:t>Formalise into a DIFC-registered fund structure; broaden investor base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24E73A" w14:textId="77777777" w:rsidR="00EC26DE" w:rsidRDefault="00000000">
            <w:pPr>
              <w:jc w:val="center"/>
            </w:pPr>
            <w:r>
              <w:rPr>
                <w:color w:val="111111"/>
              </w:rPr>
              <w:t>Public issuance; DFSA-approved; Islamic Finance News coverage</w:t>
            </w:r>
          </w:p>
        </w:tc>
      </w:tr>
      <w:tr w:rsidR="00EC26DE" w14:paraId="1469E2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2E86E2" w14:textId="77777777" w:rsidR="00EC26DE" w:rsidRDefault="00000000">
            <w:r>
              <w:rPr>
                <w:b/>
                <w:bCs/>
                <w:color w:val="111111"/>
              </w:rPr>
              <w:t>Target raise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F989E8" w14:textId="77777777" w:rsidR="00EC26DE" w:rsidRDefault="00000000">
            <w:pPr>
              <w:jc w:val="center"/>
            </w:pPr>
            <w:r>
              <w:rPr>
                <w:b/>
                <w:bCs/>
                <w:color w:val="005F6B"/>
              </w:rPr>
              <w:t>$2–5M pilot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2C6225" w14:textId="77777777" w:rsidR="00EC26D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$10–30M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8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BE0F9E" w14:textId="77777777" w:rsidR="00EC26DE" w:rsidRDefault="00000000">
            <w:pPr>
              <w:jc w:val="center"/>
            </w:pPr>
            <w:r>
              <w:rPr>
                <w:b/>
                <w:bCs/>
                <w:color w:val="4A235A"/>
              </w:rPr>
              <w:t>$50M+</w:t>
            </w:r>
          </w:p>
        </w:tc>
      </w:tr>
      <w:tr w:rsidR="00EC26DE" w14:paraId="13DF17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285092" w14:textId="77777777" w:rsidR="00EC26DE" w:rsidRDefault="00000000">
            <w:r>
              <w:rPr>
                <w:b/>
                <w:bCs/>
                <w:color w:val="111111"/>
              </w:rPr>
              <w:t>Key milestone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A7C435" w14:textId="77777777" w:rsidR="00EC26DE" w:rsidRDefault="00000000">
            <w:pPr>
              <w:jc w:val="center"/>
            </w:pPr>
            <w:r>
              <w:rPr>
                <w:color w:val="111111"/>
              </w:rPr>
              <w:t>First Shariah-compliant Uzbek invoice financed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1F16EC" w14:textId="77777777" w:rsidR="00EC26DE" w:rsidRDefault="00000000">
            <w:pPr>
              <w:jc w:val="center"/>
            </w:pPr>
            <w:r>
              <w:rPr>
                <w:color w:val="111111"/>
              </w:rPr>
              <w:t>First recurring profit distribution to Dubai investors</w:t>
            </w:r>
          </w:p>
        </w:tc>
        <w:tc>
          <w:tcPr>
            <w:tcW w:w="27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BF2443" w14:textId="77777777" w:rsidR="00EC26DE" w:rsidRDefault="00000000">
            <w:pPr>
              <w:jc w:val="center"/>
            </w:pPr>
            <w:r>
              <w:rPr>
                <w:color w:val="111111"/>
              </w:rPr>
              <w:t>First Central Asian Islamic trade finance Sukuk issued</w:t>
            </w:r>
          </w:p>
        </w:tc>
      </w:tr>
    </w:tbl>
    <w:p w14:paraId="70A6978C" w14:textId="77777777" w:rsidR="00EC26DE" w:rsidRDefault="00EC26DE">
      <w:pPr>
        <w:spacing w:before="180"/>
      </w:pPr>
    </w:p>
    <w:p w14:paraId="4210C0A2" w14:textId="77777777" w:rsidR="00EC26DE" w:rsidRDefault="00000000">
      <w:pPr>
        <w:pBdr>
          <w:bottom w:val="single" w:sz="6" w:space="3" w:color="2E75B6"/>
        </w:pBdr>
        <w:spacing w:before="280" w:after="100"/>
      </w:pPr>
      <w:r>
        <w:rPr>
          <w:b/>
          <w:bCs/>
          <w:color w:val="1F4E79"/>
          <w:sz w:val="23"/>
          <w:szCs w:val="23"/>
        </w:rPr>
        <w:t>6.  Next Steps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9098"/>
      </w:tblGrid>
      <w:tr w:rsidR="00EC26DE" w14:paraId="35F2B9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7BADA8D" w14:textId="77777777" w:rsidR="00EC26DE" w:rsidRDefault="00000000">
            <w:r>
              <w:rPr>
                <w:b/>
                <w:bCs/>
                <w:color w:val="2E75B6"/>
              </w:rPr>
              <w:t>1.</w:t>
            </w:r>
          </w:p>
        </w:tc>
        <w:tc>
          <w:tcPr>
            <w:tcW w:w="909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5F0293" w14:textId="77777777" w:rsidR="00EC26DE" w:rsidRDefault="00000000">
            <w:pPr>
              <w:spacing w:after="100"/>
            </w:pPr>
            <w:r>
              <w:t>Engage a DIFC-based Shariah advisory firm (AAOIFI-accredited scholars) to begin fatwa process for the Murabaha Supply Chain Finance structure — this unlocks Phase 1 without any further regulatory approval</w:t>
            </w:r>
          </w:p>
        </w:tc>
      </w:tr>
      <w:tr w:rsidR="00EC26DE" w14:paraId="7932F06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CF3681" w14:textId="77777777" w:rsidR="00EC26DE" w:rsidRDefault="00000000">
            <w:r>
              <w:rPr>
                <w:b/>
                <w:bCs/>
                <w:color w:val="2E75B6"/>
              </w:rPr>
              <w:t>2.</w:t>
            </w:r>
          </w:p>
        </w:tc>
        <w:tc>
          <w:tcPr>
            <w:tcW w:w="909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6AD9D1" w14:textId="77777777" w:rsidR="00EC26DE" w:rsidRDefault="00000000">
            <w:pPr>
              <w:spacing w:after="100"/>
            </w:pPr>
            <w:r>
              <w:t>Commission a DIFC or ADGM law firm to design the SPV and Wakala fund documentation in parallel — preparation for Phase 2 can begin during Phase 1 deployment</w:t>
            </w:r>
          </w:p>
        </w:tc>
      </w:tr>
      <w:tr w:rsidR="00EC26DE" w14:paraId="0F55133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23E8D12" w14:textId="77777777" w:rsidR="00EC26DE" w:rsidRDefault="00000000">
            <w:r>
              <w:rPr>
                <w:b/>
                <w:bCs/>
                <w:color w:val="2E75B6"/>
              </w:rPr>
              <w:t>3.</w:t>
            </w:r>
          </w:p>
        </w:tc>
        <w:tc>
          <w:tcPr>
            <w:tcW w:w="909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B6AE9A" w14:textId="77777777" w:rsidR="00EC26DE" w:rsidRDefault="00000000">
            <w:pPr>
              <w:spacing w:after="100"/>
            </w:pPr>
            <w:r>
              <w:t>Launch the FactorFinance platform with Universalbank — build the live invoice portfolio that underpins all four instruments; investors need to see a running book, not a prospectus</w:t>
            </w:r>
          </w:p>
        </w:tc>
      </w:tr>
      <w:tr w:rsidR="00EC26DE" w14:paraId="3895B9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DCF6446" w14:textId="77777777" w:rsidR="00EC26DE" w:rsidRDefault="00000000">
            <w:r>
              <w:rPr>
                <w:b/>
                <w:bCs/>
                <w:color w:val="2E75B6"/>
              </w:rPr>
              <w:t>4.</w:t>
            </w:r>
          </w:p>
        </w:tc>
        <w:tc>
          <w:tcPr>
            <w:tcW w:w="909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46A0DB" w14:textId="77777777" w:rsidR="00EC26DE" w:rsidRDefault="00000000">
            <w:pPr>
              <w:spacing w:after="100"/>
            </w:pPr>
            <w:r>
              <w:t>Approach Dubai family offices and Islamic fund managers with the Wakala participation term sheet once the platform has 3 months of operating data</w:t>
            </w:r>
          </w:p>
        </w:tc>
      </w:tr>
      <w:tr w:rsidR="00EC26DE" w14:paraId="5AB9F4B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302783F" w14:textId="77777777" w:rsidR="00EC26DE" w:rsidRDefault="00000000">
            <w:r>
              <w:rPr>
                <w:b/>
                <w:bCs/>
                <w:color w:val="2E75B6"/>
              </w:rPr>
              <w:t>5.</w:t>
            </w:r>
          </w:p>
        </w:tc>
        <w:tc>
          <w:tcPr>
            <w:tcW w:w="909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CBEFC3" w14:textId="77777777" w:rsidR="00EC26DE" w:rsidRDefault="00000000">
            <w:pPr>
              <w:spacing w:after="100"/>
            </w:pPr>
            <w:r>
              <w:t>Target Islamic Finance News and DIFC thought leadership channels with the Sukuk narrative — the ‘first Central Asian Islamic trade finance Sukuk backed by government-verified receivables’ is a story the market will run with</w:t>
            </w:r>
          </w:p>
        </w:tc>
      </w:tr>
    </w:tbl>
    <w:p w14:paraId="2AEEDBE4" w14:textId="77777777" w:rsidR="00EC26DE" w:rsidRDefault="00EC26DE">
      <w:pPr>
        <w:spacing w:before="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C26DE" w14:paraId="0E8AEC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single" w:sz="8" w:space="0" w:color="B8860B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767C84" w14:textId="77777777" w:rsidR="00EC26DE" w:rsidRDefault="00000000">
            <w:pPr>
              <w:spacing w:after="70"/>
            </w:pPr>
            <w:r>
              <w:rPr>
                <w:b/>
                <w:bCs/>
                <w:color w:val="B8860B"/>
              </w:rPr>
              <w:t>⚠  AAOIFI Compliance Note</w:t>
            </w:r>
          </w:p>
          <w:p w14:paraId="6493A0C1" w14:textId="77777777" w:rsidR="00EC26DE" w:rsidRDefault="00000000">
            <w:r>
              <w:rPr>
                <w:color w:val="7B5E00"/>
                <w:sz w:val="19"/>
                <w:szCs w:val="19"/>
              </w:rPr>
              <w:t xml:space="preserve">All four instruments described in this document require a fatwa from an AAOIFI-accredited Shariah Supervisory Board before commercial deployment. The UAE’s Commercial Transactions Law (Federal Decree-Law No. 50 of 2022, Articles 468–497) codifies Murabaha, Musharaka, Mudaraba, and Wakala with </w:t>
            </w:r>
            <w:r>
              <w:rPr>
                <w:color w:val="7B5E00"/>
                <w:sz w:val="19"/>
                <w:szCs w:val="19"/>
              </w:rPr>
              <w:lastRenderedPageBreak/>
              <w:t>binding statutory precision — providing a mature legal framework for DIFC structuring. The July 2025 Dubai Court of Cassation ruling (Commercial Appeals Nos. 595/2025 and 608/2025) established an absolute prohibition on any interest-equivalent in Islamic financing obligations, reinforcing the importance of clean Shariah structuring from the outset.</w:t>
            </w:r>
          </w:p>
        </w:tc>
      </w:tr>
    </w:tbl>
    <w:p w14:paraId="02AFE74A" w14:textId="77777777" w:rsidR="00EC26DE" w:rsidRDefault="00EC26DE">
      <w:pPr>
        <w:spacing w:before="120"/>
      </w:pPr>
    </w:p>
    <w:p w14:paraId="3148B549" w14:textId="77777777" w:rsidR="00EC26DE" w:rsidRDefault="00000000">
      <w:pPr>
        <w:pBdr>
          <w:top w:val="single" w:sz="4" w:space="4" w:color="2E75B6"/>
        </w:pBdr>
        <w:jc w:val="center"/>
      </w:pPr>
      <w:r>
        <w:rPr>
          <w:i/>
          <w:iCs/>
          <w:color w:val="666666"/>
          <w:sz w:val="16"/>
          <w:szCs w:val="16"/>
        </w:rPr>
        <w:t>Registan Capital  •  Jaan Ehlvest  •  +372 5517022  •  hello@factorfinance.io  •  factorfinance.org</w:t>
      </w:r>
    </w:p>
    <w:sectPr w:rsidR="00EC26D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80023"/>
    <w:multiLevelType w:val="hybridMultilevel"/>
    <w:tmpl w:val="E0329770"/>
    <w:lvl w:ilvl="0" w:tplc="3B5C82B4">
      <w:start w:val="1"/>
      <w:numFmt w:val="bullet"/>
      <w:lvlText w:val="•"/>
      <w:lvlJc w:val="left"/>
      <w:pPr>
        <w:ind w:left="540" w:hanging="280"/>
      </w:pPr>
    </w:lvl>
    <w:lvl w:ilvl="1" w:tplc="B2A02E5C">
      <w:numFmt w:val="decimal"/>
      <w:lvlText w:val=""/>
      <w:lvlJc w:val="left"/>
    </w:lvl>
    <w:lvl w:ilvl="2" w:tplc="0FE6440A">
      <w:numFmt w:val="decimal"/>
      <w:lvlText w:val=""/>
      <w:lvlJc w:val="left"/>
    </w:lvl>
    <w:lvl w:ilvl="3" w:tplc="A380F43E">
      <w:numFmt w:val="decimal"/>
      <w:lvlText w:val=""/>
      <w:lvlJc w:val="left"/>
    </w:lvl>
    <w:lvl w:ilvl="4" w:tplc="A016072E">
      <w:numFmt w:val="decimal"/>
      <w:lvlText w:val=""/>
      <w:lvlJc w:val="left"/>
    </w:lvl>
    <w:lvl w:ilvl="5" w:tplc="B40477D2">
      <w:numFmt w:val="decimal"/>
      <w:lvlText w:val=""/>
      <w:lvlJc w:val="left"/>
    </w:lvl>
    <w:lvl w:ilvl="6" w:tplc="3D36C1E8">
      <w:numFmt w:val="decimal"/>
      <w:lvlText w:val=""/>
      <w:lvlJc w:val="left"/>
    </w:lvl>
    <w:lvl w:ilvl="7" w:tplc="7E62FD8A">
      <w:numFmt w:val="decimal"/>
      <w:lvlText w:val=""/>
      <w:lvlJc w:val="left"/>
    </w:lvl>
    <w:lvl w:ilvl="8" w:tplc="49DE26BC">
      <w:numFmt w:val="decimal"/>
      <w:lvlText w:val=""/>
      <w:lvlJc w:val="left"/>
    </w:lvl>
  </w:abstractNum>
  <w:abstractNum w:abstractNumId="1" w15:restartNumberingAfterBreak="0">
    <w:nsid w:val="5A454DA5"/>
    <w:multiLevelType w:val="hybridMultilevel"/>
    <w:tmpl w:val="D414AFDE"/>
    <w:lvl w:ilvl="0" w:tplc="67F219B6">
      <w:start w:val="1"/>
      <w:numFmt w:val="bullet"/>
      <w:lvlText w:val="●"/>
      <w:lvlJc w:val="left"/>
      <w:pPr>
        <w:ind w:left="720" w:hanging="360"/>
      </w:pPr>
    </w:lvl>
    <w:lvl w:ilvl="1" w:tplc="B2B414A6">
      <w:start w:val="1"/>
      <w:numFmt w:val="bullet"/>
      <w:lvlText w:val="○"/>
      <w:lvlJc w:val="left"/>
      <w:pPr>
        <w:ind w:left="1440" w:hanging="360"/>
      </w:pPr>
    </w:lvl>
    <w:lvl w:ilvl="2" w:tplc="AA46C85A">
      <w:start w:val="1"/>
      <w:numFmt w:val="bullet"/>
      <w:lvlText w:val="■"/>
      <w:lvlJc w:val="left"/>
      <w:pPr>
        <w:ind w:left="2160" w:hanging="360"/>
      </w:pPr>
    </w:lvl>
    <w:lvl w:ilvl="3" w:tplc="A96622EE">
      <w:start w:val="1"/>
      <w:numFmt w:val="bullet"/>
      <w:lvlText w:val="●"/>
      <w:lvlJc w:val="left"/>
      <w:pPr>
        <w:ind w:left="2880" w:hanging="360"/>
      </w:pPr>
    </w:lvl>
    <w:lvl w:ilvl="4" w:tplc="7AC2D7AA">
      <w:start w:val="1"/>
      <w:numFmt w:val="bullet"/>
      <w:lvlText w:val="○"/>
      <w:lvlJc w:val="left"/>
      <w:pPr>
        <w:ind w:left="3600" w:hanging="360"/>
      </w:pPr>
    </w:lvl>
    <w:lvl w:ilvl="5" w:tplc="3334AB24">
      <w:start w:val="1"/>
      <w:numFmt w:val="bullet"/>
      <w:lvlText w:val="■"/>
      <w:lvlJc w:val="left"/>
      <w:pPr>
        <w:ind w:left="4320" w:hanging="360"/>
      </w:pPr>
    </w:lvl>
    <w:lvl w:ilvl="6" w:tplc="F7D42720">
      <w:start w:val="1"/>
      <w:numFmt w:val="bullet"/>
      <w:lvlText w:val="●"/>
      <w:lvlJc w:val="left"/>
      <w:pPr>
        <w:ind w:left="5040" w:hanging="360"/>
      </w:pPr>
    </w:lvl>
    <w:lvl w:ilvl="7" w:tplc="48DA3FA0">
      <w:start w:val="1"/>
      <w:numFmt w:val="bullet"/>
      <w:lvlText w:val="●"/>
      <w:lvlJc w:val="left"/>
      <w:pPr>
        <w:ind w:left="5760" w:hanging="360"/>
      </w:pPr>
    </w:lvl>
    <w:lvl w:ilvl="8" w:tplc="3E00DEF0">
      <w:start w:val="1"/>
      <w:numFmt w:val="bullet"/>
      <w:lvlText w:val="●"/>
      <w:lvlJc w:val="left"/>
      <w:pPr>
        <w:ind w:left="6480" w:hanging="360"/>
      </w:pPr>
    </w:lvl>
  </w:abstractNum>
  <w:num w:numId="1" w16cid:durableId="47071675">
    <w:abstractNumId w:val="1"/>
    <w:lvlOverride w:ilvl="0">
      <w:startOverride w:val="1"/>
    </w:lvlOverride>
  </w:num>
  <w:num w:numId="2" w16cid:durableId="171796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6DE"/>
    <w:rsid w:val="003359E6"/>
    <w:rsid w:val="00BA6576"/>
    <w:rsid w:val="00EC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87DF"/>
  <w15:docId w15:val="{6EEF5240-F581-474E-B04E-39FF1566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1824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Jaan Ehlvest</cp:lastModifiedBy>
  <cp:revision>2</cp:revision>
  <dcterms:created xsi:type="dcterms:W3CDTF">2026-07-05T14:32:00Z</dcterms:created>
  <dcterms:modified xsi:type="dcterms:W3CDTF">2026-07-05T14:32:00Z</dcterms:modified>
</cp:coreProperties>
</file>