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PREDIWELL — DOSSIER D’ARCHITECTURE EXÉCUTABLE</w:t>
      </w:r>
    </w:p>
    <w:p>
      <w:r>
        <w:rPr>
          <w:i/>
          <w:iCs/>
          <w:color w:val="555555"/>
        </w:rPr>
        <w:t xml:space="preserve">Spécifications techniques complètes pour construction par Claude Code (TypeScript / Next.js / PostgreSQL)</w:t>
      </w:r>
    </w:p>
    <w:p>
      <w:r>
        <w:rPr>
          <w:i/>
          <w:iCs/>
          <w:color w:val="555555"/>
        </w:rPr>
        <w:t xml:space="preserve">Version 1.0 — 27/10/2026 — dérivé du cahier des charges PREDIWELL v1.0 (PREDIWORK SAS). Couvre V1 → V4.</w:t>
      </w:r>
    </w:p>
    <w:p>
      <w:pPr>
        <w:pStyle w:val="Heading1"/>
      </w:pPr>
      <w:r>
        <w:t xml:space="preserve">0. Lecture de ce document</w:t>
      </w:r>
    </w:p>
    <w:p>
      <w:r>
        <w:t xml:space="preserve">Ce document traduit le cahier des charges PREDIWELL en architecture exécutable : composants, flux de traitement, modèle de données, surface d’API, configuration, règles transverses. Il ne remplace pas le cahier des charges : en cas de contradiction, le cahier des charges prime et l’écart est signalé au porteur de projet. Les règles de conformité (§2) sont NON NÉGOCIABLES : elles font partie du produit.</w:t>
      </w:r>
    </w:p>
    <w:p>
      <w:r>
        <w:t xml:space="preserve">Consignes de construction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T0 d’abord</w:t>
      </w:r>
      <w:r>
        <w:t xml:space="preserve"> (§16) : aucun module applicatif avant la validation du rapport docs/t0-report.md par le porteur de projet. Les choix marqués « à confirmer en T0 » restent ouverts jusque-là.</w:t>
      </w:r>
    </w:p>
    <w:p>
      <w:pPr>
        <w:pStyle w:val="ListParagraph"/>
        <w:numPr>
          <w:ilvl w:val="0"/>
          <w:numId w:val="2"/>
        </w:numPr>
      </w:pPr>
      <w:r>
        <w:t xml:space="preserve">Avant chaque module : un plan court dans docs/plan-&lt;module&gt;.md, puis implémentation avec tests.</w:t>
      </w:r>
    </w:p>
    <w:p>
      <w:pPr>
        <w:pStyle w:val="ListParagraph"/>
        <w:numPr>
          <w:ilvl w:val="0"/>
          <w:numId w:val="2"/>
        </w:numPr>
      </w:pPr>
      <w:r>
        <w:t xml:space="preserve">Aucune valeur dépendant d’un pays ou d’une source externe dans le code : tout passe par config/ (§7). Aucun if (country === ‘FR’) dispersé.</w:t>
      </w:r>
    </w:p>
    <w:p>
      <w:pPr>
        <w:pStyle w:val="ListParagraph"/>
        <w:numPr>
          <w:ilvl w:val="0"/>
          <w:numId w:val="2"/>
        </w:numPr>
      </w:pPr>
      <w:r>
        <w:t xml:space="preserve">Aucun service payant sans accord explicite. Seules les sources du §8.1 sont autorisées.</w:t>
      </w:r>
    </w:p>
    <w:p>
      <w:pPr>
        <w:pStyle w:val="ListParagraph"/>
        <w:numPr>
          <w:ilvl w:val="0"/>
          <w:numId w:val="2"/>
        </w:numPr>
      </w:pPr>
      <w:r>
        <w:t xml:space="preserve">Montants TOUJOURS en centimes entiers (pas de flottants). Devise EUR. Dates en ISO 8601, stockées en UTC, affichées dans le fuseau du pays.</w:t>
      </w:r>
    </w:p>
    <w:p>
      <w:pPr>
        <w:pStyle w:val="ListParagraph"/>
        <w:numPr>
          <w:ilvl w:val="0"/>
          <w:numId w:val="2"/>
        </w:numPr>
      </w:pPr>
      <w:r>
        <w:t xml:space="preserve">Terminologie métier française conservée dans l’interface (Annonceur, Marque, Signal, Recette, Fiche prospect, Liste d’opposition) ; identifiants techniques en anglais.</w:t>
      </w:r>
    </w:p>
    <w:p>
      <w:pPr>
        <w:pStyle w:val="ListParagraph"/>
        <w:numPr>
          <w:ilvl w:val="0"/>
          <w:numId w:val="2"/>
        </w:numPr>
      </w:pPr>
      <w:r>
        <w:t xml:space="preserve">Chaque règle de gestion (signal, recette, score, garde de statut, règle de canal) est couverte par un test unitaire. Aucun appel réel à une source externe dans la CI.</w:t>
      </w:r>
    </w:p>
    <w:p>
      <w:pPr>
        <w:pStyle w:val="ListParagraph"/>
        <w:numPr>
          <w:ilvl w:val="0"/>
          <w:numId w:val="2"/>
        </w:numPr>
      </w:pPr>
      <w:r>
        <w:t xml:space="preserve">Le porteur de projet n’est pas développeur : installation et exploitation documentées pas à pas dans docs/ops.md (VPS Ubuntu).</w:t>
      </w:r>
    </w:p>
    <w:p>
      <w:pPr>
        <w:pStyle w:val="Heading1"/>
      </w:pPr>
      <w:r>
        <w:t xml:space="preserve">1. Vue d’ensemble</w:t>
      </w:r>
    </w:p>
    <w:p>
      <w:r>
        <w:t xml:space="preserve">PREDIWELL observe l’activité publicitaire des marques en Europe (bibliothèque publicitaire Meta, puis Google), la rattache à des entreprises réelles via des données publiques (mentions légales, registres) et produit des </w:t>
      </w:r>
      <w:r>
        <w:rPr>
          <w:b/>
          <w:bCs/>
        </w:rPr>
        <w:t xml:space="preserve">fiches prospects</w:t>
      </w:r>
      <w:r>
        <w:t xml:space="preserve"> déclenchées par des </w:t>
      </w:r>
      <w:r>
        <w:rPr>
          <w:b/>
          <w:bCs/>
        </w:rPr>
        <w:t xml:space="preserve">signaux</w:t>
      </w:r>
      <w:r>
        <w:t xml:space="preserve"> et combinées par des </w:t>
      </w:r>
      <w:r>
        <w:rPr>
          <w:b/>
          <w:bCs/>
        </w:rPr>
        <w:t xml:space="preserve">recettes</w:t>
      </w:r>
      <w:r>
        <w:t xml:space="preserve"> : quelle marque, pourquoi maintenant, qui contacter, par quel canal autorisé, avec quel message.</w:t>
      </w:r>
    </w:p>
    <w:p>
      <w:r>
        <w:t xml:space="preserve">Principe structurant : </w:t>
      </w:r>
      <w:r>
        <w:rPr>
          <w:b/>
          <w:bCs/>
        </w:rPr>
        <w:t xml:space="preserve">la donnée est collectée une seule fois, globalement</w:t>
      </w:r>
      <w:r>
        <w:t xml:space="preserve"> (annonceurs, pubs, entreprises, événements, signaux) ; </w:t>
      </w:r>
      <w:r>
        <w:rPr>
          <w:b/>
          <w:bCs/>
        </w:rPr>
        <w:t xml:space="preserve">les prospects sont propres à chaque espace client</w:t>
      </w:r>
      <w:r>
        <w:t xml:space="preserve"> (workspace), produits par les recettes que cet espace a activées.</w:t>
      </w:r>
    </w:p>
    <w:p>
      <w:r>
        <w:t xml:space="preserve">Acteurs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Opérateur PREDIWORK</w:t>
      </w:r>
      <w:r>
        <w:t xml:space="preserve"> (ADMIN plateforme) : exploitation, configuration des pays et sources, validation des rattachements, liste d’opposition globale.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Espace client</w:t>
      </w:r>
      <w:r>
        <w:t xml:space="preserve"> (Workspace) : V1 = deux espaces internes (NeedCreator, FluXence) ; V3 = clients payants. Rôles internes : ADMIN, MEMBER.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Outils tiers du client</w:t>
      </w:r>
      <w:r>
        <w:t xml:space="preserve"> (HubSpot, lemlist, La Growth Machine) : destinataires des prospects. PREDIWELL n’envoie jamais d’email de prospection.</w:t>
      </w:r>
    </w:p>
    <w:p>
      <w:pPr>
        <w:pStyle w:val="Heading2"/>
      </w:pPr>
      <w:r>
        <w:t xml:space="preserve">1.1 Activation progressive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923"/>
        <w:gridCol w:w="2462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92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Activé</w:t>
            </w:r>
          </w:p>
        </w:tc>
        <w:tc>
          <w:tcPr>
            <w:tcW w:type="dxa" w:w="24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Critère de passage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— Interne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FR, format vidéo/image, recette UGC, rattachement FR, contact légal, messages FR, tableau de bord interne, export CSV interne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réponse NeedCreator meilleur que la prospection actuelle (4–6 semaines)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 — Moteur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Moteur de recettes, 6 recettes, alertes email, France Travail, BODACC, pixels, scoring, recette FluXence, BE + ES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agences externes prêtes à payer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V3 — Produit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Workspaces clients, Stripe, onboarding, recettes personnalisées, intégrations, Google (si licence), interface FR/EN/DE, conformité commerciale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20–30 clients payants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V4 — Europe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Autres pays UE par configuration, connecteurs registres nationaux, langues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r>
        <w:t xml:space="preserve">Mécanisme : chaque fonction est protégée par un </w:t>
      </w:r>
      <w:r>
        <w:rPr>
          <w:b/>
          <w:bCs/>
        </w:rPr>
        <w:t xml:space="preserve">feature flag</w:t>
      </w:r>
      <w:r>
        <w:t xml:space="preserve"> (table FeatureFlag, portée globale ou workspace) et chaque pays par </w:t>
      </w:r>
      <w:r>
        <w:rPr>
          <w:b/>
          <w:bCs/>
        </w:rPr>
        <w:t xml:space="preserve">enabled</w:t>
      </w:r>
      <w:r>
        <w:t xml:space="preserve"> dans config/countries/&lt;code&gt;.yml. Un code désactivé ne s’exécute pas (jobs non planifiés, écrans masqués, routes en 404).</w:t>
      </w:r>
    </w:p>
    <w:p>
      <w:pPr>
        <w:pStyle w:val="Heading1"/>
      </w:pPr>
      <w:r>
        <w:t xml:space="preserve">2. Règles fondamentales (non négociables)</w:t>
      </w:r>
    </w:p>
    <w:p>
      <w:pPr>
        <w:pStyle w:val="Heading2"/>
      </w:pPr>
      <w:r>
        <w:t xml:space="preserve">2.1 Conditions des plateformes (Meta)</w:t>
      </w:r>
    </w:p>
    <w:p>
      <w:pPr>
        <w:pStyle w:val="ListParagraph"/>
        <w:numPr>
          <w:ilvl w:val="0"/>
          <w:numId w:val="2"/>
        </w:numPr>
      </w:pPr>
      <w:r>
        <w:t xml:space="preserve">PREDIWELL vend des </w:t>
      </w:r>
      <w:r>
        <w:rPr>
          <w:b/>
          <w:bCs/>
        </w:rPr>
        <w:t xml:space="preserve">signaux, alertes et fiches prospects</w:t>
      </w:r>
      <w:r>
        <w:t xml:space="preserve">, jamais des données publicitaires brutes.</w:t>
      </w:r>
    </w:p>
    <w:p>
      <w:pPr>
        <w:pStyle w:val="ListParagraph"/>
        <w:numPr>
          <w:ilvl w:val="0"/>
          <w:numId w:val="2"/>
        </w:numPr>
      </w:pPr>
      <w:r>
        <w:t xml:space="preserve">Version commerciale (workspace non interne) : aucune reproduction des créations (textes, visuels, vidéos) ; affichage d’</w:t>
      </w:r>
      <w:r>
        <w:rPr>
          <w:b/>
          <w:bCs/>
        </w:rPr>
        <w:t xml:space="preserve">agrégats</w:t>
      </w:r>
      <w:r>
        <w:t xml:space="preserve"> et </w:t>
      </w:r>
      <w:r>
        <w:rPr>
          <w:b/>
          <w:bCs/>
        </w:rPr>
        <w:t xml:space="preserve">lien vers la bibliothèque publique Meta</w:t>
      </w:r>
      <w:r>
        <w:t xml:space="preserve">. La garde est appliquée côté serveur (sérialiseur de fiche selon workspace.kind), pas seulement dans l’interface.</w:t>
      </w:r>
    </w:p>
    <w:p>
      <w:pPr>
        <w:pStyle w:val="ListParagraph"/>
        <w:numPr>
          <w:ilvl w:val="0"/>
          <w:numId w:val="2"/>
        </w:numPr>
      </w:pPr>
      <w:r>
        <w:t xml:space="preserve">Pages d’aperçu (ad_snapshot_url) : débit minimal configurable, résultat mis en cache (une pub analysée une seule fois), </w:t>
      </w:r>
      <w:r>
        <w:rPr>
          <w:b/>
          <w:bCs/>
        </w:rPr>
        <w:t xml:space="preserve">aucun stockage de média</w:t>
      </w:r>
      <w:r>
        <w:t xml:space="preserve"> (seul le format déduit est conservé).</w:t>
      </w:r>
    </w:p>
    <w:p>
      <w:pPr>
        <w:pStyle w:val="ListParagraph"/>
        <w:numPr>
          <w:ilvl w:val="0"/>
          <w:numId w:val="2"/>
        </w:numPr>
      </w:pPr>
      <w:r>
        <w:t xml:space="preserve">Export : workspace INTERNAL = CSV complet ; workspace CUSTOMER = champs prospect uniquement (entreprise, signal, lien bibliothèque, contact). Jamais d’export brut des pubs.</w:t>
      </w:r>
    </w:p>
    <w:p>
      <w:pPr>
        <w:pStyle w:val="Heading2"/>
      </w:pPr>
      <w:r>
        <w:t xml:space="preserve">2.2 RGPD</w:t>
      </w:r>
    </w:p>
    <w:p>
      <w:pPr>
        <w:pStyle w:val="ListParagraph"/>
        <w:numPr>
          <w:ilvl w:val="0"/>
          <w:numId w:val="2"/>
        </w:numPr>
      </w:pPr>
      <w:r>
        <w:t xml:space="preserve">Base légale : intérêt légitime (prospection B2B), documentée hors code (analyse + registre des traitements).</w:t>
      </w:r>
    </w:p>
    <w:p>
      <w:pPr>
        <w:pStyle w:val="ListParagraph"/>
        <w:numPr>
          <w:ilvl w:val="0"/>
          <w:numId w:val="2"/>
        </w:numPr>
      </w:pPr>
      <w:r>
        <w:t xml:space="preserve">Minimisation : seuls les </w:t>
      </w:r>
      <w:r>
        <w:rPr>
          <w:b/>
          <w:bCs/>
        </w:rPr>
        <w:t xml:space="preserve">dirigeants légaux / directeurs de la publication</w:t>
      </w:r>
      <w:r>
        <w:t xml:space="preserve"> et les </w:t>
      </w:r>
      <w:r>
        <w:rPr>
          <w:b/>
          <w:bCs/>
        </w:rPr>
        <w:t xml:space="preserve">coordonnées professionnelles publiques</w:t>
      </w:r>
      <w:r>
        <w:t xml:space="preserve"> (email générique, page contact) sont stockés. </w:t>
      </w:r>
      <w:r>
        <w:rPr>
          <w:b/>
          <w:bCs/>
        </w:rPr>
        <w:t xml:space="preserve">Aucune reconstitution ni vérification automatique d’email nominatif.</w:t>
      </w:r>
      <w:r>
        <w:t xml:space="preserve"> LinkedIn = lien de recherche, jamais de scraping.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Liste d’opposition globale</w:t>
      </w:r>
      <w:r>
        <w:t xml:space="preserve"> : une entrée (entreprise, domaine ou email) exclut la cible de TOUS les workspaces, immédiatement et rétroactivement (prospects existants passés en EXCLUDED, contacts masqués). Contrôle à la création de prospect, à l’affichage, à l’export et à l’envoi vers une intégration.</w:t>
      </w:r>
    </w:p>
    <w:p>
      <w:pPr>
        <w:pStyle w:val="ListParagraph"/>
        <w:numPr>
          <w:ilvl w:val="0"/>
          <w:numId w:val="2"/>
        </w:numPr>
      </w:pPr>
      <w:r>
        <w:t xml:space="preserve">Durées de conservation configurables (config/retention.yml) appliquées par un job quotidien : contacts non exploités 12 mois, données publicitaires détaillées → agrégats après 24 mois.</w:t>
      </w:r>
    </w:p>
    <w:p>
      <w:pPr>
        <w:pStyle w:val="ListParagraph"/>
        <w:numPr>
          <w:ilvl w:val="0"/>
          <w:numId w:val="2"/>
        </w:numPr>
      </w:pPr>
      <w:r>
        <w:t xml:space="preserve">Hébergement UE (VPS existant). Page publique « Données » (information + formulaire d’opposition alimentant la liste). DPA client en V3.</w:t>
      </w:r>
    </w:p>
    <w:p>
      <w:pPr>
        <w:pStyle w:val="Heading2"/>
      </w:pPr>
      <w:r>
        <w:t xml:space="preserve">2.3 Règles de prospection par pays</w:t>
      </w:r>
    </w:p>
    <w:p>
      <w:pPr>
        <w:pStyle w:val="ListParagraph"/>
        <w:numPr>
          <w:ilvl w:val="0"/>
          <w:numId w:val="2"/>
        </w:numPr>
      </w:pPr>
      <w:r>
        <w:t xml:space="preserve">Chaque pays déclare ses canaux (EMAIL_B2B, PHONE, LINKEDIN_MANUAL, POSTAL, CONTACT_FORM) avec statut ALLOWED / CONSENT_REQUIRED / FORBIDDEN, conditions et mentions obligatoires (§7.1).</w:t>
      </w:r>
    </w:p>
    <w:p>
      <w:pPr>
        <w:pStyle w:val="ListParagraph"/>
        <w:numPr>
          <w:ilvl w:val="0"/>
          <w:numId w:val="2"/>
        </w:numPr>
      </w:pPr>
      <w:r>
        <w:t xml:space="preserve">La fiche prospect n’affiche un message que pour les canaux ALLOWED du pays de l’entreprise ; les autres canaux sont affichés grisés avec la raison.</w:t>
      </w:r>
    </w:p>
    <w:p>
      <w:pPr>
        <w:pStyle w:val="ListParagraph"/>
        <w:numPr>
          <w:ilvl w:val="0"/>
          <w:numId w:val="2"/>
        </w:numPr>
      </w:pPr>
      <w:r>
        <w:t xml:space="preserve">Aucune fonction d’envoi d’email de masse. Les seuls emails émis par PREDIWELL sont transactionnels (alertes, comptes, factures).</w:t>
      </w:r>
    </w:p>
    <w:p>
      <w:pPr>
        <w:pStyle w:val="ListParagraph"/>
        <w:numPr>
          <w:ilvl w:val="0"/>
          <w:numId w:val="2"/>
        </w:numPr>
      </w:pPr>
      <w:r>
        <w:t xml:space="preserve">Valeurs initiales (FR autorisé si lien avec la fonction + opposition facile ; DE consentement requis ; ES/IT plus strict) marquées </w:t>
      </w:r>
      <w:r>
        <w:rPr>
          <w:b/>
          <w:bCs/>
        </w:rPr>
        <w:t xml:space="preserve">validated: false</w:t>
      </w:r>
      <w:r>
        <w:t xml:space="preserve"> jusqu’à validation juridique ; l’interface affiche « règle non validée » tant que c’est le cas.</w:t>
      </w:r>
    </w:p>
    <w:p>
      <w:pPr>
        <w:pStyle w:val="Heading2"/>
      </w:pPr>
      <w:r>
        <w:t xml:space="preserve">2.4 Respect des sources</w:t>
      </w:r>
    </w:p>
    <w:p>
      <w:pPr>
        <w:pStyle w:val="ListParagraph"/>
        <w:numPr>
          <w:ilvl w:val="0"/>
          <w:numId w:val="2"/>
        </w:numPr>
      </w:pPr>
      <w:r>
        <w:t xml:space="preserve">Sites des marques : robots.txt respecté, User-Agent identifiant PREDIWELL avec URL de contact, 1 requête / domaine / 10 s maximum (configurable).</w:t>
      </w:r>
    </w:p>
    <w:p>
      <w:pPr>
        <w:pStyle w:val="ListParagraph"/>
        <w:numPr>
          <w:ilvl w:val="0"/>
          <w:numId w:val="2"/>
        </w:numPr>
      </w:pPr>
      <w:r>
        <w:t xml:space="preserve">Handelsregister allemand : aucune collecte automatisée (interdit). CVR danois : respect du marquage anti-prospection (entreprise marquée = jamais prospect).</w:t>
      </w:r>
    </w:p>
    <w:p>
      <w:pPr>
        <w:pStyle w:val="ListParagraph"/>
        <w:numPr>
          <w:ilvl w:val="0"/>
          <w:numId w:val="2"/>
        </w:numPr>
      </w:pPr>
      <w:r>
        <w:t xml:space="preserve">Toute source a un quota journalier et un débit déclarés dans config/sources/&lt;source&gt;.yml ; le client HTTP commun refuse de les dépasser.</w:t>
      </w:r>
    </w:p>
    <w:p>
      <w:pPr>
        <w:pStyle w:val="Heading1"/>
      </w:pPr>
      <w:r>
        <w:t xml:space="preserve">3. Architecture technique</w:t>
      </w:r>
    </w:p>
    <w:p>
      <w:pPr>
        <w:pStyle w:val="Heading2"/>
      </w:pPr>
      <w:r>
        <w:t xml:space="preserve">3.1 Stack (par défaut, à confirmer en T0)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410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Choix</w:t>
            </w:r>
          </w:p>
        </w:tc>
        <w:tc>
          <w:tcPr>
            <w:tcW w:type="dxa" w:w="328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Raison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Langage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 strict, Node.js LTS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seule langue pour web, workers et scripts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(App Router) + shadcn/ui, i18n par catalogues (next-intl)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Full-stack, déjà maîtrisé sur NeedCreator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 + Prisma ; extensions pg_trgm (recherche floue de noms) et unaccent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seule base, pas d’autre service à exploiter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Files / planification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pg-boss (jobs dans PostgreSQL)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 de Redis ; reprise après interruption native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Navigateur headless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Playwright, dans un conteneur worker séparé, concurrence 1–2 (seulement si T0 l’exige)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Isoler la consommation mémoire et le risque anti-robot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VPS Ubuntu existant, Docker Compose, Caddy (HTTPS automatique)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Coût nul, déjà en place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 PREDIWORK ou offre gratuite Brevo/Resend, derrière une interface Mailer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Alertes uniquement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Paiement (V3)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Billing derrière une interface BillingProvider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Commission à la transaction, TVA UE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Vitest (unitaires) + fixtures enregistrées (intégration) + Playwright (parcours web)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 appel réel en CI</w:t>
            </w:r>
          </w:p>
        </w:tc>
      </w:tr>
    </w:tbl>
    <w:p/>
    <w:p>
      <w:pPr>
        <w:pStyle w:val="Heading2"/>
      </w:pPr>
      <w:r>
        <w:t xml:space="preserve">3.2 Processus déployés (Docker Compose)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10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328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caddy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proxy HTTPS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Seul port exposé : 443/80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: interface + routes API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Sans état ; ne lance jamais de collecte longue, il met des jobs en file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Consommateur pg-boss : collecteurs, résolveurs, analyseurs HTTP, signaux, recettes, alertes, rétention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Concurrence par file configurable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worker-browser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Consommateur de la seule file analyze.format.headless (Playwright)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 compose optionnel, activé si T0 le recommande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Données + files pg-boss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persistant ; sauvegarde quotidienne pg_dump chiffrée, rotation 14 j, restauration testée mensuellement</w:t>
            </w:r>
          </w:p>
        </w:tc>
      </w:tr>
    </w:tbl>
    <w:p/>
    <w:p>
      <w:r>
        <w:t xml:space="preserve">Le code est un </w:t>
      </w:r>
      <w:r>
        <w:rPr>
          <w:b/>
          <w:bCs/>
        </w:rPr>
        <w:t xml:space="preserve">monorepo</w:t>
      </w:r>
      <w:r>
        <w:t xml:space="preserve"> avec un seul package applicatif ; web et worker partagent les mêmes modules métier (src/modules/*) et ne diffèrent que par leur point d’entrée (src/app pour le web, src/worker/index.ts pour les workers).</w:t>
      </w:r>
    </w:p>
    <w:p>
      <w:pPr>
        <w:pStyle w:val="Heading2"/>
      </w:pPr>
      <w:r>
        <w:t xml:space="preserve">3.3 Arborescence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Dossier</w:t>
            </w:r>
          </w:p>
        </w:tc>
        <w:tc>
          <w:tcPr>
            <w:tcW w:type="dxa" w:w="656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src/modules/collectors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Connecteurs de sources : meta-ads, google-ads (V3), fr-recherche-entreprises, fr-sirene, fr-france-travail (V2), fr-bodacc (V2), es-borme, be-kbo, dk-cvr, website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src/modules/resolvers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Rattachement annonceur → entreprise, stratégies chaînées par pays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src/modules/analyzers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des pubs, langues, pixels, métriques quotidiennes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src/modules/signals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détecteur par code de signal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src/modules/recipes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Moteur de règles + évaluation des recettes + scoring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src/modules/prospects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Fiches, cycle de vie, liste d’opposition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src/modules/messaging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Modèles multilingues, rendu des variables, politique de canaux par pays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src/modules/integrations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HubSpot, lemlist, La Growth Machine, webhook, CSV (V3)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src/modules/billing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Stripe, plans, quotas (V3)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src/modules/platform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HTTP limité, config, feature flags, journal des appels, audit, chiffrement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src/app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Next.js et routes API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src/worker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Enregistrement des jobs pg-boss et planification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config/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countries, sources, recipes, keywords, messages, retention, plans (YAML versionnés)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tests/fixtures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Réponses enregistrées des sources (Meta, registres, pages de mentions légales par langue)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</w:t>
            </w:r>
          </w:p>
        </w:tc>
        <w:tc>
          <w:tcPr>
            <w:tcW w:type="dxa" w:w="6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t0-report.md, plan-&lt;module&gt;.md, ops.md</w:t>
            </w:r>
          </w:p>
        </w:tc>
      </w:tr>
    </w:tbl>
    <w:p/>
    <w:p>
      <w:pPr>
        <w:pStyle w:val="Heading1"/>
      </w:pPr>
      <w:r>
        <w:t xml:space="preserve">4. Interfaces de module (contrats)</w:t>
      </w:r>
    </w:p>
    <w:p>
      <w:r>
        <w:t xml:space="preserve">Chaque famille est une interface TypeScript ; le cœur ne connaît que l’interface et la configuration choisit l’implémentation. Ajouter un pays ou une source = ajouter une implémentation et un fichier YAML, sans toucher au cœur.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760"/>
        <w:gridCol w:w="3010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30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Implémentations prévues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AdSourceCollector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discover(pays, mots-clés) et refresh(pageIds) → pubs normalisées ; gère pagination, quota, backoff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MetaAdLibrary (V1), GoogleAdsTransparency (V3)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CompanyRegistry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findById(identifiant) et search(nom, ville?) → entreprise + dirigeants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RechercheEntreprises + Sirene (V1), ES BORME, BE KBO (V2), DK CVR et autres (V4)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LegalNoticeParser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web → raison sociale, identifiant, dirigeant / directeur de publication, adresse, email générique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parseur par langue (fr, en, de, es, it, nl, da…), sélection par langue de la page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ResolutionStrategy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Annonceur → candidat entreprise + confiance 0–1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legal-notice, registry-by-id, fuzzy-name ; ordre défini par pays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FormatDetector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 → VIDEO / IMAGE / CAROUSEL / UNKNOWN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http-snapshot, headless-snapshot (méthode retenue en T0)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ExternalEventSource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Entreprise → événements datés (recrutement, capital, dirigeant, création, pixel)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FranceTravail, Bodacc, WebsitePixels (V2)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SignalDetector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Métriques + événements → signaux du jour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par code (§9)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ChannelPolicy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 + type de contact → canaux autorisés et mentions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Lecture config/countries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IntegrationProvider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Pousser un prospect vers l’outil du client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HubSpot, Lemlist, LaGrowthMachine, Webhook, Csv (V3)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Mailer / BillingProvider / Translator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Emails transactionnels / abonnements / traduction des modèles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SMTP|Brevo|Resend ; Stripe ; DeepL Free</w:t>
            </w:r>
          </w:p>
        </w:tc>
      </w:tr>
    </w:tbl>
    <w:p/>
    <w:p>
      <w:pPr>
        <w:pStyle w:val="Heading2"/>
      </w:pPr>
      <w:r>
        <w:t xml:space="preserve">4.1 Client HTTP commun (src/modules/platform/http)</w:t>
      </w:r>
    </w:p>
    <w:p>
      <w:pPr>
        <w:pStyle w:val="ListParagraph"/>
        <w:numPr>
          <w:ilvl w:val="0"/>
          <w:numId w:val="2"/>
        </w:numPr>
      </w:pPr>
      <w:r>
        <w:t xml:space="preserve">Seul point de sortie réseau vers les sources. Lit débit et quota dans config/sources/&lt;source&gt;.yml.</w:t>
      </w:r>
    </w:p>
    <w:p>
      <w:pPr>
        <w:pStyle w:val="ListParagraph"/>
        <w:numPr>
          <w:ilvl w:val="0"/>
          <w:numId w:val="2"/>
        </w:numPr>
      </w:pPr>
      <w:r>
        <w:t xml:space="preserve">Backoff exponentiel avec gigue sur 429 / 5xx / erreur Meta 613 (départ 30 s, plafond 15 min, 6 essais) ; au-delà, le job est replanifié et l’incident journalisé.</w:t>
      </w:r>
    </w:p>
    <w:p>
      <w:pPr>
        <w:pStyle w:val="ListParagraph"/>
        <w:numPr>
          <w:ilvl w:val="0"/>
          <w:numId w:val="2"/>
        </w:numPr>
      </w:pPr>
      <w:r>
        <w:t xml:space="preserve">Écrit une ligne SourceCallLog par appel (source, statut, durée, taille, code d’erreur) : base du tableau de bord d’exploitation.</w:t>
      </w:r>
    </w:p>
    <w:p>
      <w:pPr>
        <w:pStyle w:val="ListParagraph"/>
        <w:numPr>
          <w:ilvl w:val="0"/>
          <w:numId w:val="2"/>
        </w:numPr>
      </w:pPr>
      <w:r>
        <w:t xml:space="preserve">Respect de robots.txt (mis en cache 24 h) pour la source website.</w:t>
      </w:r>
    </w:p>
    <w:p>
      <w:pPr>
        <w:pStyle w:val="Heading1"/>
      </w:pPr>
      <w:r>
        <w:t xml:space="preserve">5. Pipeline quotidien (jobs pg-boss)</w:t>
      </w:r>
    </w:p>
    <w:p>
      <w:r>
        <w:t xml:space="preserve">Le traitement est une chaîne de jobs </w:t>
      </w:r>
      <w:r>
        <w:rPr>
          <w:b/>
          <w:bCs/>
        </w:rPr>
        <w:t xml:space="preserve">idempotents</w:t>
      </w:r>
      <w:r>
        <w:t xml:space="preserve"> (relançables sans doublon, clé naturelle + upsert). Chaque job enregistre un JobRun (début, fin, volumes, erreurs). Un job échoué n’arrête pas la chaîne pour les autres pays. Objectif : collecte complète des pays activés en moins de 6 h (à calibrer après T0).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"/>
        <w:gridCol w:w="1805"/>
        <w:gridCol w:w="2406"/>
        <w:gridCol w:w="3008"/>
        <w:gridCol w:w="1206"/>
      </w:tblGrid>
      <w:tr>
        <w:trPr>
          <w:tblHeader/>
        </w:trPr>
        <w:tc>
          <w:tcPr>
            <w:tcW w:type="dxa" w:w="6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Job (file)</w:t>
            </w:r>
          </w:p>
        </w:tc>
        <w:tc>
          <w:tcPr>
            <w:tcW w:type="dxa" w:w="240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Déclenchement</w:t>
            </w:r>
          </w:p>
        </w:tc>
        <w:tc>
          <w:tcPr>
            <w:tcW w:type="dxa" w:w="30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Entrée → Sortie</w:t>
            </w:r>
          </w:p>
        </w:tc>
        <w:tc>
          <w:tcPr>
            <w:tcW w:type="dxa" w:w="120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collect.discover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 01:00 UTC, par pays activé × secteur × langue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Mots-clés → nouvelles pages Advertiser (status TRACKED) + Ad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collect.refresh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1, lots de 10 page_ids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Annonceurs suivis → Ad à jour (dates, portée, ciblage)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analyze.format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Nouvelles Ad sans AdAnalysis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→ format (cache définitif) ; repli vers analyze.format.headless si échec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analyze.metrics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2 et 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→ AdvertiserDailyMetrics du jour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resolve.company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Annonceur sans lien ou lien de confiance &lt; seuil, tous les 7 j max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Domaine → Company + AdvertiserCompanyLink + Contact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FR, V2 BE/ES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events.collect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Quotidien, entreprises rattachées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Entreprise → ExternalEvent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signals.compute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4 et 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Métriques + événements → Signal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recipes.evaluate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7, par workspace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Signaux → Prospect (création ou mise à jour du score)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alerts.send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 07:00 heure locale ou hebdo lundi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Nouveaux prospects / scores en hausse → email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advertisers.deactivate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Aucune pub depuis N jours → status INACTIVE (plus de refresh)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retention.apply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 04:00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Purge et agrégation selon config/retention.yml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backup.verify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Vérifie la présence et la taille de la sauvegarde du jour, alerte sinon</w:t>
            </w:r>
          </w:p>
        </w:tc>
        <w:tc>
          <w:tcPr>
            <w:tcW w:type="dxa" w:w="1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</w:tbl>
    <w:p/>
    <w:p>
      <w:r>
        <w:t xml:space="preserve">Reprise après interruption : chaque job de collecte mémorise son curseur de pagination (JobRun.cursor) et reprend où il s’est arrêté. Les quotas journaliers épuisés reportent le reste au lendemain (jamais de dépassement).</w:t>
      </w:r>
    </w:p>
    <w:p>
      <w:pPr>
        <w:pStyle w:val="Heading1"/>
      </w:pPr>
      <w:r>
        <w:t xml:space="preserve">6. Cycles de vie (machines à états)</w:t>
      </w:r>
    </w:p>
    <w:p>
      <w:r>
        <w:t xml:space="preserve">Toute transition passe par une fonction de transition unique par entité, qui applique les gardes et écrit un AuditLog append-only { entityType, entityId, from, to, actorId, reason, occurredAt }. Aucune mise à jour directe du champ status ailleurs.</w:t>
      </w:r>
    </w:p>
    <w:p>
      <w:pPr>
        <w:pStyle w:val="Heading2"/>
      </w:pPr>
      <w:r>
        <w:t xml:space="preserve">6.1 Annonceur (Advertiser.status)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3282"/>
        <w:gridCol w:w="4103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32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10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Transition entrante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DISCOVERED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Vu dans une recherche par mots-clés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collect.discover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TRACKED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Rafraîchi quotidiennement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Automatique après découverte si pays activé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Aucune pub active depuis N jours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advertisers.deactivate ; retour à TRACKED si une pub réapparaît (rediscovery)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EXCLUDED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d’opposition ou anti-prospection registre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Ajout en liste ; terminal sauf retrait par ADMIN plateforme (motif requis)</w:t>
            </w:r>
          </w:p>
        </w:tc>
      </w:tr>
    </w:tbl>
    <w:p/>
    <w:p>
      <w:pPr>
        <w:pStyle w:val="Heading2"/>
      </w:pPr>
      <w:r>
        <w:t xml:space="preserve">6.2 Rattachement entreprise (AdvertiserCompanyLink.state)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7385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738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Règle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7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Proposé par les stratégies ; confiance calculée. Utilisable par les recettes si confiance ≥ seuil pays (défaut 0,8).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TO_REVIEW</w:t>
            </w:r>
          </w:p>
        </w:tc>
        <w:tc>
          <w:tcPr>
            <w:tcW w:type="dxa" w:w="7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Confiance entre 0,5 et le seuil : affiché dans la file « Rattachements à valider ». Prospect créé mais marqué « entreprise incertaine ».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VALIDATED</w:t>
            </w:r>
          </w:p>
        </w:tc>
        <w:tc>
          <w:tcPr>
            <w:tcW w:type="dxa" w:w="7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Confirmé par un humain (validatedBy) ; jamais écrasé par une résolution automatique.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7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Refusé par un humain ; la stratégie ne repropose pas la même entreprise.</w:t>
            </w:r>
          </w:p>
        </w:tc>
      </w:tr>
    </w:tbl>
    <w:p/>
    <w:p>
      <w:pPr>
        <w:pStyle w:val="Heading2"/>
      </w:pPr>
      <w:r>
        <w:t xml:space="preserve">6.3 Prospect (Prospect.status)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2461"/>
        <w:gridCol w:w="4924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92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Garde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Créé par une recette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Cible absente de la liste d’opposition ; pas de prospect ouvert pour (workspace, entreprise, recette)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CONTACTED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L’utilisateur déclare avoir contacté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choisi ALLOWED pour le pays (ou CONSENT_REQUIRED avec case « consentement obtenu »)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REPLIED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Réponse reçue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Depuis CONTACTED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WON / LOST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commerciale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Depuis CONTACTED ou REPLIED ; LOST demande un motif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EXCLUDED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 (opposition ou choix utilisateur)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Depuis tout état ; l’opposition globale l’impose sans action utilisateur</w:t>
            </w:r>
          </w:p>
        </w:tc>
      </w:tr>
    </w:tbl>
    <w:p/>
    <w:p>
      <w:r>
        <w:t xml:space="preserve">Un prospect WON, LOST ou EXCLUDED n’est pas recréé par la même recette avant N jours (config recette, défaut 180). Un nouveau signal sur un prospect ouvert met à jour score et last_signal_at, sans doublon.</w:t>
      </w:r>
    </w:p>
    <w:p>
      <w:pPr>
        <w:pStyle w:val="Heading1"/>
      </w:pPr>
      <w:r>
        <w:t xml:space="preserve">7. Configuration (config/, YAML versionné)</w:t>
      </w:r>
    </w:p>
    <w:p>
      <w:r>
        <w:t xml:space="preserve">Les fichiers sont validés au démarrage par un schéma (zod) ; une configuration invalide empêche le démarrage avec un message clair en français. Les valeurs modifiables par l’interface (V2+) sont stockées en base et surchargent le YAML, avec historique.</w:t>
      </w:r>
    </w:p>
    <w:p>
      <w:pPr>
        <w:pStyle w:val="Heading2"/>
      </w:pPr>
      <w:r>
        <w:t xml:space="preserve">7.1 config/countries/&lt;code&gt;.yml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0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/ enabled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3166-1 / bool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 activé en V1 ; BE, ES en V2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languages / timezone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/ IANA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BE : [fr, nl], Europe/Brussels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sectors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de { sector, keywordFiles }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Renvoie vers config/keywords/&lt;secteur&gt;.&lt;lang&gt;.yml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resolution.strategies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ordonnée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[legal-notice, registry-by-id, fuzzy-name]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resolution.registry / confidenceThreshold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connecteur / 0–1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fr-recherche-entreprises, be-kbo, null pour DE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legalNoticeKeywords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mentions légales, Impressum, aviso legal, note legali, colofon, juridisk…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registryIdPatterns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regex nommées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SIREN, HRB, NIF/CIF, P.IVA, KBO, CVR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prospecting.channels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 canal → { status, conditions, mandatoryMentions }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| CONSENT_REQUIRED | FORBIDDEN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prospecting.validated / validatedAt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 / date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 tant que non validé juridiquement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eventSources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</w:t>
            </w:r>
          </w:p>
        </w:tc>
        <w:tc>
          <w:tcPr>
            <w:tcW w:type="dxa" w:w="4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FR : [fr-france-travail, fr-bodacc, website-pixels]</w:t>
            </w:r>
          </w:p>
        </w:tc>
      </w:tr>
    </w:tbl>
    <w:p/>
    <w:p>
      <w:pPr>
        <w:pStyle w:val="Heading2"/>
      </w:pPr>
      <w:r>
        <w:t xml:space="preserve">7.2 Autres fichiers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config/sources/&lt;source&gt;.yml</w:t>
      </w:r>
      <w:r>
        <w:t xml:space="preserve"> : enabled, baseUrl, auth (nom de la variable d’environnement, jamais la valeur), rateLimit (requêtes / intervalle), dailyQuota, licence (texte + validated), versionMin.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config/keywords/&lt;secteur&gt;.&lt;lang&gt;.yml</w:t>
      </w:r>
      <w:r>
        <w:t xml:space="preserve"> : 30 à 50 termes par secteur et langue (beauté, mode, alimentation, maison, sport, santé/bien-être, animaux, enfants, tech grand public, services B2C) — FR, ES, NL/FR au départ.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config/recipes/&lt;id&gt;.yml</w:t>
      </w:r>
      <w:r>
        <w:t xml:space="preserve"> : recettes livrées (§10).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config/messages/&lt;recette&gt;.&lt;lang&gt;.&lt;canal&gt;.md</w:t>
      </w:r>
      <w:r>
        <w:t xml:space="preserve"> : modèles de messages avec variables.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config/retention.yml</w:t>
      </w:r>
      <w:r>
        <w:t xml:space="preserve">, </w:t>
      </w:r>
      <w:r>
        <w:rPr>
          <w:b/>
          <w:bCs/>
        </w:rPr>
        <w:t xml:space="preserve">config/plans.yml</w:t>
      </w:r>
      <w:r>
        <w:t xml:space="preserve"> (V3), </w:t>
      </w:r>
      <w:r>
        <w:rPr>
          <w:b/>
          <w:bCs/>
        </w:rPr>
        <w:t xml:space="preserve">config/signals.yml</w:t>
      </w:r>
      <w:r>
        <w:t xml:space="preserve"> (paramètres par défaut de chaque signal).</w:t>
      </w:r>
    </w:p>
    <w:p>
      <w:pPr>
        <w:pStyle w:val="Heading1"/>
      </w:pPr>
      <w:r>
        <w:t xml:space="preserve">8. Sources de données</w:t>
      </w:r>
    </w:p>
    <w:p>
      <w:pPr>
        <w:pStyle w:val="Heading2"/>
      </w:pPr>
      <w:r>
        <w:t xml:space="preserve">8.1 Sources autorisées (gratuites)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2082"/>
        <w:gridCol w:w="694"/>
        <w:gridCol w:w="3473"/>
      </w:tblGrid>
      <w:tr>
        <w:trPr>
          <w:tblHeader/>
        </w:trPr>
        <w:tc>
          <w:tcPr>
            <w:tcW w:type="dxa" w:w="277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0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Connecteur</w:t>
            </w:r>
          </w:p>
        </w:tc>
        <w:tc>
          <w:tcPr>
            <w:tcW w:type="dxa" w:w="69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47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Contraintes techniques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Ad Library API (ads_archive)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meta-ads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Jeton PREDIWORK vérifié ; ad_type=ALL ; ad_reached_countries = pays activés ; search_page_ids par lots de 10 ; erreur 613 → backoff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 d’aperçu Meta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analyzers/format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Débit minimal, cache définitif, aucun média stocké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Recherche d’entreprises (FR)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fr-recherche-entreprises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 appels/s ; données RNE parfois erronées → confiance pondérée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Sirene INSEE (FR)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fr-sirene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req/min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Sites des marques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robots.txt, 1 req / domaine / 10 s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Travail — Offres d’emploi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fr-france-travail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Inscription gratuite, OAuth client credentials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BODACC / RNE (open data)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fr-bodacc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 quotidien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BORME (ES), BCE/KBO (BE), CVR (DK)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es-borme, be-kbo, dk-cvr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V2/V4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Licences à vérifier ; CVR : marquage anti-prospection respecté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Ads Transparency (BigQuery)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google-ads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Licence commerciale à valider AVANT activation ; 1 To requêtes/mois, 10 Go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DeepL API Free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translator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V1+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500 000 caractères/mois, compteur en base</w:t>
            </w:r>
          </w:p>
        </w:tc>
      </w:tr>
      <w:tr>
        <w:trPr>
          <w:tblHeader w:val="off"/>
        </w:trPr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Brevo / Resend (gratuit)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mailer</w:t>
            </w:r>
          </w:p>
        </w:tc>
        <w:tc>
          <w:tcPr>
            <w:tcW w:type="dxa" w:w="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34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100–300 emails/jour, file d’envoi lissée</w:t>
            </w:r>
          </w:p>
        </w:tc>
      </w:tr>
    </w:tbl>
    <w:p/>
    <w:p>
      <w:pPr>
        <w:pStyle w:val="Heading2"/>
      </w:pPr>
      <w:r>
        <w:t xml:space="preserve">8.2 Exclus (ne jamais implémenter)</w:t>
      </w:r>
    </w:p>
    <w:p>
      <w:r>
        <w:t xml:space="preserve">Scraping LinkedIn ; API TikTok / LinkedIn Ad Library ; identification des visiteurs de sites ; devinette ou vérification automatisée d’emails nominatifs ; bases payantes ; collecte automatisée du Handelsregister allemand.</w:t>
      </w:r>
    </w:p>
    <w:p>
      <w:pPr>
        <w:pStyle w:val="Heading1"/>
      </w:pPr>
      <w:r>
        <w:t xml:space="preserve">9. Signaux</w:t>
      </w:r>
    </w:p>
    <w:p>
      <w:r>
        <w:t xml:space="preserve">Un signal = { code, advertiserId, companyId?, value (nombre ou JSON), detectedAt, expiresAt }. Calcul quotidien, paramètres par défaut dans config/signals.yml, surchargeables par recette. Chaque signal a une </w:t>
      </w:r>
      <w:r>
        <w:rPr>
          <w:b/>
          <w:bCs/>
        </w:rPr>
        <w:t xml:space="preserve">explication en langage simple</w:t>
      </w:r>
      <w:r>
        <w:t xml:space="preserve"> générée à partir d’un gabarit traduit (ex. « 14 pubs actives, aucune vidéo 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760"/>
        <w:gridCol w:w="2256"/>
        <w:gridCol w:w="754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Règle</w:t>
            </w:r>
          </w:p>
        </w:tc>
        <w:tc>
          <w:tcPr>
            <w:tcW w:type="dxa" w:w="225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Paramètres (défaut)</w:t>
            </w:r>
          </w:p>
        </w:tc>
        <w:tc>
          <w:tcPr>
            <w:tcW w:type="dxa" w:w="75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NEW_ADVERTISER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Première pub détectée il y a moins de X jours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 = 30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AD_SURGE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Pubs actives en hausse ≥ X % sur N jours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 = 50, N = 14, plancher 5 pubs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AD_STOP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les pubs arrêtées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≥ 5 pubs actives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NO_VIDEO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N pubs actives et 0 % de vidéo (formats UNKNOWN exclus du calcul)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10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STALE_CREATIVES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Création active la plus récente &gt; N jours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60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SINGLE_PLATFORM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les pubs sur une seule plateforme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SINGLE_COUNTRY / SINGLE_LANGUAGE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Diffusion limitée à un pays / une langue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NEW_COUNTRY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Début de diffusion dans un pays absent des 60 derniers jours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MARKETING_HIRING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Offre d’emploi marketing / acquisition / social media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de codes ROME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LEGAL_EVENT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Augmentation de capital, changement de dirigeant, création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fenêtre 90 j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PIXEL_NO_ADS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Pixel Meta ou TikTok sur le site, aucune pub active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NEW_STORE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Nouveau site ou boutique détecté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GOOGLE_* / NOT_ON_TIKTOK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Signaux Google ; absence TikTok via pixel uniquement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sous réserve de licence</w:t>
            </w:r>
          </w:p>
        </w:tc>
        <w:tc>
          <w:tcPr>
            <w:tcW w:type="dxa" w:w="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</w:tr>
    </w:tbl>
    <w:p/>
    <w:p>
      <w:r>
        <w:t xml:space="preserve">Seuil de fiabilité : un signal de format n’est émis que si ≥ 80 % des pubs actives ont un format connu (sinon « format indéterminé », pas de signal).</w:t>
      </w:r>
    </w:p>
    <w:p>
      <w:pPr>
        <w:pStyle w:val="Heading1"/>
      </w:pPr>
      <w:r>
        <w:t xml:space="preserve">10. Recettes et scoring</w:t>
      </w:r>
    </w:p>
    <w:p>
      <w:pPr>
        <w:pStyle w:val="Heading2"/>
      </w:pPr>
      <w:r>
        <w:t xml:space="preserve">10.1 Format d’une recette</w:t>
      </w:r>
    </w:p>
    <w:p>
      <w:pPr>
        <w:pStyle w:val="ListParagraph"/>
        <w:numPr>
          <w:ilvl w:val="0"/>
          <w:numId w:val="2"/>
        </w:numPr>
      </w:pPr>
      <w:r>
        <w:t xml:space="preserve">id, name (par langue), workspaceId (null = recette livrée), active, version.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</w:t>
      </w:r>
      <w:r>
        <w:t xml:space="preserve"> : arbre logique all / any / not de conditions { signal, params?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filters</w:t>
      </w:r>
      <w:r>
        <w:t xml:space="preserve"> : pays, secteurs, taille d’entreprise (size_band), ancienneté de l’annonceur, confiance minimale du rattachement.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messageTemplates</w:t>
      </w:r>
      <w:r>
        <w:t xml:space="preserve"> : référence aux modèles par langue et canal.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cooldownDays</w:t>
      </w:r>
      <w:r>
        <w:t xml:space="preserve"> : délai avant recréation d’un prospect clos (défaut 180).</w:t>
      </w:r>
    </w:p>
    <w:p>
      <w:pPr>
        <w:pStyle w:val="ListParagraph"/>
        <w:numPr>
          <w:ilvl w:val="0"/>
          <w:numId w:val="2"/>
        </w:numPr>
      </w:pPr>
      <w:r>
        <w:t xml:space="preserve">Le moteur est une fonction pure (signaux + entreprise + recette → correspond ? + signaux déclencheurs) : testable sans base.</w:t>
      </w:r>
    </w:p>
    <w:p>
      <w:pPr>
        <w:pStyle w:val="Heading2"/>
      </w:pPr>
      <w:r>
        <w:t xml:space="preserve">10.2 Recettes livrées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61"/>
        <w:gridCol w:w="4102"/>
        <w:gridCol w:w="1643"/>
      </w:tblGrid>
      <w:tr>
        <w:trPr>
          <w:tblHeader/>
        </w:trPr>
        <w:tc>
          <w:tcPr>
            <w:tcW w:type="dxa" w:w="8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Recette</w:t>
            </w:r>
          </w:p>
        </w:tc>
        <w:tc>
          <w:tcPr>
            <w:tcW w:type="dxa" w:w="410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164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Pour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UGC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NO_VIDEO et ≥ 10 pubs actives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NeedCreator (V1)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E-commerce consommables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Secteur consommables et (AD_SURGE ou NEW_ADVERTISER)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FluXence (V2)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 buyer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NEW_ADVERTISER ou PIXEL_NO_ADS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Agences (V2)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Créatif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STALE_CREATIVES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Agences (V2)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SINGLE_COUNTRY et (MARKETING_HIRING ou NEW_COUNTRY)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Agences (V2)</w:t>
            </w:r>
          </w:p>
        </w:tc>
      </w:tr>
      <w:tr>
        <w:trPr>
          <w:tblHeader w:val="off"/>
        </w:trPr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Croissance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AD_SURGE et LEGAL_EVENT (capital)</w:t>
            </w:r>
          </w:p>
        </w:tc>
        <w:tc>
          <w:tcPr>
            <w:tcW w:type="dxa" w:w="1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Agences (V2)</w:t>
            </w:r>
          </w:p>
        </w:tc>
      </w:tr>
    </w:tbl>
    <w:p/>
    <w:p>
      <w:pPr>
        <w:pStyle w:val="Heading2"/>
      </w:pPr>
      <w:r>
        <w:t xml:space="preserve">10.3 Score 0–100</w:t>
      </w:r>
    </w:p>
    <w:p>
      <w:r>
        <w:t xml:space="preserve">Score = 100 × (0,40 × force + 0,25 × fraîcheur + 0,20 × confiance + 0,15 × taille), chaque composante normalisée 0–1 : force = intensité des signaux déclencheurs (ex. nombre de pubs actives plafonné) ; fraîcheur = décroissance linéaire sur 30 jours depuis le signal le plus récent ; confiance = confiance du rattachement ; taille = adéquation de la tranche d’effectif au filtre de la recette. Poids dans config/recipes, versionnés. Le détail du calcul est stocké (Prospect.scoreBreakdown) et affiché sur la fiche.</w:t>
      </w:r>
    </w:p>
    <w:p>
      <w:pPr>
        <w:pStyle w:val="Heading1"/>
      </w:pPr>
      <w:r>
        <w:t xml:space="preserve">11. Modèle de données (PostgreSQL / Prisma)</w:t>
      </w:r>
    </w:p>
    <w:p>
      <w:r>
        <w:t xml:space="preserve">Identifiants UUID. Dates en timestamptz UTC. Tables </w:t>
      </w:r>
      <w:r>
        <w:rPr>
          <w:b/>
          <w:bCs/>
        </w:rPr>
        <w:t xml:space="preserve">globales</w:t>
      </w:r>
      <w:r>
        <w:t xml:space="preserve"> (partagées) : Country, Advertiser, Ad, AdAnalysis, AdvertiserDailyMetrics, Company, AdvertiserCompanyLink, Contact, ExternalEvent, Signal, SuppressionList(global). Tables </w:t>
      </w:r>
      <w:r>
        <w:rPr>
          <w:b/>
          <w:bCs/>
        </w:rPr>
        <w:t xml:space="preserve">par workspace</w:t>
      </w:r>
      <w:r>
        <w:t xml:space="preserve"> (workspaceId obligatoire, filtrage imposé par une couche d’accès unique) : Prospect, ProspectNote, Recipe(perso), AlertSetting, IntegrationCredential, SuppressionList(workspace), Subscription.</w:t>
      </w:r>
    </w:p>
    <w:p>
      <w:pPr>
        <w:pStyle w:val="Heading2"/>
      </w:pPr>
      <w:r>
        <w:t xml:space="preserve">11.1 Advertiser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1641"/>
        <w:gridCol w:w="4924"/>
      </w:tblGrid>
      <w:tr>
        <w:trPr>
          <w:tblHeader/>
        </w:trPr>
        <w:tc>
          <w:tcPr>
            <w:tcW w:type="dxa" w:w="24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2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/ metaPageId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 / string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metaPageId unique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pageName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pg_trgm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firstSeenAt / lastSeenAt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DISCOVERED | TRACKED | INACTIVE | EXCLUDED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countryPrimary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 de plus forte portée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websiteDomain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déduit des liens des pubs</w:t>
            </w:r>
          </w:p>
        </w:tc>
      </w:tr>
      <w:tr>
        <w:trPr>
          <w:tblHeader w:val="off"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sector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secteur du mot-clé de découverte, corrigeable</w:t>
            </w:r>
          </w:p>
        </w:tc>
      </w:tr>
    </w:tbl>
    <w:p/>
    <w:p>
      <w:pPr>
        <w:pStyle w:val="Heading2"/>
      </w:pPr>
      <w:r>
        <w:t xml:space="preserve">11.2 Ad et AdAnalysis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256"/>
        <w:gridCol w:w="3762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25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/ metaAdId / advertiserId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 / string / fk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metaAdId unique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/ startAt / stopAt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/ date / date?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stopAt null = active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platforms / languages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facebook, instagram, messenger, audience_network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texts / linkCaptions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/ string[]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Usage interne uniquement ; jamais exposé à un workspace CUSTOMER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euTotalReach / reachByCountry / targeting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 / json / json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âge, genre, lieux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payer / beneficiary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snapshotUrl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lien d’aperçu ; aucun média stocké</w:t>
            </w:r>
          </w:p>
        </w:tc>
      </w:tr>
      <w:tr>
        <w:trPr>
          <w:tblHeader w:val="off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AdAnalysis.format / method / analyzedAt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 / enum / date</w:t>
            </w:r>
          </w:p>
        </w:tc>
        <w:tc>
          <w:tcPr>
            <w:tcW w:type="dxa" w:w="3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| IMAGE | CAROUSEL | UNKNOWN ; HTTP | HEADLESS ; 1 ligne par pub</w:t>
            </w:r>
          </w:p>
        </w:tc>
      </w:tr>
    </w:tbl>
    <w:p/>
    <w:p>
      <w:pPr>
        <w:pStyle w:val="Heading2"/>
      </w:pPr>
      <w:r>
        <w:t xml:space="preserve">11.3 AdvertiserDailyMetrics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1641"/>
        <w:gridCol w:w="4103"/>
      </w:tblGrid>
      <w:tr>
        <w:trPr>
          <w:tblHeader/>
        </w:trPr>
        <w:tc>
          <w:tcPr>
            <w:tcW w:type="dxa" w:w="32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0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advertiserId / date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date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(advertiserId, date)</w:t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activeAds / newAds / stoppedAds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videoShare / knownFormatShare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0–1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platforms / countries / languages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compte par valeur</w:t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avgCreativeAgeDays / newestCreativeAgeDays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euReachCumulative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bigint?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11.4 Company, AdvertiserCompanyLink,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2777"/>
        <w:gridCol w:w="2778"/>
      </w:tblGrid>
      <w:tr>
        <w:trPr>
          <w:tblHeader/>
        </w:trPr>
        <w:tc>
          <w:tcPr>
            <w:tcW w:type="dxa" w:w="34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77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Company.country / registryId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/ string?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(country, registryId)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Company.legalName / sizeBand / sectorCode / address / websiteDomain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/ enum? / string? / json? / string?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sectorCode = NAF/NACE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Company.source / confidence / doNotProspect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 / decimal / bool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doNotProspect = marquage registre (CVR…)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Link.advertiserId / companyId / state / confidence / strategy / validatedBy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fk / enum / decimal / string / fk?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§6.2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Contact.companyId / name / role / source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string? / enum / enum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: LEGAL_REPRESENTATIVE | PUBLICATION_DIRECTOR | GENERIC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Contact.genericEmail / contactPageUrl / optOut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 / string? / bool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générique uniquement (contact@, hello@…), jamais reconstitué</w:t>
            </w:r>
          </w:p>
        </w:tc>
      </w:tr>
    </w:tbl>
    <w:p/>
    <w:p>
      <w:pPr>
        <w:pStyle w:val="Heading2"/>
      </w:pPr>
      <w:r>
        <w:t xml:space="preserve">11.5 ExternalEvent et Signal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2777"/>
        <w:gridCol w:w="2778"/>
      </w:tblGrid>
      <w:tr>
        <w:trPr>
          <w:tblHeader/>
        </w:trPr>
        <w:tc>
          <w:tcPr>
            <w:tcW w:type="dxa" w:w="34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77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ExternalEvent.companyId / type / date / payload / source / sourceRef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enum / date / json / string / string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: HIRING | CAPITAL | DIRECTOR_CHANGE | CREATION | PIXEL | NEW_STORE ; unique (source, sourceRef)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Signal.code / advertiserId / companyId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 / fk / fk?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Signal.value / explanationKey / detectedAt / expiresAt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/ string / date / date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(advertiserId, code, jour)</w:t>
            </w:r>
          </w:p>
        </w:tc>
      </w:tr>
    </w:tbl>
    <w:p/>
    <w:p>
      <w:pPr>
        <w:pStyle w:val="Heading2"/>
      </w:pPr>
      <w:r>
        <w:t xml:space="preserve">11.6 Recipe, Prospect, MessageTemplate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2777"/>
        <w:gridCol w:w="2778"/>
      </w:tblGrid>
      <w:tr>
        <w:trPr>
          <w:tblHeader/>
        </w:trPr>
        <w:tc>
          <w:tcPr>
            <w:tcW w:type="dxa" w:w="34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277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Recipe.workspaceId / name / definition / active / version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fk? / json / json / bool / int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= recette livrée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Prospect.workspaceId / companyId / advertiserId / recipeId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ouvert (workspaceId, companyId, recipeId)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Prospect.score / scoreBreakdown / status / triggerSignalIds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/ json / enum / uuid[]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§6.3 et §10.3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Prospect.createdAt / lastSignalAt / contactedAt / channelUsed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/ date / date? / enum?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ProspectNote.prospectId / authorId / body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fk / text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historique</w:t>
            </w:r>
          </w:p>
        </w:tc>
      </w:tr>
      <w:tr>
        <w:trPr>
          <w:tblHeader w:val="off"/>
        </w:trPr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MessageTemplate.recipeId / lang / channel / body / version / reviewed</w:t>
            </w:r>
          </w:p>
        </w:tc>
        <w:tc>
          <w:tcPr>
            <w:tcW w:type="dxa" w:w="2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/ string / enum / text / int / bool</w:t>
            </w:r>
          </w:p>
        </w:tc>
        <w:tc>
          <w:tcPr>
            <w:tcW w:type="dxa" w:w="2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traduction DeepL → reviewed=false jusqu’à relecture</w:t>
            </w:r>
          </w:p>
        </w:tc>
      </w:tr>
    </w:tbl>
    <w:p/>
    <w:p>
      <w:pPr>
        <w:pStyle w:val="Heading2"/>
      </w:pPr>
      <w:r>
        <w:t xml:space="preserve">11.7 Plateforme et comptes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SuppressionList</w:t>
      </w:r>
      <w:r>
        <w:t xml:space="preserve"> { scope GLOBAL | WORKSPACE, workspaceId?, companyId? | domain? | email?, reason, source (formulaire public, demande, registre), createdAt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</w:t>
      </w:r>
      <w:r>
        <w:t xml:space="preserve"> { name, kind INTERNAL | CUSTOMER, plan, countries[], locale } ; </w:t>
      </w:r>
      <w:r>
        <w:rPr>
          <w:b/>
          <w:bCs/>
        </w:rPr>
        <w:t xml:space="preserve">User</w:t>
      </w:r>
      <w:r>
        <w:t xml:space="preserve"> { email, passwordHash, locale } ; </w:t>
      </w:r>
      <w:r>
        <w:rPr>
          <w:b/>
          <w:bCs/>
        </w:rPr>
        <w:t xml:space="preserve">Membership</w:t>
      </w:r>
      <w:r>
        <w:t xml:space="preserve"> { userId, workspaceId, role ADMIN | MEMBER } ; </w:t>
      </w:r>
      <w:r>
        <w:rPr>
          <w:b/>
          <w:bCs/>
        </w:rPr>
        <w:t xml:space="preserve">PlatformAdmin</w:t>
      </w:r>
      <w:r>
        <w:t xml:space="preserve"> { userId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</w:t>
      </w:r>
      <w:r>
        <w:t xml:space="preserve"> (V3) { workspaceId, plan, stripeCustomerId, stripeSubscriptionId, status, currentPeriodEnd } ; </w:t>
      </w:r>
      <w:r>
        <w:rPr>
          <w:b/>
          <w:bCs/>
        </w:rPr>
        <w:t xml:space="preserve">UsageCounter</w:t>
      </w:r>
      <w:r>
        <w:t xml:space="preserve"> { workspaceId, period, prospectsCreated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IntegrationCredential</w:t>
      </w:r>
      <w:r>
        <w:t xml:space="preserve"> (V3) { workspaceId, provider, secretEncrypted (AES-256-GCM, clé en variable d’environnement), lastUsedAt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AlertSetting</w:t>
      </w:r>
      <w:r>
        <w:t xml:space="preserve"> { userId, workspaceId, frequency DAILY | WEEKLY | OFF, recipeIds[], countries[], minScore 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FeatureFlag</w:t>
      </w:r>
      <w:r>
        <w:t xml:space="preserve"> { key, scope, workspaceId?, enabled } ; </w:t>
      </w:r>
      <w:r>
        <w:rPr>
          <w:b/>
          <w:bCs/>
        </w:rPr>
        <w:t xml:space="preserve">JobRun</w:t>
      </w:r>
      <w:r>
        <w:t xml:space="preserve"> { queue, startedAt, endedAt, status, counts, cursor, error } ; </w:t>
      </w:r>
      <w:r>
        <w:rPr>
          <w:b/>
          <w:bCs/>
        </w:rPr>
        <w:t xml:space="preserve">SourceCallLog</w:t>
      </w:r>
      <w:r>
        <w:t xml:space="preserve"> { source, at, status, durationMs, errorCode } ; </w:t>
      </w:r>
      <w:r>
        <w:rPr>
          <w:b/>
          <w:bCs/>
        </w:rPr>
        <w:t xml:space="preserve">AuditLog</w:t>
      </w:r>
      <w:r>
        <w:t xml:space="preserve"> append-only.</w:t>
      </w:r>
    </w:p>
    <w:p>
      <w:pPr>
        <w:pStyle w:val="Heading1"/>
      </w:pPr>
      <w:r>
        <w:t xml:space="preserve">12. Surface API (routes Next.js)</w:t>
      </w:r>
    </w:p>
    <w:p>
      <w:r>
        <w:t xml:space="preserve">Authentification par cookie de session (V1 : comptes créés par l’opérateur ; V3 : inscription + email de confirmation). Erreurs métier → HTTP 400 { message } en langue de l’utilisateur. Toutes les routes workspace exigent l’appartenance et filtrent par workspaceId.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3223"/>
        <w:gridCol w:w="1289"/>
        <w:gridCol w:w="3225"/>
      </w:tblGrid>
      <w:tr>
        <w:trPr>
          <w:tblHeader/>
        </w:trPr>
        <w:tc>
          <w:tcPr>
            <w:tcW w:type="dxa" w:w="128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322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28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322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filtrée (pays, secteur, recette, score, statut, recherche), paginée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/api/prospects/:id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(sérialiseur selon workspace.kind, §2.1)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/api/prospects/:id/status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Transition de statut (canal + motif selon garde)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/api/prospects/:id/notes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Ajouter une note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/api/prospects/:id/message?lang&amp;channel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rendu avec variables, si canal autorisé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/api/prospects/:id/push/:provider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Envoi vers intégration (V3), contrôle opposition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/api/exports/prospects.csv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(complet si INTERNAL, champs prospect si CUSTOMER)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GET|PATCH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/api/recipes, /api/recipes/:id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Lister, activer, régler (V2), éditer (V3)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GET|PATCH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/api/settings/alerts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Réglages d’alertes (V2)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GET|POST|DELETE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/api/suppressions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d’exclusion du workspace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/api/public/opposition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Formulaire d’opposition (captcha, confirmation par email) → liste globale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/api/admin/links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des rattachements à valider / valider / rejeter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/api/admin/ops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Dernières collectes, erreurs, volumes par pays et source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/api/admin/jobs/:queue/run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Relancer un job manuellement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GET|PATCH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/api/admin/countries, /api/admin/flags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Activation pays / feature flags</w:t>
            </w:r>
          </w:p>
        </w:tc>
      </w:tr>
      <w:tr>
        <w:trPr>
          <w:tblHeader w:val="off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/api/billing/checkout, /api/billing/portal, /api/webhooks/stripe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/ Stripe</w:t>
            </w:r>
          </w:p>
        </w:tc>
        <w:tc>
          <w:tcPr>
            <w:tcW w:type="dxa" w:w="3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Abonnement (V3)</w:t>
            </w:r>
          </w:p>
        </w:tc>
      </w:tr>
    </w:tbl>
    <w:p/>
    <w:p>
      <w:pPr>
        <w:pStyle w:val="Heading1"/>
      </w:pPr>
      <w:r>
        <w:t xml:space="preserve">13. Interface (écrans par version)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5265"/>
        <w:gridCol w:w="1505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Écran</w:t>
            </w:r>
          </w:p>
        </w:tc>
        <w:tc>
          <w:tcPr>
            <w:tcW w:type="dxa" w:w="526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150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Prospects du jour, filtres, recherche, tri par score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prospect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Marque, entreprise (identifiant, taille, secteur, adresse), site, pays ; signaux avec explication et date ; résumé publicitaire agrégé + lien bibliothèque Meta ; contacts ; canaux autorisés + message ; statut, notes, historique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Rattachements à valider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Candidats, preuves (extrait mentions légales, registre), Valider / Rejeter / Choisir une autre entreprise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(opérateur)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Dernière collecte, erreurs, volumes par pays, quotas restants, sauvegarde du jour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(opérateur)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Recettes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Liste, activation, paramètres ; éditeur visuel en V3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 / V3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Réglages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Pays, secteurs, mots-clés, alertes, liste d’exclusion, intégrations (V3)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→ V3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/ Abonnement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Choix pays, secteurs, recettes ; plan Stripe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</w:tr>
      <w:tr>
        <w:trPr>
          <w:tblHeader w:val="off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publique « Données »</w:t>
            </w:r>
          </w:p>
        </w:tc>
        <w:tc>
          <w:tcPr>
            <w:tcW w:type="dxa" w:w="5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 RGPD + formulaire d’opposition</w:t>
            </w:r>
          </w:p>
        </w:tc>
        <w:tc>
          <w:tcPr>
            <w:tcW w:type="dxa" w:w="1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</w:tbl>
    <w:p/>
    <w:p>
      <w:r>
        <w:t xml:space="preserve">Langues de l’interface : FR (V1), EN + DE (V3), autres (V4). Aucun texte en dur dans les composants : catalogues messages/&lt;lang&gt;.json.</w:t>
      </w:r>
    </w:p>
    <w:p>
      <w:pPr>
        <w:pStyle w:val="Heading1"/>
      </w:pPr>
      <w:r>
        <w:t xml:space="preserve">14. Multi-comptes et abonnements (V3)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1388"/>
        <w:gridCol w:w="1388"/>
        <w:gridCol w:w="2082"/>
        <w:gridCol w:w="1388"/>
        <w:gridCol w:w="1392"/>
      </w:tblGrid>
      <w:tr>
        <w:trPr>
          <w:tblHeader/>
        </w:trPr>
        <w:tc>
          <w:tcPr>
            <w:tcW w:type="dxa" w:w="13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3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13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Pays</w:t>
            </w:r>
          </w:p>
        </w:tc>
        <w:tc>
          <w:tcPr>
            <w:tcW w:type="dxa" w:w="20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Recettes</w:t>
            </w:r>
          </w:p>
        </w:tc>
        <w:tc>
          <w:tcPr>
            <w:tcW w:type="dxa" w:w="13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Prospects / mois</w:t>
            </w:r>
          </w:p>
        </w:tc>
        <w:tc>
          <w:tcPr>
            <w:tcW w:type="dxa" w:w="139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Utilisateurs</w:t>
            </w:r>
          </w:p>
        </w:tc>
      </w:tr>
      <w:tr>
        <w:trPr>
          <w:tblHeader w:val="off"/>
        </w:trPr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49 €/mois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99 €/mois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+ intégrations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définir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définir</w:t>
            </w:r>
          </w:p>
        </w:tc>
      </w:tr>
      <w:tr>
        <w:trPr>
          <w:tblHeader w:val="off"/>
        </w:trPr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Agency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149 €/mois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Illimités</w:t>
            </w:r>
          </w:p>
        </w:tc>
        <w:tc>
          <w:tcPr>
            <w:tcW w:type="dxa" w:w="2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+ personnalisées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définir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Prix et limites dans config/plans.yml (identifiants Stripe par plan en variables d’environnement).</w:t>
      </w:r>
    </w:p>
    <w:p>
      <w:pPr>
        <w:pStyle w:val="ListParagraph"/>
        <w:numPr>
          <w:ilvl w:val="0"/>
          <w:numId w:val="2"/>
        </w:numPr>
      </w:pPr>
      <w:r>
        <w:t xml:space="preserve">Quota dépassé → plus de nouveaux prospects jusqu’à la période suivante (les existants restent visibles), message invitant à changer de plan.</w:t>
      </w:r>
    </w:p>
    <w:p>
      <w:pPr>
        <w:pStyle w:val="ListParagraph"/>
        <w:numPr>
          <w:ilvl w:val="0"/>
          <w:numId w:val="2"/>
        </w:numPr>
      </w:pPr>
      <w:r>
        <w:t xml:space="preserve">Webhook Stripe (checkout.session.completed, customer.subscription.created/updated/deleted, invoice.payment_failed) → Subscription ; facturation au nom de PREDIWORK, TVA UE via Stripe Tax si activé (à valider : service payant).</w:t>
      </w:r>
    </w:p>
    <w:p>
      <w:pPr>
        <w:pStyle w:val="ListParagraph"/>
        <w:numPr>
          <w:ilvl w:val="0"/>
          <w:numId w:val="2"/>
        </w:numPr>
      </w:pPr>
      <w:r>
        <w:t xml:space="preserve">Les workspaces INTERNAL ne sont jamais soumis aux quotas.</w:t>
      </w:r>
    </w:p>
    <w:p>
      <w:pPr>
        <w:pStyle w:val="Heading1"/>
      </w:pPr>
      <w:r>
        <w:t xml:space="preserve">15. Intégrations (V3)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HubSpot</w:t>
      </w:r>
      <w:r>
        <w:t xml:space="preserve"> (CRM gratuit, OAuth) : upsert entreprise par domaine, contact générique, note contenant le signal et le lien bibliothèque.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lemlist / La Growth Machine</w:t>
      </w:r>
      <w:r>
        <w:t xml:space="preserve"> : ajout à une campagne via la clé API </w:t>
      </w:r>
      <w:r>
        <w:rPr>
          <w:b/>
          <w:bCs/>
        </w:rPr>
        <w:t xml:space="preserve">du client</w:t>
      </w:r>
      <w:r>
        <w:t xml:space="preserve"> (chiffrée). PREDIWELL n’envoie rien lui-même.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générique</w:t>
      </w:r>
      <w:r>
        <w:t xml:space="preserve"> signé (HMAC) + export CSV des champs prospect.</w:t>
      </w:r>
    </w:p>
    <w:p>
      <w:pPr>
        <w:pStyle w:val="ListParagraph"/>
        <w:numPr>
          <w:ilvl w:val="0"/>
          <w:numId w:val="2"/>
        </w:numPr>
      </w:pPr>
      <w:r>
        <w:t xml:space="preserve">Chaque envoi : contrôle de la liste d’opposition et du canal EMAIL_B2B du pays ; si FORBIDDEN ou CONSENT_REQUIRED, l’envoi vers un outil d’emailing est refusé avec explication.</w:t>
      </w:r>
    </w:p>
    <w:p>
      <w:pPr>
        <w:pStyle w:val="Heading1"/>
      </w:pPr>
      <w:r>
        <w:t xml:space="preserve">16. Phase T0 — livrables techniques</w:t>
      </w:r>
    </w:p>
    <w:p>
      <w:r>
        <w:t xml:space="preserve">Scripts autonomes dans scripts/t0/ (non intégrés à l’application), résultats bruts dans data/t0/ (non versionné), synthèse dans docs/t0-report.md.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10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Mesures attendues</w:t>
            </w:r>
          </w:p>
        </w:tc>
        <w:tc>
          <w:tcPr>
            <w:tcW w:type="dxa" w:w="328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Décision d’architecture qui en dépend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API Meta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Pubs et pages distinctes par pays (FR, BE, ES, DE, GB) et par jour ; temps de réponse ; fréquence des erreurs 613 ; requête sans search_terms ; confirmation qu’une pub commerciale GB seule n’est pas renvoyée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Quotas et planification de collect.discover ; faisabilité des 6 h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Format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Sur 200 pubs : taux de réussite HTTP simple puis headless, temps par pub, mémoire, blocages anti-robot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Activation ou non de worker-browser ; débit de analyze.format</w:t>
            </w:r>
          </w:p>
        </w:tc>
      </w:tr>
      <w:tr>
        <w:trPr>
          <w:tblHeader w:val="off"/>
        </w:trP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Rattachement</w:t>
            </w:r>
          </w:p>
        </w:tc>
        <w:tc>
          <w:tcPr>
            <w:tcW w:type="dxa" w:w="4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Sur 200 annonceurs FR : taux de SIREN correct, taux de dirigeant récupéré, par stratégie</w:t>
            </w:r>
          </w:p>
        </w:tc>
        <w:tc>
          <w:tcPr>
            <w:tcW w:type="dxa" w:w="3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Ordre des stratégies FR, seuil de confiance, charge de la file de validation</w:t>
            </w:r>
          </w:p>
        </w:tc>
      </w:tr>
    </w:tbl>
    <w:p/>
    <w:p>
      <w:pPr>
        <w:pStyle w:val="Heading1"/>
      </w:pPr>
      <w:r>
        <w:t xml:space="preserve">17. Exigences non fonctionnelles et exploitation</w:t>
      </w:r>
    </w:p>
    <w:p>
      <w:pPr>
        <w:pStyle w:val="ListParagraph"/>
        <w:numPr>
          <w:ilvl w:val="0"/>
          <w:numId w:val="2"/>
        </w:numPr>
      </w:pPr>
      <w:r>
        <w:t xml:space="preserve">Collecte complète des pays activés &lt; 6 h (à calibrer après T0).</w:t>
      </w:r>
    </w:p>
    <w:p>
      <w:pPr>
        <w:pStyle w:val="ListParagraph"/>
        <w:numPr>
          <w:ilvl w:val="0"/>
          <w:numId w:val="2"/>
        </w:numPr>
      </w:pPr>
      <w:r>
        <w:t xml:space="preserve">Sauvegarde PostgreSQL quotidienne chiffrée, copie hors VPS, restauration testée (procédure dans docs/ops.md).</w:t>
      </w:r>
    </w:p>
    <w:p>
      <w:pPr>
        <w:pStyle w:val="ListParagraph"/>
        <w:numPr>
          <w:ilvl w:val="0"/>
          <w:numId w:val="2"/>
        </w:numPr>
      </w:pPr>
      <w:r>
        <w:t xml:space="preserve">Journalisation de chaque appel externe (SourceCallLog) ; tableau de bord d’exploitation ; email à l’opérateur si une collecte échoue deux jours de suite ou si un quota est épuisé avant la fin.</w:t>
      </w:r>
    </w:p>
    <w:p>
      <w:pPr>
        <w:pStyle w:val="ListParagraph"/>
        <w:numPr>
          <w:ilvl w:val="0"/>
          <w:numId w:val="2"/>
        </w:numPr>
      </w:pPr>
      <w:r>
        <w:t xml:space="preserve">Secrets en variables d’environnement (.env hors dépôt) ; clés d’intégration chiffrées en base.</w:t>
      </w:r>
    </w:p>
    <w:p>
      <w:pPr>
        <w:pStyle w:val="ListParagraph"/>
        <w:numPr>
          <w:ilvl w:val="0"/>
          <w:numId w:val="2"/>
        </w:numPr>
      </w:pPr>
      <w:r>
        <w:t xml:space="preserve">Tests : unitaires (signaux, recettes, score, gardes de statut, règles de canal, parseurs de mentions légales par langue) ; intégration sur fixtures enregistrées ; parcours web Playwright ; aucun appel réel en CI.</w:t>
      </w:r>
    </w:p>
    <w:p>
      <w:pPr>
        <w:pStyle w:val="ListParagraph"/>
        <w:numPr>
          <w:ilvl w:val="0"/>
          <w:numId w:val="2"/>
        </w:numPr>
      </w:pPr>
      <w:r>
        <w:t xml:space="preserve">Mise à jour : git pull + docker compose up -d --build ; migrations Prisma appliquées au démarrage du worker (jamais par le web).</w:t>
      </w:r>
    </w:p>
    <w:p>
      <w:pPr>
        <w:pStyle w:val="Heading1"/>
      </w:pPr>
      <w:r>
        <w:t xml:space="preserve">18. Décisions actées (ne pas reposer)</w:t>
      </w:r>
    </w:p>
    <w:p>
      <w:pPr>
        <w:pStyle w:val="ListParagraph"/>
        <w:numPr>
          <w:ilvl w:val="0"/>
          <w:numId w:val="2"/>
        </w:numPr>
      </w:pPr>
      <w:r>
        <w:t xml:space="preserve">Données collectées une fois, globalement ; prospects par workspace. NeedCreator et FluXence sont deux workspaces INTERNAL dès la V1 (pas de migration en V3).</w:t>
      </w:r>
    </w:p>
    <w:p>
      <w:pPr>
        <w:pStyle w:val="ListParagraph"/>
        <w:numPr>
          <w:ilvl w:val="0"/>
          <w:numId w:val="2"/>
        </w:numPr>
      </w:pPr>
      <w:r>
        <w:t xml:space="preserve">Un seul serveur PostgreSQL pour les données et les files (pg-boss) : pas de Redis.</w:t>
      </w:r>
    </w:p>
    <w:p>
      <w:pPr>
        <w:pStyle w:val="ListParagraph"/>
        <w:numPr>
          <w:ilvl w:val="0"/>
          <w:numId w:val="2"/>
        </w:numPr>
      </w:pPr>
      <w:r>
        <w:t xml:space="preserve">PREDIWELL n’envoie aucun email de prospection ; il alimente les outils du client.</w:t>
      </w:r>
    </w:p>
    <w:p>
      <w:pPr>
        <w:pStyle w:val="ListParagraph"/>
        <w:numPr>
          <w:ilvl w:val="0"/>
          <w:numId w:val="2"/>
        </w:numPr>
      </w:pPr>
      <w:r>
        <w:t xml:space="preserve">Version commerciale : agrégats + lien bibliothèque Meta, jamais de créations ni d’export brut.</w:t>
      </w:r>
    </w:p>
    <w:p>
      <w:pPr>
        <w:pStyle w:val="ListParagraph"/>
        <w:numPr>
          <w:ilvl w:val="0"/>
          <w:numId w:val="2"/>
        </w:numPr>
      </w:pPr>
      <w:r>
        <w:t xml:space="preserve">Aucun email nominatif reconstitué ou vérifié ; contacts = dirigeant légal / directeur de publication + email générique.</w:t>
      </w:r>
    </w:p>
    <w:p>
      <w:pPr>
        <w:pStyle w:val="ListParagraph"/>
        <w:numPr>
          <w:ilvl w:val="0"/>
          <w:numId w:val="2"/>
        </w:numPr>
      </w:pPr>
      <w:r>
        <w:t xml:space="preserve">Tout ce qui dépend d’un pays ou d’une source est dans config/.</w:t>
      </w:r>
    </w:p>
    <w:p>
      <w:pPr>
        <w:pStyle w:val="ListParagraph"/>
        <w:numPr>
          <w:ilvl w:val="0"/>
          <w:numId w:val="2"/>
        </w:numPr>
      </w:pPr>
      <w:r>
        <w:t xml:space="preserve">Format d’une pub analysé une seule fois, aucun média stocké.</w:t>
      </w:r>
    </w:p>
    <w:p>
      <w:pPr>
        <w:pStyle w:val="Heading1"/>
      </w:pPr>
      <w:r>
        <w:t xml:space="preserve">19. Points ouverts / à trancher (ne pas décider seul)</w:t>
      </w:r>
    </w:p>
    <w:p>
      <w:pPr>
        <w:pStyle w:val="ListParagraph"/>
        <w:numPr>
          <w:ilvl w:val="0"/>
          <w:numId w:val="2"/>
        </w:numPr>
      </w:pPr>
      <w:r>
        <w:t xml:space="preserve">Accès API Meta au nom de PREDIWORK (bloquant pour T0).</w:t>
      </w:r>
    </w:p>
    <w:p>
      <w:pPr>
        <w:pStyle w:val="ListParagraph"/>
        <w:numPr>
          <w:ilvl w:val="0"/>
          <w:numId w:val="2"/>
        </w:numPr>
      </w:pPr>
      <w:r>
        <w:t xml:space="preserve">Disponibilité du nom PREDIWELL (INPI/EUIPO, domaine, réseaux).</w:t>
      </w:r>
    </w:p>
    <w:p>
      <w:pPr>
        <w:pStyle w:val="ListParagraph"/>
        <w:numPr>
          <w:ilvl w:val="0"/>
          <w:numId w:val="2"/>
        </w:numPr>
      </w:pPr>
      <w:r>
        <w:t xml:space="preserve">Validation juridique avant V3 : conditions Meta (pages d’aperçu), RGPD, règles de canal par pays.</w:t>
      </w:r>
    </w:p>
    <w:p>
      <w:pPr>
        <w:pStyle w:val="ListParagraph"/>
        <w:numPr>
          <w:ilvl w:val="0"/>
          <w:numId w:val="2"/>
        </w:numPr>
      </w:pPr>
      <w:r>
        <w:t xml:space="preserve">Licence commerciale Google Ads Transparency.</w:t>
      </w:r>
    </w:p>
    <w:p>
      <w:pPr>
        <w:pStyle w:val="ListParagraph"/>
        <w:numPr>
          <w:ilvl w:val="0"/>
          <w:numId w:val="2"/>
        </w:numPr>
      </w:pPr>
      <w:r>
        <w:t xml:space="preserve">Liste initiale de secteurs et mots-clés prioritaires (NeedCreator, FluXence).</w:t>
      </w:r>
    </w:p>
    <w:p>
      <w:pPr>
        <w:pStyle w:val="ListParagraph"/>
        <w:numPr>
          <w:ilvl w:val="0"/>
          <w:numId w:val="2"/>
        </w:numPr>
      </w:pPr>
      <w:r>
        <w:t xml:space="preserve">Fournisseur d’emails d’alerte (SMTP PREDIWORK, Brevo ou Resend) et Stripe Tax (payant).</w:t>
      </w:r>
    </w:p>
    <w:p>
      <w:pPr>
        <w:pStyle w:val="ListParagraph"/>
        <w:numPr>
          <w:ilvl w:val="0"/>
          <w:numId w:val="2"/>
        </w:numPr>
      </w:pPr>
      <w:r>
        <w:t xml:space="preserve">Limites des plans Pro et Agency.</w:t>
      </w:r>
    </w:p>
    <w:p>
      <w:pPr>
        <w:pStyle w:val="ListParagraph"/>
        <w:numPr>
          <w:ilvl w:val="0"/>
          <w:numId w:val="2"/>
        </w:numPr>
      </w:pPr>
      <w:r>
        <w:t xml:space="preserve">Méthode de détection de format et besoin d’un navigateur headless (issue de T0).</w:t>
      </w:r>
    </w:p>
    <w:p>
      <w:pPr>
        <w:pStyle w:val="Heading1"/>
      </w:pPr>
      <w:r>
        <w:t xml:space="preserve">20. Règles transverses</w:t>
      </w:r>
    </w:p>
    <w:p>
      <w:pPr>
        <w:pStyle w:val="ListParagraph"/>
        <w:numPr>
          <w:ilvl w:val="0"/>
          <w:numId w:val="2"/>
        </w:numPr>
      </w:pPr>
      <w:r>
        <w:t xml:space="preserve">Audit append-only sur chaque transition de statut, validation de rattachement, ajout ou retrait en liste d’opposition, changement de configuration, envoi vers intégration.</w:t>
      </w:r>
    </w:p>
    <w:p>
      <w:pPr>
        <w:pStyle w:val="ListParagraph"/>
        <w:numPr>
          <w:ilvl w:val="0"/>
          <w:numId w:val="2"/>
        </w:numPr>
      </w:pPr>
      <w:r>
        <w:t xml:space="preserve">Liste d’opposition vérifiée à quatre points : création de prospect, affichage, export, intégration.</w:t>
      </w:r>
    </w:p>
    <w:p>
      <w:pPr>
        <w:pStyle w:val="ListParagraph"/>
        <w:numPr>
          <w:ilvl w:val="0"/>
          <w:numId w:val="2"/>
        </w:numPr>
      </w:pPr>
      <w:r>
        <w:t xml:space="preserve">Isolation des workspaces par une couche d’accès unique ; test automatique qui vérifie qu’aucune requête workspace ne s’exécute sans filtre.</w:t>
      </w:r>
    </w:p>
    <w:p>
      <w:pPr>
        <w:pStyle w:val="ListParagraph"/>
        <w:numPr>
          <w:ilvl w:val="0"/>
          <w:numId w:val="2"/>
        </w:numPr>
      </w:pPr>
      <w:r>
        <w:t xml:space="preserve">i18n : catalogues de traduction pour l’interface, modèles de messages versionnés, formats via Intl.</w:t>
      </w:r>
    </w:p>
    <w:p>
      <w:pPr>
        <w:pStyle w:val="ListParagraph"/>
        <w:numPr>
          <w:ilvl w:val="0"/>
          <w:numId w:val="2"/>
        </w:numPr>
      </w:pPr>
      <w:r>
        <w:t xml:space="preserve">Toute nouvelle règle de gestion arrive avec ses tests ; tout nouveau connecteur arrive avec ses fixtures.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2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2026-10-27T10:49:43.950Z</dcterms:created>
  <dcterms:modified xsi:type="dcterms:W3CDTF">2026-10-27T10:49:43.952Z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