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B2545"/>
          <w:sz w:val="64"/>
          <w:szCs w:val="64"/>
        </w:rPr>
        <w:t xml:space="preserve">PREDSEA</w:t>
      </w:r>
    </w:p>
    <w:p>
      <w:pPr>
        <w:spacing w:after="400" w:before="200"/>
        <w:jc w:val="center"/>
      </w:pPr>
      <w:r>
        <w:rPr>
          <w:i/>
          <w:iCs/>
          <w:color w:val="0E7C7B"/>
          <w:sz w:val="26"/>
          <w:szCs w:val="26"/>
        </w:rPr>
        <w:t xml:space="preserve">Conversational AI First Mate &amp; High-Resolution Marine Intelligence</w:t>
      </w:r>
    </w:p>
    <w:p>
      <w:pPr>
        <w:spacing w:before="800"/>
        <w:jc w:val="center"/>
      </w:pPr>
      <w:r>
        <w:rPr>
          <w:b/>
          <w:bCs/>
          <w:sz w:val="30"/>
          <w:szCs w:val="30"/>
        </w:rPr>
        <w:t xml:space="preserve">Business Plan</w:t>
      </w:r>
    </w:p>
    <w:p>
      <w:pPr>
        <w:spacing w:before="200"/>
        <w:jc w:val="center"/>
      </w:pPr>
      <w:r>
        <w:rPr>
          <w:sz w:val="24"/>
          <w:szCs w:val="24"/>
        </w:rPr>
        <w:t xml:space="preserve">Prepared for Investors · Seed Round</w:t>
      </w:r>
    </w:p>
    <w:p>
      <w:pPr>
        <w:spacing w:before="600"/>
        <w:jc w:val="center"/>
      </w:pPr>
      <w:r>
        <w:rPr>
          <w:sz w:val="22"/>
          <w:szCs w:val="22"/>
        </w:rPr>
        <w:t xml:space="preserve">Palma de Mallorca, Spain</w:t>
      </w:r>
    </w:p>
    <w:p>
      <w:pPr>
        <w:jc w:val="center"/>
      </w:pPr>
      <w:r>
        <w:rPr>
          <w:sz w:val="22"/>
          <w:szCs w:val="22"/>
        </w:rPr>
        <w:t xml:space="preserve">predsea.com</w:t>
      </w:r>
    </w:p>
    <w:p>
      <w:pPr>
        <w:spacing w:before="200"/>
        <w:jc w:val="center"/>
      </w:pPr>
      <w:r>
        <w:rPr>
          <w:sz w:val="22"/>
          <w:szCs w:val="22"/>
        </w:rPr>
        <w:t xml:space="preserve">July 2026</w:t>
      </w:r>
    </w:p>
    <w:p>
      <w:r>
        <w:br w:type="page"/>
      </w:r>
    </w:p>
    <w:p>
      <w:pPr>
        <w:pStyle w:val="Heading1"/>
        <w:spacing w:after="200" w:before="400"/>
      </w:pPr>
      <w:r>
        <w:t xml:space="preserve">1. Executive Summary</w:t>
      </w:r>
    </w:p>
    <w:p>
      <w:pPr>
        <w:spacing w:after="160"/>
        <w:jc w:val="left"/>
      </w:pPr>
      <w:r>
        <w:rPr>
          <w:b w:val="false"/>
          <w:bCs w:val="false"/>
          <w:i/>
          <w:iCs/>
        </w:rPr>
        <w:t xml:space="preserve">PredSea is the world's first conversational AI First Mate that reasons over proprietary, high-resolution regional physics models to deliver natural-language maritime intelligence directly inside WhatsApp.</w:t>
      </w:r>
    </w:p>
    <w:p>
      <w:pPr>
        <w:spacing w:after="160"/>
        <w:jc w:val="left"/>
      </w:pPr>
      <w:r>
        <w:rPr>
          <w:b w:val="false"/>
          <w:bCs w:val="false"/>
          <w:i w:val="false"/>
          <w:iCs w:val="false"/>
        </w:rPr>
        <w:t xml:space="preserve">PredSea is an AI-first marine weather and routing intelligence platform built for the Western Mediterranean. Rather than forcing yacht captains to download complex applications and manually interpret static, multi-layered visual grids, PredSea introduces a zero-friction conversational interface. Our proprietary conversational engine runs directly inside WhatsApp and actively reasons over our high-resolution regional coupled physical simulations — atmosphere (WRF), ocean circulation (CROCO/ROMS), and nearshore wave (SWAN) models — to deliver instant, human-language answers and actionable voyage advice.</w:t>
      </w:r>
    </w:p>
    <w:p>
      <w:pPr>
        <w:spacing w:after="160"/>
        <w:jc w:val="left"/>
      </w:pPr>
      <w:r>
        <w:rPr>
          <w:b w:val="false"/>
          <w:bCs w:val="false"/>
          <w:i w:val="false"/>
          <w:iCs w:val="false"/>
        </w:rPr>
        <w:t xml:space="preserve">PredSea is a single, unified company: the product, the physics stack, and the conversational delivery layer (formerly operated as a separate “Relay” initiative) are now one integrated technology stack and one company, based in Palma de Mallorca and currently in the process of formal incorporation. This consolidation removes any ambiguity around IP ownership or platform dependency that existed while the conversational layer was developed as a parallel track, and it is reflected in a signed Founders' Memorandum of Agreement assigning all related IP to the Company (see Section 11).</w:t>
      </w:r>
    </w:p>
    <w:p>
      <w:pPr>
        <w:spacing w:after="160"/>
        <w:jc w:val="left"/>
      </w:pPr>
      <w:r>
        <w:rPr>
          <w:b w:val="false"/>
          <w:bCs w:val="false"/>
          <w:i w:val="false"/>
          <w:iCs w:val="false"/>
        </w:rPr>
        <w:t xml:space="preserve">Our core defensibility is not just the underlying physics stack, but the advanced AI agent reasoning layer that bridges conversational intent and structured multi-dimensional physics grids. This conversational delivery meets yacht captains where they already are, drastically lowering customer acquisition cost (CAC) and driving organic word-of-mouth growth across tight-knit captain and fleet-management networks. PredSea is currently running a live pilot with an initial cohort of yacht captains across the Western Mediterranean, validating both conversational reasoning accuracy and the zero-friction delivery experience against real observational data.</w:t>
      </w:r>
    </w:p>
    <w:p>
      <w:pPr>
        <w:spacing w:after="160"/>
        <w:jc w:val="left"/>
      </w:pPr>
      <w:r>
        <w:rPr>
          <w:b w:val="false"/>
          <w:bCs w:val="false"/>
          <w:i w:val="false"/>
          <w:iCs w:val="false"/>
        </w:rPr>
        <w:t xml:space="preserve">Since our last investor materials, PredSea has closed several technical gaps that materially strengthen the company's defensibility: a validated, own-built coupled atmosphere/ocean/wave model stack (WRF, CROCO/ROMS, SWAN) that outperformed the regional CMEMS/AROME reference products across every station tested in a controlled HPC benchmark; a live hazards and anomaly-detection endpoint merging official AEMET warnings with statistical climatology-based anomaly detection; and a fully separated test/production cloud environment with IAM-level isolation, de-risking the path to paying customers.</w:t>
      </w:r>
    </w:p>
    <w:p>
      <w:pPr>
        <w:spacing w:after="160"/>
        <w:jc w:val="left"/>
      </w:pPr>
      <w:r>
        <w:rPr>
          <w:b w:val="false"/>
          <w:bCs w:val="false"/>
          <w:i w:val="false"/>
          <w:iCs w:val="false"/>
        </w:rPr>
        <w:t xml:space="preserve">PredSea is founded by four equal co-founders — Dr. Charles Santana (Lead Architect, Oceanography &amp; Data Systems), Kobus Wentzel (Software Engineering &amp; AI Architecture), Matt Bullamore (AI Systems &amp; Product), and Graham Wilkinson (Master Mariner &amp; Maritime Operations) — each holding 25% of the Company under a signed Founders' Memorandum of Agreement. We are raising a seed round to fund a focused 12-month program to establish our Western Mediterranean beachhead, prove core B2B SaaS metrics, and scale customer acquisition ahead of a Series A. This trajectory targets a premium strategic acquisition by Year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At a glance</w:t>
            </w:r>
          </w:p>
          <w:p>
            <w:pPr>
              <w:spacing w:after="80"/>
            </w:pPr>
            <w:r>
              <w:t xml:space="preserve">Category: Conversational AI &amp; High-Resolution Marine Intelligence</w:t>
            </w:r>
          </w:p>
          <w:p>
            <w:pPr>
              <w:spacing w:after="80"/>
            </w:pPr>
            <w:r>
              <w:t xml:space="preserve">Base: Palma de Mallorca, Spain</w:t>
            </w:r>
          </w:p>
          <w:p>
            <w:pPr>
              <w:spacing w:after="80"/>
            </w:pPr>
            <w:r>
              <w:t xml:space="preserve">Coverage: Western Mediterranean Basin (Spain, France, Italy — Gibraltar Strait to Sicily)</w:t>
            </w:r>
          </w:p>
          <w:p>
            <w:pPr>
              <w:spacing w:after="80"/>
            </w:pPr>
            <w:r>
              <w:t xml:space="preserve">Stage: Active pilot with early-cohort yacht captains across the Western Mediterranean (own model grid spans the Alboran, Algerian, Balearic, Gulf of Lion and Tyrrhenian basins); early internal HPC benchmark favorable, independent re-validation in progress</w:t>
            </w:r>
          </w:p>
          <w:p>
            <w:pPr>
              <w:spacing w:after="80"/>
            </w:pPr>
            <w:r>
              <w:t xml:space="preserve">Core advantage: Zero-friction WhatsApp interface executing real-time AI reasoning over proprietary physics</w:t>
            </w:r>
          </w:p>
          <w:p>
            <w:pPr>
              <w:spacing w:after="80"/>
            </w:pPr>
            <w:r>
              <w:t xml:space="preserve">Ask: Seed round (see Section 14) — 12-month runway to a Series A</w:t>
            </w:r>
          </w:p>
          <w:p>
            <w:pPr>
              <w:spacing w:after="80"/>
            </w:pPr>
            <w:r>
              <w:t xml:space="preserve">Exit target: Strategic acquisition within 3.5–4 years</w:t>
            </w:r>
          </w:p>
          <w:p>
            <w:pPr>
              <w:spacing w:after="80"/>
            </w:pPr>
            <w:r>
              <w:t xml:space="preserve">Beachhead: Charter fleet managers, sailing schools and professional skippers across the Western Mediterranean</w:t>
            </w:r>
          </w:p>
        </w:tc>
      </w:tr>
    </w:tbl>
    <w:p>
      <w:r>
        <w:br w:type="page"/>
      </w:r>
    </w:p>
    <w:p>
      <w:pPr>
        <w:pStyle w:val="Heading1"/>
        <w:spacing w:after="200" w:before="400"/>
      </w:pPr>
      <w:r>
        <w:t xml:space="preserve">2. The Problem</w:t>
      </w:r>
    </w:p>
    <w:p>
      <w:pPr>
        <w:pStyle w:val="Heading2"/>
        <w:spacing w:after="150" w:before="300"/>
      </w:pPr>
      <w:r>
        <w:t xml:space="preserve">App fatigue and manual scientific interpretation create immense cognitive load</w:t>
      </w:r>
    </w:p>
    <w:p>
      <w:pPr>
        <w:spacing w:after="160"/>
        <w:jc w:val="left"/>
      </w:pPr>
      <w:r>
        <w:rPr>
          <w:b w:val="false"/>
          <w:bCs w:val="false"/>
          <w:i w:val="false"/>
          <w:iCs w:val="false"/>
        </w:rPr>
        <w:t xml:space="preserve">Current marine navigation and weather applications are fundamentally broken for the modern yacht captain. Incumbents like PredictWind, Windy, and Garmin/Navionics force skippers to download heavy standalone apps, register accounts, pay complex consumer-tier subscriptions, and manually toggle dozens of raw visual layers and timelines. Under stress at sea, captains do not want to become amateur meteorologists or struggle with visual dashboards — they need a clear, definitive, immediate answer.</w:t>
      </w:r>
    </w:p>
    <w:p>
      <w:pPr>
        <w:pStyle w:val="Heading2"/>
        <w:spacing w:after="150" w:before="300"/>
      </w:pPr>
      <w:r>
        <w:t xml:space="preserve">Fragmented, hard-to-act-on information</w:t>
      </w:r>
    </w:p>
    <w:p>
      <w:pPr>
        <w:pStyle w:val="ListParagraph"/>
        <w:numPr>
          <w:ilvl w:val="0"/>
          <w:numId w:val="1"/>
        </w:numPr>
        <w:spacing w:after="100"/>
      </w:pPr>
      <w:r>
        <w:rPr>
          <w:b/>
          <w:bCs/>
        </w:rPr>
        <w:t xml:space="preserve">App and dashboard fatigue: </w:t>
      </w:r>
      <w:r>
        <w:t xml:space="preserve">Captains suffer from cognitive overload switching between multiple weather consoles, port authorities, and tide charts to compile a single go/no-go routing decision.</w:t>
      </w:r>
    </w:p>
    <w:p>
      <w:pPr>
        <w:pStyle w:val="ListParagraph"/>
        <w:numPr>
          <w:ilvl w:val="0"/>
          <w:numId w:val="1"/>
        </w:numPr>
        <w:spacing w:after="100"/>
      </w:pPr>
      <w:r>
        <w:rPr>
          <w:b/>
          <w:bCs/>
        </w:rPr>
        <w:t xml:space="preserve">The interpretation gap: </w:t>
      </w:r>
      <w:r>
        <w:t xml:space="preserve">Coarse global models (GFS-class, ~25km grids) cannot resolve complex nearshore coastal physics, and raw atmospheric grids must be manually reconciled with official CAP warning alerts.</w:t>
      </w:r>
    </w:p>
    <w:p>
      <w:pPr>
        <w:pStyle w:val="ListParagraph"/>
        <w:numPr>
          <w:ilvl w:val="0"/>
          <w:numId w:val="1"/>
        </w:numPr>
        <w:spacing w:after="100"/>
      </w:pPr>
      <w:r>
        <w:rPr>
          <w:b/>
          <w:bCs/>
        </w:rPr>
        <w:t xml:space="preserve">High friction, high CAC: </w:t>
      </w:r>
      <w:r>
        <w:t xml:space="preserve">App-based go-to-market strategies suffer from high drop-off rates and rising ad spend, failing to capture the natural word-of-mouth referral dynamics of the maritime community.</w:t>
      </w:r>
    </w:p>
    <w:p>
      <w:pPr>
        <w:pStyle w:val="Heading2"/>
        <w:spacing w:after="150" w:before="300"/>
      </w:pPr>
      <w:r>
        <w:t xml:space="preserve">The distribution gap</w:t>
      </w:r>
    </w:p>
    <w:p>
      <w:pPr>
        <w:spacing w:after="160"/>
        <w:jc w:val="left"/>
      </w:pPr>
      <w:r>
        <w:rPr>
          <w:b w:val="false"/>
          <w:bCs w:val="false"/>
          <w:i w:val="false"/>
          <w:iCs w:val="false"/>
        </w:rPr>
        <w:t xml:space="preserve">Even where good marine data exists, it lives behind apps that require download, account setup and active querying. Captains want an answer, not a dashboard — particularly in the charter segment, where speed of decision-making directly affects guest safety and experience.</w:t>
      </w:r>
    </w:p>
    <w:p>
      <w:pPr>
        <w:pStyle w:val="Heading1"/>
        <w:spacing w:after="200" w:before="400"/>
      </w:pPr>
      <w:r>
        <w:t xml:space="preserve">3. The Solution</w:t>
      </w:r>
    </w:p>
    <w:p>
      <w:pPr>
        <w:spacing w:after="160"/>
        <w:jc w:val="left"/>
      </w:pPr>
      <w:r>
        <w:rPr>
          <w:b w:val="false"/>
          <w:bCs w:val="false"/>
          <w:i/>
          <w:iCs/>
        </w:rPr>
        <w:t xml:space="preserve">An AI First Mate that lives inside WhatsApp, reasoning over custom physics to deliver human-language clarity.</w:t>
      </w:r>
    </w:p>
    <w:p>
      <w:pPr>
        <w:spacing w:after="160"/>
        <w:jc w:val="left"/>
      </w:pPr>
      <w:r>
        <w:rPr>
          <w:b w:val="false"/>
          <w:bCs w:val="false"/>
          <w:i w:val="false"/>
          <w:iCs w:val="false"/>
        </w:rPr>
        <w:t xml:space="preserve">PredSea removes the dashboard layer entirely. We meet captains where they already are: on WhatsApp. The entire user interface is a conversation, backed by our advanced AI reasoning engine coupled to our proprietary regional forecast model — all built and operated in-house as a single technology stack.</w:t>
      </w:r>
    </w:p>
    <w:p>
      <w:pPr>
        <w:pStyle w:val="Heading2"/>
        <w:spacing w:after="150" w:before="300"/>
      </w:pPr>
      <w:r>
        <w:t xml:space="preserve">3.1 Conversational AI First Mate in action</w:t>
      </w:r>
    </w:p>
    <w:p>
      <w:pPr>
        <w:spacing w:after="160"/>
        <w:jc w:val="left"/>
      </w:pPr>
      <w:r>
        <w:rPr>
          <w:b w:val="false"/>
          <w:bCs w:val="false"/>
          <w:i w:val="false"/>
          <w:iCs w:val="false"/>
        </w:rPr>
        <w:t xml:space="preserve">When a skipper queries PredSea, the AI agent does not just retrieve a raw weather grid. It translates natural-language queries into spatial-temporal queries, runs chronological routing calculations, and actively reasons over the underlying models to generate an actionable, human-language reply, complete with scientific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Interactive dialog example</w:t>
            </w:r>
          </w:p>
          <w:p>
            <w:pPr>
              <w:spacing w:after="80"/>
            </w:pPr>
            <w:r>
              <w:t xml:space="preserve">Captain: “What is the best time to go from Palma to Ibiza tomorrow?”</w:t>
            </w:r>
          </w:p>
          <w:p>
            <w:pPr>
              <w:spacing w:after="80"/>
            </w:pPr>
            <w:r>
              <w:t xml:space="preserve">AI First Mate: “Avoid leaving too late; 2m waves are expected in the Ibiza channel after 2:00 PM. Based on our high-resolution WRF and SWAN simulations, wind speeds will pick up to 22 knots from the SW by early afternoon, causing wave heights to build from 0.8m to 2.1m. Leaving before 09:00 AM ensures a calm, wave-optimized passage.”</w:t>
            </w:r>
          </w:p>
        </w:tc>
      </w:tr>
    </w:tbl>
    <w:p>
      <w:pPr>
        <w:spacing w:after="160"/>
        <w:jc w:val="left"/>
      </w:pPr>
      <w:r>
        <w:rPr>
          <w:b w:val="false"/>
          <w:bCs w:val="false"/>
          <w:i w:val="false"/>
          <w:iCs w:val="false"/>
        </w:rPr>
        <w:t xml:space="preserve">This is not a hypothetical: our production hourly forecast tables already generate exactly this kind of route-comparable, fetch-corrected output across the core Balearic routes (e.g. Palma vs. Ibiza wind, gusts, model wave height, and localized fetch-risk overlays, hour by hour across a 5-day horizon), which the AI agent narrates in natural language.</w:t>
      </w:r>
    </w:p>
    <w:p>
      <w:pPr>
        <w:pStyle w:val="Heading2"/>
        <w:spacing w:after="150" w:before="300"/>
      </w:pPr>
      <w:r>
        <w:t xml:space="preserve">3.2 The zero-friction advantage</w:t>
      </w:r>
    </w:p>
    <w:p>
      <w:pPr>
        <w:pStyle w:val="ListParagraph"/>
        <w:numPr>
          <w:ilvl w:val="0"/>
          <w:numId w:val="1"/>
        </w:numPr>
        <w:spacing w:after="100"/>
      </w:pPr>
      <w:r>
        <w:rPr>
          <w:b/>
          <w:bCs/>
        </w:rPr>
        <w:t xml:space="preserve">Zero onboarding friction: </w:t>
      </w:r>
      <w:r>
        <w:t xml:space="preserve">Captains simply scan a QR code or save a phone number to start chatting. No app store downloads, no account setup, and zero learning curve — driving low CAC and organic, word-of-mouth expansion across marinas.</w:t>
      </w:r>
    </w:p>
    <w:p>
      <w:pPr>
        <w:pStyle w:val="ListParagraph"/>
        <w:numPr>
          <w:ilvl w:val="0"/>
          <w:numId w:val="1"/>
        </w:numPr>
        <w:spacing w:after="100"/>
      </w:pPr>
      <w:r>
        <w:rPr>
          <w:b/>
          <w:bCs/>
        </w:rPr>
        <w:t xml:space="preserve">Actionable intelligence over telemetry: </w:t>
      </w:r>
      <w:r>
        <w:t xml:space="preserve">Instead of rendering raw wind arrows and leaving the captain to guess, our AI agent evaluates the safety bounds of the vessel against physical conditions (wind, waves, currents) to provide a direct recommendation.</w:t>
      </w:r>
    </w:p>
    <w:p>
      <w:pPr>
        <w:pStyle w:val="ListParagraph"/>
        <w:numPr>
          <w:ilvl w:val="0"/>
          <w:numId w:val="1"/>
        </w:numPr>
        <w:spacing w:after="100"/>
      </w:pPr>
      <w:r>
        <w:rPr>
          <w:b/>
          <w:bCs/>
        </w:rPr>
        <w:t xml:space="preserve">Real-time chronological route tracking: </w:t>
      </w:r>
      <w:r>
        <w:t xml:space="preserve">Our routing engine evaluates weather metrics dynamically along the vessel's estimated path of travel, aligning forecast states to the exact hour of arrival at each waypoint.</w:t>
      </w:r>
    </w:p>
    <w:p>
      <w:pPr>
        <w:pStyle w:val="Heading2"/>
        <w:spacing w:after="150" w:before="300"/>
      </w:pPr>
      <w:r>
        <w:t xml:space="preserve">3.3 A regional model, not a repackaged one</w:t>
      </w:r>
    </w:p>
    <w:p>
      <w:pPr>
        <w:spacing w:after="160"/>
        <w:jc w:val="left"/>
      </w:pPr>
      <w:r>
        <w:rPr>
          <w:b w:val="false"/>
          <w:bCs w:val="false"/>
          <w:i w:val="false"/>
          <w:iCs w:val="false"/>
        </w:rPr>
        <w:t xml:space="preserve">Every day, PredSea provisions ephemeral cloud compute to run a coupled physics stack over the Western Mediterranean: WRF for the atmosphere (4km resolution), CROCO/ROMS and NEMO for ocean circulation and thermodynamics, and SWAN for nearshore wave spectra (1km resolution). This produces a 120-hour hourly forecast grid that is materially finer than the global products most captains use today.</w:t>
      </w:r>
    </w:p>
    <w:p>
      <w:pPr>
        <w:spacing w:after="160"/>
        <w:jc w:val="left"/>
      </w:pPr>
      <w:r>
        <w:rPr>
          <w:b w:val="false"/>
          <w:bCs w:val="false"/>
          <w:i w:val="false"/>
          <w:iCs w:val="false"/>
        </w:rPr>
        <w:t xml:space="preserve">In a controlled HPC benchmark, our own-compiled coupled stack (WRF + CROCO/ROMS + SWAN, run end-to-end on GCP Spot VMs) showed favorable early results against CMEMS/AROME regional reference products on the stations tested in an internal benchmark. This benchmark has not yet been independently reproduced, and our production pipeline has had reliability issues since late June 2026 that paused automated model-vs-observation comparisons — so we treat this as an early, promising signal rather than a validated claim, and are restoring continuous, published accuracy benchmarking against SOCIB and Puertos del Estado buoys as a near-term priority (see Section 8). The fully coupled own-model 5-day forecast is estimated at roughly €3.65/day in compute, versus €0.60/day for current CMEMS-based ingestion — a deliberate, quantified trade-off between cost and forecast quality that we can now make with real data rather than assumption, and which supports a near-term path to full independence from third-party regional model licensing.</w:t>
      </w:r>
    </w:p>
    <w:p>
      <w:pPr>
        <w:pStyle w:val="Heading2"/>
        <w:spacing w:after="150" w:before="300"/>
      </w:pPr>
      <w:r>
        <w:t xml:space="preserve">3.4 Continuous observational correction</w:t>
      </w:r>
    </w:p>
    <w:p>
      <w:pPr>
        <w:spacing w:after="160"/>
        <w:jc w:val="left"/>
      </w:pPr>
      <w:r>
        <w:rPr>
          <w:b w:val="false"/>
          <w:bCs w:val="false"/>
          <w:i w:val="false"/>
          <w:iCs w:val="false"/>
        </w:rPr>
        <w:t xml:space="preserve">PredSea ingests real observations — AEMET shore stations, SOCIB buoys, coastal radars and gliders, Puertos del Estado tide and wave gauges, and EMODnet feeds for French and Italian waters — hourly, and compares them against model output to calculate live bias. A climatology baseline (five years of historical observations, bucketed by station, variable, month and hour) lets the system flag statistically anomalous conditions using variable-appropriate z-score methods, and merge them with official AEMET CAP alerts into a single ranked active-hazards feed via our production `/warnings` endpoint — rather than leaving the captain to reconcile two separate sources.</w:t>
      </w:r>
    </w:p>
    <w:p>
      <w:r>
        <w:br w:type="page"/>
      </w:r>
    </w:p>
    <w:p>
      <w:pPr>
        <w:pStyle w:val="Heading1"/>
        <w:spacing w:after="200" w:before="400"/>
      </w:pPr>
      <w:r>
        <w:t xml:space="preserve">4. Technology &amp; Differentiation</w:t>
      </w:r>
    </w:p>
    <w:p>
      <w:pPr>
        <w:pStyle w:val="Heading2"/>
        <w:spacing w:after="150" w:before="300"/>
      </w:pPr>
      <w:r>
        <w:t xml:space="preserve">Decoupling the AI reasoning moat from the raw simulation engine</w:t>
      </w:r>
    </w:p>
    <w:p>
      <w:pPr>
        <w:spacing w:after="160"/>
        <w:jc w:val="left"/>
      </w:pPr>
      <w:r>
        <w:rPr>
          <w:b w:val="false"/>
          <w:bCs w:val="false"/>
          <w:i w:val="false"/>
          <w:iCs w:val="false"/>
        </w:rPr>
        <w:t xml:space="preserve">PredSea's technological moat has two distinct, tightly integrated layers: our proprietary regional coupled physics simulations, and our advanced conversational AI reasoning engine. Both are owned and operated end-to-end by the Company — there is no external platform dependency. This architecture allows either layer to be upgraded and scaled independently.</w:t>
      </w:r>
    </w:p>
    <w:p>
      <w:pPr>
        <w:pStyle w:val="ListParagraph"/>
        <w:numPr>
          <w:ilvl w:val="0"/>
          <w:numId w:val="1"/>
        </w:numPr>
        <w:spacing w:after="100"/>
      </w:pPr>
      <w:r>
        <w:rPr>
          <w:b/>
          <w:bCs/>
        </w:rPr>
        <w:t xml:space="preserve">The AI reasoning layer: </w:t>
      </w:r>
      <w:r>
        <w:t xml:space="preserve">A custom-built agent layer that handles natural-language understanding, intent classification, and spatial-temporal database queries. It automatically parses user voyage intentions (departures, stopovers, vessel safety thresholds) and queries the underlying multi-dimensional physics database (BigQuery and GCS). The architectural principle is strict: objective truth (forecasts, calculations, warnings) lives in PredSea's physics and data layer; conversation and intent handling live in the agent/relay layer — the two are cleanly separable, which is what allows each to be improved independently without destabilizing the other.</w:t>
      </w:r>
    </w:p>
    <w:p>
      <w:pPr>
        <w:pStyle w:val="ListParagraph"/>
        <w:numPr>
          <w:ilvl w:val="0"/>
          <w:numId w:val="1"/>
        </w:numPr>
        <w:spacing w:after="100"/>
      </w:pPr>
      <w:r>
        <w:rPr>
          <w:b/>
          <w:bCs/>
        </w:rPr>
        <w:t xml:space="preserve">Our own coupled physics stack: </w:t>
      </w:r>
      <w:r>
        <w:t xml:space="preserve">We run daily high-resolution simulations over the Western Mediterranean, coupling WRF (atmospheric, 4km), CROCO/ROMS (ocean circulation/thermodynamics, 1km) and SWAN (nearshore wave spectra, 1km). This produces a 120-hour hourly grid far superior to coarse global models, and an early internal benchmark showed favorable results against regional reference products on the stations tested — independent, continuous re-validation is in progress (see Section 8).</w:t>
      </w:r>
    </w:p>
    <w:p>
      <w:pPr>
        <w:pStyle w:val="ListParagraph"/>
        <w:numPr>
          <w:ilvl w:val="0"/>
          <w:numId w:val="1"/>
        </w:numPr>
        <w:spacing w:after="100"/>
      </w:pPr>
      <w:r>
        <w:rPr>
          <w:b/>
          <w:bCs/>
        </w:rPr>
        <w:t xml:space="preserve">Continuous observational correction &amp; anomaly detection: </w:t>
      </w:r>
      <w:r>
        <w:t xml:space="preserve">The AI engine cross-references simulations hourly against real-time physical observations (EMODnet, SOCIB buoys, AEMET coastal radars, Puertos del Estado gauges), calculating model bias and flagging anomalies via our live `/warnings` endpoint, which merges official AEMET CAP hazard alerts with statistical climatology-based anomaly detection into a single ranked feed.</w:t>
      </w:r>
    </w:p>
    <w:p>
      <w:pPr>
        <w:pStyle w:val="ListParagraph"/>
        <w:numPr>
          <w:ilvl w:val="0"/>
          <w:numId w:val="1"/>
        </w:numPr>
        <w:spacing w:after="100"/>
      </w:pPr>
      <w:r>
        <w:rPr>
          <w:b/>
          <w:bCs/>
        </w:rPr>
        <w:t xml:space="preserve">The conversational delivery layer: </w:t>
      </w:r>
      <w:r>
        <w:t xml:space="preserve">A single, in-house conversational delivery layer turns structured forecast and hazard data into a WhatsApp-native briefing with zero onboarding friction. This layer is fully owned by the Company (see Section 11 on the founders' IP assignment) — not a third-party integration.</w:t>
      </w:r>
    </w:p>
    <w:p>
      <w:pPr>
        <w:pStyle w:val="Heading2"/>
        <w:spacing w:after="150" w:before="300"/>
      </w:pPr>
      <w:r>
        <w:t xml:space="preserve">Infrastructure maturity</w:t>
      </w:r>
    </w:p>
    <w:p>
      <w:pPr>
        <w:spacing w:after="160"/>
        <w:jc w:val="left"/>
      </w:pPr>
      <w:r>
        <w:rPr>
          <w:b w:val="false"/>
          <w:bCs w:val="false"/>
          <w:i w:val="false"/>
          <w:iCs w:val="false"/>
        </w:rPr>
        <w:t xml:space="preserve">The full pipeline — daily Spot-VM model runs, BigQuery-based observation and evidence storage, and a containerized FastAPI service layer — is already built and operating on Google Cloud, currently supported by Google for Startups Cloud Program credits. We have completed a full separation of test and production environments (distinct GCS buckets, BigQuery datasets, Cloud Run services, service accounts and Cloud Scheduler jobs, isolated by IAM rather than by project, to keep operating cost low) with a documented, idempotent deployment and rollback process. This means new features and model changes can be validated in test and promoted to production without risk to live customer traffic — a standard SaaS engineering discipline that de-risks the company for enterprise and institutional customers.</w:t>
      </w:r>
    </w:p>
    <w:p>
      <w:pPr>
        <w:pStyle w:val="Heading2"/>
        <w:spacing w:after="150" w:before="300"/>
      </w:pPr>
      <w:r>
        <w:t xml:space="preserve">Data partnerships</w:t>
      </w:r>
    </w:p>
    <w:p>
      <w:pPr>
        <w:spacing w:after="160"/>
        <w:jc w:val="left"/>
      </w:pPr>
      <w:r>
        <w:rPr>
          <w:b w:val="false"/>
          <w:bCs w:val="false"/>
          <w:i w:val="false"/>
          <w:iCs w:val="false"/>
        </w:rPr>
        <w:t xml:space="preserve">PredSea has an institutional data partnership with SOCIB (the Balearic Islands Coastal Observing System), giving access to deep-sea buoy, coastal radar and glider telemetry that most consumer-facing marine apps do not have.</w:t>
      </w:r>
    </w:p>
    <w:p>
      <w:r>
        <w:br w:type="page"/>
      </w:r>
    </w:p>
    <w:p>
      <w:pPr>
        <w:pStyle w:val="Heading1"/>
        <w:spacing w:after="200" w:before="400"/>
      </w:pPr>
      <w:r>
        <w:t xml:space="preserve">5. Market Opportunity</w:t>
      </w:r>
    </w:p>
    <w:p>
      <w:pPr>
        <w:pStyle w:val="Heading2"/>
        <w:spacing w:after="150" w:before="300"/>
      </w:pPr>
      <w:r>
        <w:t xml:space="preserve">5.1 Market context</w:t>
      </w:r>
    </w:p>
    <w:p>
      <w:pPr>
        <w:spacing w:after="160"/>
        <w:jc w:val="left"/>
      </w:pPr>
      <w:r>
        <w:rPr>
          <w:b w:val="false"/>
          <w:bCs w:val="false"/>
          <w:i w:val="false"/>
          <w:iCs w:val="false"/>
        </w:rPr>
        <w:t xml:space="preserve">Third-party market research sizes the global marine navigation software market at roughly $1.2 billion (2024), projected to reach approximately $2.5 billion by the early 2030s, with the marine weather application sub-segment estimated in the low hundreds of millions of dollars and growing. These are directional industry estimates rather than PredSea-specific research, and should be refined with primary data as the raise progresses — but they confirm a market large enough to support a focused regional entrant, and one where AI-native, high-resolution products are still a small share of overall spend.</w:t>
      </w:r>
    </w:p>
    <w:p>
      <w:pPr>
        <w:pStyle w:val="Heading2"/>
        <w:spacing w:after="150" w:before="300"/>
      </w:pPr>
      <w:r>
        <w:t xml:space="preserve">5.2 Our addressable slice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0B2545" w:val="clear"/>
            <w:tcMar>
              <w:top w:type="dxa" w:w="100"/>
              <w:left w:type="dxa" w:w="120"/>
              <w:bottom w:type="dxa" w:w="100"/>
              <w:right w:type="dxa" w:w="120"/>
            </w:tcMar>
          </w:tcPr>
          <w:p>
            <w:r>
              <w:rPr>
                <w:b/>
                <w:bCs/>
                <w:color w:val="FFFFFF"/>
              </w:rPr>
              <w:t xml:space="preserve">Layer</w:t>
            </w:r>
          </w:p>
        </w:tc>
        <w:tc>
          <w:tcPr>
            <w:tcW w:type="dxa" w:w="4200"/>
            <w:shd w:fill="0B2545" w:val="clear"/>
            <w:tcMar>
              <w:top w:type="dxa" w:w="100"/>
              <w:left w:type="dxa" w:w="120"/>
              <w:bottom w:type="dxa" w:w="100"/>
              <w:right w:type="dxa" w:w="120"/>
            </w:tcMar>
          </w:tcPr>
          <w:p>
            <w:r>
              <w:rPr>
                <w:b/>
                <w:bCs/>
                <w:color w:val="FFFFFF"/>
              </w:rPr>
              <w:t xml:space="preserve">Definition</w:t>
            </w:r>
          </w:p>
        </w:tc>
        <w:tc>
          <w:tcPr>
            <w:tcW w:type="dxa" w:w="3000"/>
            <w:shd w:fill="0B2545" w:val="clear"/>
            <w:tcMar>
              <w:top w:type="dxa" w:w="100"/>
              <w:left w:type="dxa" w:w="120"/>
              <w:bottom w:type="dxa" w:w="100"/>
              <w:right w:type="dxa" w:w="120"/>
            </w:tcMar>
          </w:tcPr>
          <w:p>
            <w:r>
              <w:rPr>
                <w:b/>
                <w:bCs/>
                <w:color w:val="FFFFFF"/>
              </w:rPr>
              <w:t xml:space="preserve">PredSea's position</w:t>
            </w:r>
          </w:p>
        </w:tc>
      </w:tr>
      <w:tr>
        <w:tc>
          <w:tcPr>
            <w:tcW w:type="dxa" w:w="1800"/>
            <w:tcMar>
              <w:top w:type="dxa" w:w="100"/>
              <w:left w:type="dxa" w:w="120"/>
              <w:bottom w:type="dxa" w:w="100"/>
              <w:right w:type="dxa" w:w="120"/>
            </w:tcMar>
          </w:tcPr>
          <w:p>
            <w:r>
              <w:t xml:space="preserve">TAM</w:t>
            </w:r>
          </w:p>
        </w:tc>
        <w:tc>
          <w:tcPr>
            <w:tcW w:type="dxa" w:w="4200"/>
            <w:tcMar>
              <w:top w:type="dxa" w:w="100"/>
              <w:left w:type="dxa" w:w="120"/>
              <w:bottom w:type="dxa" w:w="100"/>
              <w:right w:type="dxa" w:w="120"/>
            </w:tcMar>
          </w:tcPr>
          <w:p>
            <w:r>
              <w:t xml:space="preserve">Global marine navigation, weather and voyage-optimization software</w:t>
            </w:r>
          </w:p>
        </w:tc>
        <w:tc>
          <w:tcPr>
            <w:tcW w:type="dxa" w:w="3000"/>
            <w:tcMar>
              <w:top w:type="dxa" w:w="100"/>
              <w:left w:type="dxa" w:w="120"/>
              <w:bottom w:type="dxa" w:w="100"/>
              <w:right w:type="dxa" w:w="120"/>
            </w:tcMar>
          </w:tcPr>
          <w:p>
            <w:r>
              <w:t xml:space="preserve">Long-term expansion opportunity (new basins, commercial shipping)</w:t>
            </w:r>
          </w:p>
        </w:tc>
      </w:tr>
      <w:tr>
        <w:tc>
          <w:tcPr>
            <w:tcW w:type="dxa" w:w="1800"/>
            <w:tcMar>
              <w:top w:type="dxa" w:w="100"/>
              <w:left w:type="dxa" w:w="120"/>
              <w:bottom w:type="dxa" w:w="100"/>
              <w:right w:type="dxa" w:w="120"/>
            </w:tcMar>
          </w:tcPr>
          <w:p>
            <w:r>
              <w:t xml:space="preserve">SAM</w:t>
            </w:r>
          </w:p>
        </w:tc>
        <w:tc>
          <w:tcPr>
            <w:tcW w:type="dxa" w:w="4200"/>
            <w:tcMar>
              <w:top w:type="dxa" w:w="100"/>
              <w:left w:type="dxa" w:w="120"/>
              <w:bottom w:type="dxa" w:w="100"/>
              <w:right w:type="dxa" w:w="120"/>
            </w:tcMar>
          </w:tcPr>
          <w:p>
            <w:r>
              <w:t xml:space="preserve">Western Mediterranean recreational, charter and coastal-commercial marine users (Spain, France, Italy — Gibraltar Strait to Sicily)</w:t>
            </w:r>
          </w:p>
        </w:tc>
        <w:tc>
          <w:tcPr>
            <w:tcW w:type="dxa" w:w="3000"/>
            <w:tcMar>
              <w:top w:type="dxa" w:w="100"/>
              <w:left w:type="dxa" w:w="120"/>
              <w:bottom w:type="dxa" w:w="100"/>
              <w:right w:type="dxa" w:w="120"/>
            </w:tcMar>
          </w:tcPr>
          <w:p>
            <w:r>
              <w:t xml:space="preserve">Current modelling domain and port/place registry coverage</w:t>
            </w:r>
          </w:p>
        </w:tc>
      </w:tr>
      <w:tr>
        <w:tc>
          <w:tcPr>
            <w:tcW w:type="dxa" w:w="1800"/>
            <w:tcMar>
              <w:top w:type="dxa" w:w="100"/>
              <w:left w:type="dxa" w:w="120"/>
              <w:bottom w:type="dxa" w:w="100"/>
              <w:right w:type="dxa" w:w="120"/>
            </w:tcMar>
          </w:tcPr>
          <w:p>
            <w:r>
              <w:t xml:space="preserve">SOM</w:t>
            </w:r>
          </w:p>
        </w:tc>
        <w:tc>
          <w:tcPr>
            <w:tcW w:type="dxa" w:w="4200"/>
            <w:tcMar>
              <w:top w:type="dxa" w:w="100"/>
              <w:left w:type="dxa" w:w="120"/>
              <w:bottom w:type="dxa" w:w="100"/>
              <w:right w:type="dxa" w:w="120"/>
            </w:tcMar>
          </w:tcPr>
          <w:p>
            <w:r>
              <w:t xml:space="preserve">Charter fleet managers, professional skippers and sailing schools across the Western Mediterranean</w:t>
            </w:r>
          </w:p>
        </w:tc>
        <w:tc>
          <w:tcPr>
            <w:tcW w:type="dxa" w:w="3000"/>
            <w:tcMar>
              <w:top w:type="dxa" w:w="100"/>
              <w:left w:type="dxa" w:w="120"/>
              <w:bottom w:type="dxa" w:w="100"/>
              <w:right w:type="dxa" w:w="120"/>
            </w:tcMar>
          </w:tcPr>
          <w:p>
            <w:r>
              <w:t xml:space="preserve">Pilot cohort and initial go-to-market beachhead</w:t>
            </w:r>
          </w:p>
        </w:tc>
      </w:tr>
    </w:tbl>
    <w:p>
      <w:pPr>
        <w:pStyle w:val="Heading2"/>
        <w:spacing w:after="150" w:before="300"/>
      </w:pPr>
      <w:r>
        <w:t xml:space="preserve">5.3 Why the Western Mediterranean</w:t>
      </w:r>
    </w:p>
    <w:p>
      <w:pPr>
        <w:pStyle w:val="ListParagraph"/>
        <w:numPr>
          <w:ilvl w:val="0"/>
          <w:numId w:val="1"/>
        </w:numPr>
        <w:spacing w:after="100"/>
      </w:pPr>
      <w:r>
        <w:t xml:space="preserve">The Western Mediterranean (Spain, France, Italy) is one of the world's densest charter and recreational-boating regions, and our own pilot cohort already operates across it, not a single sub-basin.</w:t>
      </w:r>
    </w:p>
    <w:p>
      <w:pPr>
        <w:pStyle w:val="ListParagraph"/>
        <w:numPr>
          <w:ilvl w:val="0"/>
          <w:numId w:val="1"/>
        </w:numPr>
        <w:spacing w:after="100"/>
      </w:pPr>
      <w:r>
        <w:t xml:space="preserve">Our modelling domain is built as five coupled physics tiles spanning the Alboran Sea, the Algerian coast, the Balearic Sea, the Gulf of Lion and the Tyrrhenian Sea — Gibraltar Strait to Sicily. Live production runs and validated observational partnerships (SOCIB, AEMET) are currently concentrated in the Balearic tile; extending sustained daily runs and buoy validation across the remaining tiles is an active near-term engineering priority, not yet complete everywhere the grid technically reaches.</w:t>
      </w:r>
    </w:p>
    <w:p>
      <w:pPr>
        <w:spacing w:after="160"/>
        <w:jc w:val="left"/>
      </w:pPr>
      <w:r>
        <w:rPr>
          <w:b w:val="false"/>
          <w:bCs w:val="false"/>
          <w:i w:val="false"/>
          <w:iCs w:val="false"/>
        </w:rPr>
        <w:t xml:space="preserve">Geographic expansion beyond the Western Mediterranean (Canary Islands, North Sea, and a counter-seasonal Caribbean basin) and adjacent segments (commercial shipping, port authorities) are part of the roadmap, sequenced after this basin's daily-validated coverage and commercial metrics are proven — see Section 9.</w:t>
      </w:r>
    </w:p>
    <w:p>
      <w:pPr>
        <w:pStyle w:val="Heading1"/>
        <w:spacing w:after="200" w:before="400"/>
      </w:pPr>
      <w:r>
        <w:t xml:space="preserve">6. Business Model</w:t>
      </w:r>
    </w:p>
    <w:p>
      <w:pPr>
        <w:spacing w:after="160"/>
        <w:jc w:val="left"/>
      </w:pPr>
      <w:r>
        <w:rPr>
          <w:b w:val="false"/>
          <w:bCs w:val="false"/>
          <w:i w:val="false"/>
          <w:iCs w:val="false"/>
        </w:rPr>
        <w:t xml:space="preserve">PredSea operates a focused B2B SaaS subscription model designed exclusively for maritime operators. We have eliminated consumer-grade basic or free tiers to concentrate entirely on high-value, high-margin professional maritime segments.</w:t>
      </w:r>
    </w:p>
    <w:p>
      <w:pPr>
        <w:pStyle w:val="Heading2"/>
        <w:spacing w:after="150" w:before="300"/>
      </w:pPr>
      <w:r>
        <w:t xml:space="preserve">6.1 Core SaaS offering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0B2545" w:val="clear"/>
            <w:tcMar>
              <w:top w:type="dxa" w:w="100"/>
              <w:left w:type="dxa" w:w="120"/>
              <w:bottom w:type="dxa" w:w="100"/>
              <w:right w:type="dxa" w:w="120"/>
            </w:tcMar>
          </w:tcPr>
          <w:p>
            <w:r>
              <w:rPr>
                <w:b/>
                <w:bCs/>
                <w:color w:val="FFFFFF"/>
              </w:rPr>
              <w:t xml:space="preserve">Tier</w:t>
            </w:r>
          </w:p>
        </w:tc>
        <w:tc>
          <w:tcPr>
            <w:tcW w:type="dxa" w:w="2400"/>
            <w:shd w:fill="0B2545" w:val="clear"/>
            <w:tcMar>
              <w:top w:type="dxa" w:w="100"/>
              <w:left w:type="dxa" w:w="120"/>
              <w:bottom w:type="dxa" w:w="100"/>
              <w:right w:type="dxa" w:w="120"/>
            </w:tcMar>
          </w:tcPr>
          <w:p>
            <w:r>
              <w:rPr>
                <w:b/>
                <w:bCs/>
                <w:color w:val="FFFFFF"/>
              </w:rPr>
              <w:t xml:space="preserve">Target audience</w:t>
            </w:r>
          </w:p>
        </w:tc>
        <w:tc>
          <w:tcPr>
            <w:tcW w:type="dxa" w:w="3600"/>
            <w:shd w:fill="0B2545" w:val="clear"/>
            <w:tcMar>
              <w:top w:type="dxa" w:w="100"/>
              <w:left w:type="dxa" w:w="120"/>
              <w:bottom w:type="dxa" w:w="100"/>
              <w:right w:type="dxa" w:w="120"/>
            </w:tcMar>
          </w:tcPr>
          <w:p>
            <w:r>
              <w:rPr>
                <w:b/>
                <w:bCs/>
                <w:color w:val="FFFFFF"/>
              </w:rPr>
              <w:t xml:space="preserve">Core features included</w:t>
            </w:r>
          </w:p>
        </w:tc>
        <w:tc>
          <w:tcPr>
            <w:tcW w:type="dxa" w:w="1200"/>
            <w:shd w:fill="0B2545" w:val="clear"/>
            <w:tcMar>
              <w:top w:type="dxa" w:w="100"/>
              <w:left w:type="dxa" w:w="120"/>
              <w:bottom w:type="dxa" w:w="100"/>
              <w:right w:type="dxa" w:w="120"/>
            </w:tcMar>
          </w:tcPr>
          <w:p>
            <w:r>
              <w:rPr>
                <w:b/>
                <w:bCs/>
                <w:color w:val="FFFFFF"/>
              </w:rPr>
              <w:t xml:space="preserve">Monthly price</w:t>
            </w:r>
          </w:p>
        </w:tc>
      </w:tr>
      <w:tr>
        <w:tc>
          <w:tcPr>
            <w:tcW w:type="dxa" w:w="1800"/>
            <w:tcMar>
              <w:top w:type="dxa" w:w="100"/>
              <w:left w:type="dxa" w:w="120"/>
              <w:bottom w:type="dxa" w:w="100"/>
              <w:right w:type="dxa" w:w="120"/>
            </w:tcMar>
          </w:tcPr>
          <w:p>
            <w:r>
              <w:t xml:space="preserve">Premium Route (core SaaS)</w:t>
            </w:r>
          </w:p>
        </w:tc>
        <w:tc>
          <w:tcPr>
            <w:tcW w:type="dxa" w:w="2400"/>
            <w:tcMar>
              <w:top w:type="dxa" w:w="100"/>
              <w:left w:type="dxa" w:w="120"/>
              <w:bottom w:type="dxa" w:w="100"/>
              <w:right w:type="dxa" w:w="120"/>
            </w:tcMar>
          </w:tcPr>
          <w:p>
            <w:r>
              <w:t xml:space="preserve">Professional skippers, yacht charters, sailing schools</w:t>
            </w:r>
          </w:p>
        </w:tc>
        <w:tc>
          <w:tcPr>
            <w:tcW w:type="dxa" w:w="3600"/>
            <w:tcMar>
              <w:top w:type="dxa" w:w="100"/>
              <w:left w:type="dxa" w:w="120"/>
              <w:bottom w:type="dxa" w:w="100"/>
              <w:right w:type="dxa" w:w="120"/>
            </w:tcMar>
          </w:tcPr>
          <w:p>
            <w:r>
              <w:t xml:space="preserve">Conversational AI First Mate, high-resolution Western Med grids, chronological routing, WhatsApp integration, real-time anomaly alerts</w:t>
            </w:r>
          </w:p>
        </w:tc>
        <w:tc>
          <w:tcPr>
            <w:tcW w:type="dxa" w:w="1200"/>
            <w:tcMar>
              <w:top w:type="dxa" w:w="100"/>
              <w:left w:type="dxa" w:w="120"/>
              <w:bottom w:type="dxa" w:w="100"/>
              <w:right w:type="dxa" w:w="120"/>
            </w:tcMar>
          </w:tcPr>
          <w:p>
            <w:r>
              <w:t xml:space="preserve">€49 / vessel</w:t>
            </w:r>
          </w:p>
        </w:tc>
      </w:tr>
      <w:tr>
        <w:tc>
          <w:tcPr>
            <w:tcW w:type="dxa" w:w="1800"/>
            <w:tcMar>
              <w:top w:type="dxa" w:w="100"/>
              <w:left w:type="dxa" w:w="120"/>
              <w:bottom w:type="dxa" w:w="100"/>
              <w:right w:type="dxa" w:w="120"/>
            </w:tcMar>
          </w:tcPr>
          <w:p>
            <w:r>
              <w:t xml:space="preserve">Corporate / Fleet</w:t>
            </w:r>
          </w:p>
        </w:tc>
        <w:tc>
          <w:tcPr>
            <w:tcW w:type="dxa" w:w="2400"/>
            <w:tcMar>
              <w:top w:type="dxa" w:w="100"/>
              <w:left w:type="dxa" w:w="120"/>
              <w:bottom w:type="dxa" w:w="100"/>
              <w:right w:type="dxa" w:w="120"/>
            </w:tcMar>
          </w:tcPr>
          <w:p>
            <w:r>
              <w:t xml:space="preserve">Large charter fleet operators, yacht management firms</w:t>
            </w:r>
          </w:p>
        </w:tc>
        <w:tc>
          <w:tcPr>
            <w:tcW w:type="dxa" w:w="3600"/>
            <w:tcMar>
              <w:top w:type="dxa" w:w="100"/>
              <w:left w:type="dxa" w:w="120"/>
              <w:bottom w:type="dxa" w:w="100"/>
              <w:right w:type="dxa" w:w="120"/>
            </w:tcMar>
          </w:tcPr>
          <w:p>
            <w:r>
              <w:t xml:space="preserve">Multi-vessel fleet dashboard, centralized bulk billing, priority WhatsApp SLAs, dedicated account support</w:t>
            </w:r>
          </w:p>
        </w:tc>
        <w:tc>
          <w:tcPr>
            <w:tcW w:type="dxa" w:w="1200"/>
            <w:tcMar>
              <w:top w:type="dxa" w:w="100"/>
              <w:left w:type="dxa" w:w="120"/>
              <w:bottom w:type="dxa" w:w="100"/>
              <w:right w:type="dxa" w:w="120"/>
            </w:tcMar>
          </w:tcPr>
          <w:p>
            <w:r>
              <w:t xml:space="preserve">Custom volume pricing</w:t>
            </w:r>
          </w:p>
        </w:tc>
      </w:tr>
    </w:tbl>
    <w:p>
      <w:pPr>
        <w:pStyle w:val="Heading2"/>
        <w:spacing w:after="150" w:before="300"/>
      </w:pPr>
      <w:r>
        <w:t xml:space="preserve">6.2 Feature-based tier expansion</w:t>
      </w:r>
    </w:p>
    <w:p>
      <w:pPr>
        <w:pStyle w:val="ListParagraph"/>
        <w:numPr>
          <w:ilvl w:val="0"/>
          <w:numId w:val="1"/>
        </w:numPr>
        <w:spacing w:after="100"/>
      </w:pPr>
      <w:r>
        <w:rPr>
          <w:b/>
          <w:bCs/>
        </w:rPr>
        <w:t xml:space="preserve">Ultra-high resolution grids: </w:t>
      </w:r>
      <w:r>
        <w:t xml:space="preserve">Sub-kilometer wind and wave grids for complex navigation channels and narrow bays.</w:t>
      </w:r>
    </w:p>
    <w:p>
      <w:pPr>
        <w:pStyle w:val="ListParagraph"/>
        <w:numPr>
          <w:ilvl w:val="0"/>
          <w:numId w:val="1"/>
        </w:numPr>
        <w:spacing w:after="100"/>
      </w:pPr>
      <w:r>
        <w:rPr>
          <w:b/>
          <w:bCs/>
        </w:rPr>
        <w:t xml:space="preserve">Extended forecast horizons: </w:t>
      </w:r>
      <w:r>
        <w:t xml:space="preserve">Extending our regional coupled physics models from 120 hours to a 240-hour planning horizon.</w:t>
      </w:r>
    </w:p>
    <w:p>
      <w:pPr>
        <w:pStyle w:val="ListParagraph"/>
        <w:numPr>
          <w:ilvl w:val="0"/>
          <w:numId w:val="1"/>
        </w:numPr>
        <w:spacing w:after="100"/>
      </w:pPr>
      <w:r>
        <w:rPr>
          <w:b/>
          <w:bCs/>
        </w:rPr>
        <w:t xml:space="preserve">Dynamic, wave- &amp; current-optimized routing: </w:t>
      </w:r>
      <w:r>
        <w:t xml:space="preserve">Continuous, real-time route optimization using CROCO current fields and SWAN wave resistance to minimize emissions and maximize safety.</w:t>
      </w:r>
    </w:p>
    <w:p>
      <w:pPr>
        <w:pStyle w:val="Heading2"/>
        <w:spacing w:after="150" w:before="300"/>
      </w:pPr>
      <w:r>
        <w:t xml:space="preserve">6.3 High-margin secondary streams</w:t>
      </w:r>
    </w:p>
    <w:p>
      <w:pPr>
        <w:pStyle w:val="ListParagraph"/>
        <w:numPr>
          <w:ilvl w:val="0"/>
          <w:numId w:val="1"/>
        </w:numPr>
        <w:spacing w:after="100"/>
      </w:pPr>
      <w:r>
        <w:rPr>
          <w:b/>
          <w:bCs/>
        </w:rPr>
        <w:t xml:space="preserve">Developer API: </w:t>
      </w:r>
      <w:r>
        <w:t xml:space="preserve">Programmatic access to our high-resolution forecast, routing and anomaly-detection endpoints for third-party marine hardware and electronics manufacturers (usage-based licensing).</w:t>
      </w:r>
    </w:p>
    <w:p>
      <w:pPr>
        <w:pStyle w:val="ListParagraph"/>
        <w:numPr>
          <w:ilvl w:val="0"/>
          <w:numId w:val="1"/>
        </w:numPr>
        <w:spacing w:after="100"/>
      </w:pPr>
      <w:r>
        <w:rPr>
          <w:b/>
          <w:bCs/>
        </w:rPr>
        <w:t xml:space="preserve">Event / regatta forecasts: </w:t>
      </w:r>
      <w:r>
        <w:t xml:space="preserve">High-frequency, specialized routing packages for competitive sailing regattas, superyacht races and coastal marine events (priced per event).</w:t>
      </w:r>
    </w:p>
    <w:p>
      <w:pPr>
        <w:pStyle w:val="Heading1"/>
        <w:spacing w:after="200" w:before="400"/>
      </w:pPr>
      <w:r>
        <w:t xml:space="preserve">7. Go-to-Market Strategy</w:t>
      </w:r>
    </w:p>
    <w:p>
      <w:pPr>
        <w:pStyle w:val="Heading2"/>
        <w:spacing w:after="150" w:before="300"/>
      </w:pPr>
      <w:r>
        <w:t xml:space="preserve">7.1 Primary lever: charter fleet managers</w:t>
      </w:r>
    </w:p>
    <w:p>
      <w:pPr>
        <w:spacing w:after="160"/>
        <w:jc w:val="left"/>
      </w:pPr>
      <w:r>
        <w:rPr>
          <w:b w:val="false"/>
          <w:bCs w:val="false"/>
          <w:i w:val="false"/>
          <w:iCs w:val="false"/>
        </w:rPr>
        <w:t xml:space="preserve">Charter fleet managers control access to dozens of vessels and captains at once, making them the highest-leverage entry point into our Premium core SaaS tier. Our maritime advisor's 25-plus years as a professional yacht captain give PredSea direct credibility and warm introductions into this network.</w:t>
      </w:r>
    </w:p>
    <w:p>
      <w:pPr>
        <w:pStyle w:val="Heading2"/>
        <w:spacing w:after="150" w:before="300"/>
      </w:pPr>
      <w:r>
        <w:t xml:space="preserve">7.2 Distribution: boat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shd w:fill="0B2545" w:val="clear"/>
            <w:tcMar>
              <w:top w:type="dxa" w:w="100"/>
              <w:left w:type="dxa" w:w="120"/>
              <w:bottom w:type="dxa" w:w="100"/>
              <w:right w:type="dxa" w:w="120"/>
            </w:tcMar>
          </w:tcPr>
          <w:p>
            <w:r>
              <w:rPr>
                <w:b/>
                <w:bCs/>
                <w:color w:val="FFFFFF"/>
              </w:rPr>
              <w:t xml:space="preserve">Show</w:t>
            </w:r>
          </w:p>
        </w:tc>
        <w:tc>
          <w:tcPr>
            <w:tcW w:type="dxa" w:w="3000"/>
            <w:shd w:fill="0B2545" w:val="clear"/>
            <w:tcMar>
              <w:top w:type="dxa" w:w="100"/>
              <w:left w:type="dxa" w:w="120"/>
              <w:bottom w:type="dxa" w:w="100"/>
              <w:right w:type="dxa" w:w="120"/>
            </w:tcMar>
          </w:tcPr>
          <w:p>
            <w:r>
              <w:rPr>
                <w:b/>
                <w:bCs/>
                <w:color w:val="FFFFFF"/>
              </w:rPr>
              <w:t xml:space="preserve">Location</w:t>
            </w:r>
          </w:p>
        </w:tc>
        <w:tc>
          <w:tcPr>
            <w:tcW w:type="dxa" w:w="2400"/>
            <w:shd w:fill="0B2545" w:val="clear"/>
            <w:tcMar>
              <w:top w:type="dxa" w:w="100"/>
              <w:left w:type="dxa" w:w="120"/>
              <w:bottom w:type="dxa" w:w="100"/>
              <w:right w:type="dxa" w:w="120"/>
            </w:tcMar>
          </w:tcPr>
          <w:p>
            <w:r>
              <w:rPr>
                <w:b/>
                <w:bCs/>
                <w:color w:val="FFFFFF"/>
              </w:rPr>
              <w:t xml:space="preserve">Timing</w:t>
            </w:r>
          </w:p>
        </w:tc>
      </w:tr>
      <w:tr>
        <w:tc>
          <w:tcPr>
            <w:tcW w:type="dxa" w:w="3600"/>
            <w:tcMar>
              <w:top w:type="dxa" w:w="100"/>
              <w:left w:type="dxa" w:w="120"/>
              <w:bottom w:type="dxa" w:w="100"/>
              <w:right w:type="dxa" w:w="120"/>
            </w:tcMar>
          </w:tcPr>
          <w:p>
            <w:r>
              <w:t xml:space="preserve">Monaco Yacht Show</w:t>
            </w:r>
          </w:p>
        </w:tc>
        <w:tc>
          <w:tcPr>
            <w:tcW w:type="dxa" w:w="3000"/>
            <w:tcMar>
              <w:top w:type="dxa" w:w="100"/>
              <w:left w:type="dxa" w:w="120"/>
              <w:bottom w:type="dxa" w:w="100"/>
              <w:right w:type="dxa" w:w="120"/>
            </w:tcMar>
          </w:tcPr>
          <w:p>
            <w:r>
              <w:t xml:space="preserve">Monaco</w:t>
            </w:r>
          </w:p>
        </w:tc>
        <w:tc>
          <w:tcPr>
            <w:tcW w:type="dxa" w:w="2400"/>
            <w:tcMar>
              <w:top w:type="dxa" w:w="100"/>
              <w:left w:type="dxa" w:w="120"/>
              <w:bottom w:type="dxa" w:w="100"/>
              <w:right w:type="dxa" w:w="120"/>
            </w:tcMar>
          </w:tcPr>
          <w:p>
            <w:r>
              <w:t xml:space="preserve">September</w:t>
            </w:r>
          </w:p>
        </w:tc>
      </w:tr>
      <w:tr>
        <w:tc>
          <w:tcPr>
            <w:tcW w:type="dxa" w:w="3600"/>
            <w:tcMar>
              <w:top w:type="dxa" w:w="100"/>
              <w:left w:type="dxa" w:w="120"/>
              <w:bottom w:type="dxa" w:w="100"/>
              <w:right w:type="dxa" w:w="120"/>
            </w:tcMar>
          </w:tcPr>
          <w:p>
            <w:r>
              <w:t xml:space="preserve">Barcelona Boat Show</w:t>
            </w:r>
          </w:p>
        </w:tc>
        <w:tc>
          <w:tcPr>
            <w:tcW w:type="dxa" w:w="3000"/>
            <w:tcMar>
              <w:top w:type="dxa" w:w="100"/>
              <w:left w:type="dxa" w:w="120"/>
              <w:bottom w:type="dxa" w:w="100"/>
              <w:right w:type="dxa" w:w="120"/>
            </w:tcMar>
          </w:tcPr>
          <w:p>
            <w:r>
              <w:t xml:space="preserve">Barcelona, Spain</w:t>
            </w:r>
          </w:p>
        </w:tc>
        <w:tc>
          <w:tcPr>
            <w:tcW w:type="dxa" w:w="2400"/>
            <w:tcMar>
              <w:top w:type="dxa" w:w="100"/>
              <w:left w:type="dxa" w:w="120"/>
              <w:bottom w:type="dxa" w:w="100"/>
              <w:right w:type="dxa" w:w="120"/>
            </w:tcMar>
          </w:tcPr>
          <w:p>
            <w:r>
              <w:t xml:space="preserve">October</w:t>
            </w:r>
          </w:p>
        </w:tc>
      </w:tr>
      <w:tr>
        <w:tc>
          <w:tcPr>
            <w:tcW w:type="dxa" w:w="3600"/>
            <w:tcMar>
              <w:top w:type="dxa" w:w="100"/>
              <w:left w:type="dxa" w:w="120"/>
              <w:bottom w:type="dxa" w:w="100"/>
              <w:right w:type="dxa" w:w="120"/>
            </w:tcMar>
          </w:tcPr>
          <w:p>
            <w:r>
              <w:t xml:space="preserve">METSTRADE / Netherlands boat show</w:t>
            </w:r>
          </w:p>
        </w:tc>
        <w:tc>
          <w:tcPr>
            <w:tcW w:type="dxa" w:w="3000"/>
            <w:tcMar>
              <w:top w:type="dxa" w:w="100"/>
              <w:left w:type="dxa" w:w="120"/>
              <w:bottom w:type="dxa" w:w="100"/>
              <w:right w:type="dxa" w:w="120"/>
            </w:tcMar>
          </w:tcPr>
          <w:p>
            <w:r>
              <w:t xml:space="preserve">Netherlands</w:t>
            </w:r>
          </w:p>
        </w:tc>
        <w:tc>
          <w:tcPr>
            <w:tcW w:type="dxa" w:w="2400"/>
            <w:tcMar>
              <w:top w:type="dxa" w:w="100"/>
              <w:left w:type="dxa" w:w="120"/>
              <w:bottom w:type="dxa" w:w="100"/>
              <w:right w:type="dxa" w:w="120"/>
            </w:tcMar>
          </w:tcPr>
          <w:p>
            <w:r>
              <w:t xml:space="preserve">October</w:t>
            </w:r>
          </w:p>
        </w:tc>
      </w:tr>
      <w:tr>
        <w:tc>
          <w:tcPr>
            <w:tcW w:type="dxa" w:w="3600"/>
            <w:tcMar>
              <w:top w:type="dxa" w:w="100"/>
              <w:left w:type="dxa" w:w="120"/>
              <w:bottom w:type="dxa" w:w="100"/>
              <w:right w:type="dxa" w:w="120"/>
            </w:tcMar>
          </w:tcPr>
          <w:p>
            <w:r>
              <w:t xml:space="preserve">Genoa International Boat Show</w:t>
            </w:r>
          </w:p>
        </w:tc>
        <w:tc>
          <w:tcPr>
            <w:tcW w:type="dxa" w:w="3000"/>
            <w:tcMar>
              <w:top w:type="dxa" w:w="100"/>
              <w:left w:type="dxa" w:w="120"/>
              <w:bottom w:type="dxa" w:w="100"/>
              <w:right w:type="dxa" w:w="120"/>
            </w:tcMar>
          </w:tcPr>
          <w:p>
            <w:r>
              <w:t xml:space="preserve">Genoa, Italy</w:t>
            </w:r>
          </w:p>
        </w:tc>
        <w:tc>
          <w:tcPr>
            <w:tcW w:type="dxa" w:w="2400"/>
            <w:tcMar>
              <w:top w:type="dxa" w:w="100"/>
              <w:left w:type="dxa" w:w="120"/>
              <w:bottom w:type="dxa" w:w="100"/>
              <w:right w:type="dxa" w:w="120"/>
            </w:tcMar>
          </w:tcPr>
          <w:p>
            <w:r>
              <w:t xml:space="preserve">October</w:t>
            </w:r>
          </w:p>
        </w:tc>
      </w:tr>
      <w:tr>
        <w:tc>
          <w:tcPr>
            <w:tcW w:type="dxa" w:w="3600"/>
            <w:tcMar>
              <w:top w:type="dxa" w:w="100"/>
              <w:left w:type="dxa" w:w="120"/>
              <w:bottom w:type="dxa" w:w="100"/>
              <w:right w:type="dxa" w:w="120"/>
            </w:tcMar>
          </w:tcPr>
          <w:p>
            <w:r>
              <w:t xml:space="preserve">Fort Lauderdale International Boat Show</w:t>
            </w:r>
          </w:p>
        </w:tc>
        <w:tc>
          <w:tcPr>
            <w:tcW w:type="dxa" w:w="3000"/>
            <w:tcMar>
              <w:top w:type="dxa" w:w="100"/>
              <w:left w:type="dxa" w:w="120"/>
              <w:bottom w:type="dxa" w:w="100"/>
              <w:right w:type="dxa" w:w="120"/>
            </w:tcMar>
          </w:tcPr>
          <w:p>
            <w:r>
              <w:t xml:space="preserve">Fort Lauderdale, USA</w:t>
            </w:r>
          </w:p>
        </w:tc>
        <w:tc>
          <w:tcPr>
            <w:tcW w:type="dxa" w:w="2400"/>
            <w:tcMar>
              <w:top w:type="dxa" w:w="100"/>
              <w:left w:type="dxa" w:w="120"/>
              <w:bottom w:type="dxa" w:w="100"/>
              <w:right w:type="dxa" w:w="120"/>
            </w:tcMar>
          </w:tcPr>
          <w:p>
            <w:r>
              <w:t xml:space="preserve">November</w:t>
            </w:r>
          </w:p>
        </w:tc>
      </w:tr>
    </w:tbl>
    <w:p>
      <w:pPr>
        <w:pStyle w:val="Heading2"/>
        <w:spacing w:after="150" w:before="300"/>
      </w:pPr>
      <w:r>
        <w:t xml:space="preserve">7.3 Product-led distribution</w:t>
      </w:r>
    </w:p>
    <w:p>
      <w:pPr>
        <w:spacing w:after="160"/>
        <w:jc w:val="left"/>
      </w:pPr>
      <w:r>
        <w:rPr>
          <w:b w:val="false"/>
          <w:bCs w:val="false"/>
          <w:i w:val="false"/>
          <w:iCs w:val="false"/>
        </w:rPr>
        <w:t xml:space="preserve">Because the product runs on WhatsApp, there is no app-store funnel or install friction — a captain can be onboarded with a phone number. This materially lowers the cost of pilot expansion and word-of-mouth referral within tight-knit captain and charter-fleet networks.</w:t>
      </w:r>
    </w:p>
    <w:p>
      <w:pPr>
        <w:pStyle w:val="Heading2"/>
        <w:spacing w:after="150" w:before="300"/>
      </w:pPr>
      <w:r>
        <w:t xml:space="preserve">7.4 Parallel non-dilutive tracks</w:t>
      </w:r>
    </w:p>
    <w:p>
      <w:pPr>
        <w:spacing w:after="160"/>
        <w:jc w:val="left"/>
      </w:pPr>
      <w:r>
        <w:rPr>
          <w:b w:val="false"/>
          <w:bCs w:val="false"/>
          <w:i w:val="false"/>
          <w:iCs w:val="false"/>
        </w:rPr>
        <w:t xml:space="preserve">Alongside the equity raise, PredSea is pursuing non-dilutive funding in parallel — Horizon Europe, CDTI and ESA BIC Spain — to extend runway and validate the technology through grant-funded milestones without additional dilution. We are also evaluating ENISA (the Spanish state-owned participative-loan program), which can provide non-dilutive co-financing alongside a private raise; exact terms and eligibility are being confirmed directly with ENISA before we rely on any specific figure, and any ENISA facility would be additive to, not a substitute for, the equity round.</w:t>
      </w:r>
    </w:p>
    <w:p>
      <w:pPr>
        <w:pStyle w:val="Heading2"/>
        <w:spacing w:after="150" w:before="300"/>
      </w:pPr>
      <w:r>
        <w:t xml:space="preserve">7.5 Growth mechanism and disclosed assumptions</w:t>
      </w:r>
    </w:p>
    <w:p>
      <w:r>
        <w:t xml:space="preserve">Our growth plan runs on two channels, modeled separately rather than as a single blended adoption rate:</w:t>
      </w:r>
    </w:p>
    <w:p>
      <w:r>
        <w:t xml:space="preserve">— Organic / word-of-mouth (B2C): captain-to-captain referral inside WhatsApp, modeled at 35% monthly logo growth in the pilot phase (months 1-6), decelerating to 14% (months 7-18), 8% (months 19-36) and 5% (months 37-48) as the base naturally grows, with 2% monthly churn.</w:t>
      </w:r>
    </w:p>
    <w:p>
      <w:r>
        <w:t xml:space="preserve">— Fleet/charter deals (B2B), via the boat-show circuit: Year 1 we attend the five shows listed above without an exhibit booth (lower lead volume, target ~3 qualified fleet-operator conversations per show); from Year 2, exhibiting via partnerships with the Balearic Marine Cluster and allied yachting ventures lowers our cost of exhibiting materially and is targeted to lift conversations to ~12 per show. We assume a 20% lead-to-signed-deal close rate over an approximately 6-month B2B sales cycle, and an average of ~35 vessels per signed fleet/charter deal (founder estimate, informed by typical Western Med charter-fleet sizes of 15-40 vessels).</w:t>
      </w:r>
    </w:p>
    <w:p>
      <w:r>
        <w:t xml:space="preserve">These are stated targets, not measured pipeline: none of the lead volume, close rate or deal-size assumptions above have been validated against a real cohort of boat-show conversations yet. Running this mechanism on its own organic and Year-1/Year-2 assumptions produces a trajectory of approximately 170 vessels (Year 1) and approximately 1,000 vessels (Year 2) — closely in line with the Section 13.2 targets. Reaching the Year 3 target of 5,200 vessels requires a further, currently unmodeled acceleration (see the Year 3 caveat in Section 13.2), which we expect to come from a Series A-funded expansion of the show circuit into mainland Spain, France and Monaco.</w:t>
      </w:r>
    </w:p>
    <w:p>
      <w:r>
        <w:t xml:space="preserve">Because our regional compute cost is fixed per region (approximately €50/month, from actual GCP billing) rather than per vessel, this growth is high-margin: the marginal cost of an additional signed vessel within the Western Med is limited to a small per-vessel AI-token serving cost (approximately €0.35/vessel/month). Modeling the combined organic-plus-fleet-deal channel above against our real cost base (team, marketing, 85% gross margin), the Western Med region alone reaches its first profitable season around 18-24 months from close, and durable year-round profitability — covering the seasonal low-season dip — around month 30-36, without requiring expansion beyond this single region. This is a target scenario built on the assumptions above, not a guarantee.</w:t>
      </w:r>
    </w:p>
    <w:p>
      <w:pPr>
        <w:pStyle w:val="Heading1"/>
        <w:spacing w:after="200" w:before="400"/>
      </w:pPr>
      <w:r>
        <w:t xml:space="preserve">8. Traction</w:t>
      </w:r>
    </w:p>
    <w:p>
      <w:pPr>
        <w:spacing w:after="160"/>
        <w:jc w:val="left"/>
      </w:pPr>
      <w:r>
        <w:rPr>
          <w:b w:val="false"/>
          <w:bCs w:val="false"/>
          <w:i w:val="false"/>
          <w:iCs w:val="false"/>
        </w:rPr>
        <w:t xml:space="preserve">PredSea is past the core architecture and infrastructure-build phase and has an initial pilot cohort of yacht captains across the Western Mediterranean, delivered through our WhatsApp conversational interface. The daily production pipeline (WRF/CROCO/NEMO/SWAN model runs feeding the pilot) has had reliability issues since late June 2026 that we are actively resolving; restoring continuous, automated forecast-vs-observation validation against SOCIB and AEMET is a near-term priority ahead of wider commercial rollout.</w:t>
      </w:r>
    </w:p>
    <w:p>
      <w:pPr>
        <w:pStyle w:val="Heading2"/>
        <w:spacing w:after="150" w:before="300"/>
      </w:pPr>
      <w:r>
        <w:t xml:space="preserve">What is already built and operating</w:t>
      </w:r>
    </w:p>
    <w:p>
      <w:pPr>
        <w:pStyle w:val="ListParagraph"/>
        <w:numPr>
          <w:ilvl w:val="0"/>
          <w:numId w:val="1"/>
        </w:numPr>
        <w:spacing w:after="100"/>
      </w:pPr>
      <w:r>
        <w:t xml:space="preserve">Daily automated regional model runs (WRF / CROCO-ROMS / NEMO / SWAN) on GCP Spot VMs, feeding a production FastAPI service.</w:t>
      </w:r>
    </w:p>
    <w:p>
      <w:pPr>
        <w:pStyle w:val="ListParagraph"/>
        <w:numPr>
          <w:ilvl w:val="0"/>
          <w:numId w:val="1"/>
        </w:numPr>
        <w:spacing w:after="100"/>
      </w:pPr>
      <w:r>
        <w:t xml:space="preserve">A fully separated test and production cloud environment (distinct buckets, BigQuery datasets, Cloud Run services and service accounts, isolated by IAM), with a documented, idempotent deploy and rollback process.</w:t>
      </w:r>
    </w:p>
    <w:p>
      <w:pPr>
        <w:pStyle w:val="ListParagraph"/>
        <w:numPr>
          <w:ilvl w:val="0"/>
          <w:numId w:val="1"/>
        </w:numPr>
        <w:spacing w:after="100"/>
      </w:pPr>
      <w:r>
        <w:t xml:space="preserve">A live `/warnings` endpoint merging AEMET official CAP alerts with statistical (z-score) anomaly detection against a five-year, station/variable/month/hour climatology baseline.</w:t>
      </w:r>
    </w:p>
    <w:p>
      <w:pPr>
        <w:pStyle w:val="ListParagraph"/>
        <w:numPr>
          <w:ilvl w:val="0"/>
          <w:numId w:val="1"/>
        </w:numPr>
        <w:spacing w:after="100"/>
      </w:pPr>
      <w:r>
        <w:t xml:space="preserve">An own-compiled HPC stack (WRF, CROCO/ROMS, SWAN, fully compiled and orchestrated on GCP Spot VMs) that showed favorable early results against CMEMS/AROME regional reference products in an initial internal benchmark — at an extrapolated cost of ~€3.65/day for a full 5-day coupled forecast; independent re-validation is in progress.</w:t>
      </w:r>
    </w:p>
    <w:p>
      <w:pPr>
        <w:pStyle w:val="ListParagraph"/>
        <w:numPr>
          <w:ilvl w:val="0"/>
          <w:numId w:val="1"/>
        </w:numPr>
        <w:spacing w:after="100"/>
      </w:pPr>
      <w:r>
        <w:t xml:space="preserve">A chronological weather-routing engine covering the core Balearic — mainland Spain — France — Italy route network, producing hour-by-hour, route-comparable wind, wave and localized fetch-risk output.</w:t>
      </w:r>
    </w:p>
    <w:p>
      <w:pPr>
        <w:pStyle w:val="ListParagraph"/>
        <w:numPr>
          <w:ilvl w:val="0"/>
          <w:numId w:val="1"/>
        </w:numPr>
        <w:spacing w:after="100"/>
      </w:pPr>
      <w:r>
        <w:t xml:space="preserve">A WhatsApp-native conversational interface, in pilot with an initial captain cohort, fully owned and operated in-house.</w:t>
      </w:r>
    </w:p>
    <w:p>
      <w:pPr>
        <w:pStyle w:val="ListParagraph"/>
        <w:numPr>
          <w:ilvl w:val="0"/>
          <w:numId w:val="1"/>
        </w:numPr>
        <w:spacing w:after="100"/>
      </w:pPr>
      <w:r>
        <w:t xml:space="preserve">An institutional data partnership with SOCIB and live ingestion pipelines for AEMET, Puertos del Estado and EMODnet.</w:t>
      </w:r>
    </w:p>
    <w:p>
      <w:pPr>
        <w:pStyle w:val="Heading2"/>
        <w:spacing w:after="150" w:before="300"/>
      </w:pPr>
      <w:r>
        <w:t xml:space="preserve">12-month execution roadmap</w:t>
      </w:r>
    </w:p>
    <w:p>
      <w:pPr>
        <w:pStyle w:val="ListParagraph"/>
        <w:numPr>
          <w:ilvl w:val="0"/>
          <w:numId w:val="1"/>
        </w:numPr>
        <w:spacing w:after="100"/>
      </w:pPr>
      <w:r>
        <w:rPr>
          <w:b/>
          <w:bCs/>
        </w:rPr>
        <w:t xml:space="preserve">Months 1–6 (the sprint): </w:t>
      </w:r>
      <w:r>
        <w:t xml:space="preserve">Complete the Western Mediterranean pilot, convert the pilot cohort into paying subscribers at €49/month per vessel, and fully harden the core B2B SaaS routing engine. Concurrently, launch AI-driven automated marketing funnels to build a qualified lead pipeline of charter fleet managers and captains ahead of the autumn boat shows.</w:t>
      </w:r>
    </w:p>
    <w:p>
      <w:pPr>
        <w:pStyle w:val="ListParagraph"/>
        <w:numPr>
          <w:ilvl w:val="0"/>
          <w:numId w:val="1"/>
        </w:numPr>
        <w:spacing w:after="100"/>
      </w:pPr>
      <w:r>
        <w:rPr>
          <w:b/>
          <w:bCs/>
        </w:rPr>
        <w:t xml:space="preserve">Months 6–12 (the scale): </w:t>
      </w:r>
      <w:r>
        <w:t xml:space="preserve">Execute on the warm leads captured during the five major European and international boat shows (September–November). Onboard multi-vessel enterprise charter fleets under the Corporate tier, and introduce advanced premium feature gates (wave/current optimization, extended forecast horizons) to expand per-vessel customer lifetime value (LTV).</w:t>
      </w:r>
    </w:p>
    <w:p>
      <w:r>
        <w:br w:type="page"/>
      </w:r>
    </w:p>
    <w:p>
      <w:pPr>
        <w:pStyle w:val="Heading1"/>
        <w:spacing w:after="200" w:before="400"/>
      </w:pPr>
      <w:r>
        <w:t xml:space="preserve">9. Product Roadmap</w:t>
      </w:r>
    </w:p>
    <w:p>
      <w:pPr>
        <w:spacing w:after="160"/>
        <w:jc w:val="left"/>
      </w:pPr>
      <w:r>
        <w:rPr>
          <w:b w:val="false"/>
          <w:bCs w:val="false"/>
          <w:i w:val="false"/>
          <w:iCs w:val="false"/>
        </w:rPr>
        <w:t xml:space="preserve">PredSea's engineering and product roadmap moves systematically from commercial hardening to deep value-added optimization over the funded 12-month period.</w:t>
      </w:r>
    </w:p>
    <w:p>
      <w:pPr>
        <w:pStyle w:val="Heading2"/>
        <w:spacing w:after="150" w:before="300"/>
      </w:pPr>
      <w:r>
        <w:t xml:space="preserve">Immediate backlog (next sprint) — pilot-hardening</w:t>
      </w:r>
    </w:p>
    <w:p>
      <w:pPr>
        <w:spacing w:after="160"/>
        <w:jc w:val="left"/>
      </w:pPr>
      <w:r>
        <w:rPr>
          <w:b w:val="false"/>
          <w:bCs w:val="false"/>
          <w:i w:val="false"/>
          <w:iCs w:val="false"/>
        </w:rPr>
        <w:t xml:space="preserve">The following items are already scoped as full agent-executable engineering tasks and are the direct precursor to converting the pilot cohort to paying subscribers:</w:t>
      </w:r>
    </w:p>
    <w:p>
      <w:pPr>
        <w:pStyle w:val="ListParagraph"/>
        <w:numPr>
          <w:ilvl w:val="0"/>
          <w:numId w:val="1"/>
        </w:numPr>
        <w:spacing w:after="100"/>
      </w:pPr>
      <w:r>
        <w:rPr>
          <w:b/>
          <w:bCs/>
        </w:rPr>
        <w:t xml:space="preserve">Wind-direction bug fixes: </w:t>
      </w:r>
      <w:r>
        <w:t xml:space="preserve">Correcting known wind-direction calculation errors in the briefing output.</w:t>
      </w:r>
    </w:p>
    <w:p>
      <w:pPr>
        <w:pStyle w:val="ListParagraph"/>
        <w:numPr>
          <w:ilvl w:val="0"/>
          <w:numId w:val="1"/>
        </w:numPr>
        <w:spacing w:after="100"/>
      </w:pPr>
      <w:r>
        <w:rPr>
          <w:b/>
          <w:bCs/>
        </w:rPr>
        <w:t xml:space="preserve">Route-change flagging: </w:t>
      </w:r>
      <w:r>
        <w:t xml:space="preserve">Automatically detecting and surfacing when a previously briefed route's optimal timing has changed materially between forecast runs.</w:t>
      </w:r>
    </w:p>
    <w:p>
      <w:pPr>
        <w:pStyle w:val="ListParagraph"/>
        <w:numPr>
          <w:ilvl w:val="0"/>
          <w:numId w:val="1"/>
        </w:numPr>
        <w:spacing w:after="100"/>
      </w:pPr>
      <w:r>
        <w:rPr>
          <w:b/>
          <w:bCs/>
        </w:rPr>
        <w:t xml:space="preserve">Confidence &amp; staleness indicators: </w:t>
      </w:r>
      <w:r>
        <w:t xml:space="preserve">Surfacing forecast confidence and data staleness directly in the captain-facing briefing, so captains can distinguish a fresh, high-confidence read from a stale or degraded one.</w:t>
      </w:r>
    </w:p>
    <w:p>
      <w:pPr>
        <w:pStyle w:val="ListParagraph"/>
        <w:numPr>
          <w:ilvl w:val="0"/>
          <w:numId w:val="1"/>
        </w:numPr>
        <w:spacing w:after="100"/>
      </w:pPr>
      <w:r>
        <w:rPr>
          <w:b/>
          <w:bCs/>
        </w:rPr>
        <w:t xml:space="preserve">Synoptic surface analysis text generation: </w:t>
      </w:r>
      <w:r>
        <w:t xml:space="preserve">Automated natural-language generation of synoptic surface analysis text, benchmarked against native model output and the DWD (German Weather Service) bulletin format.</w:t>
      </w:r>
    </w:p>
    <w:p>
      <w:pPr>
        <w:pStyle w:val="ListParagraph"/>
        <w:numPr>
          <w:ilvl w:val="0"/>
          <w:numId w:val="1"/>
        </w:numPr>
        <w:spacing w:after="100"/>
      </w:pPr>
      <w:r>
        <w:rPr>
          <w:b/>
          <w:bCs/>
        </w:rPr>
        <w:t xml:space="preserve">Small-vessel routing profiles: </w:t>
      </w:r>
      <w:r>
        <w:t xml:space="preserve">Dedicated routing profiles and safety thresholds for smaller vessels (RIBs, day-boats), distinct from the default charter-yacht profile.</w:t>
      </w:r>
    </w:p>
    <w:p>
      <w:pPr>
        <w:pStyle w:val="ListParagraph"/>
        <w:numPr>
          <w:ilvl w:val="0"/>
          <w:numId w:val="1"/>
        </w:numPr>
        <w:spacing w:after="100"/>
      </w:pPr>
      <w:r>
        <w:rPr>
          <w:b/>
          <w:bCs/>
        </w:rPr>
        <w:t xml:space="preserve">Pre-flight data availability checks: </w:t>
      </w:r>
      <w:r>
        <w:t xml:space="preserve">Checking upstream data availability before a briefing is generated, to fail gracefully rather than serve a briefing built on incomplete inputs.</w:t>
      </w:r>
    </w:p>
    <w:p>
      <w:pPr>
        <w:pStyle w:val="ListParagraph"/>
        <w:numPr>
          <w:ilvl w:val="0"/>
          <w:numId w:val="1"/>
        </w:numPr>
        <w:spacing w:after="100"/>
      </w:pPr>
      <w:r>
        <w:rPr>
          <w:b/>
          <w:bCs/>
        </w:rPr>
        <w:t xml:space="preserve">Concurrent editing safeguards: </w:t>
      </w:r>
      <w:r>
        <w:t xml:space="preserve">Preventing data races when multiple processes attempt to update the same route or briefing simultaneously.</w:t>
      </w:r>
    </w:p>
    <w:p>
      <w:pPr>
        <w:pStyle w:val="Heading2"/>
        <w:spacing w:after="150" w:before="300"/>
      </w:pPr>
      <w:r>
        <w:t xml:space="preserve">Months 1–6 (the sprint) — commercial hardening &amp; scale</w:t>
      </w:r>
    </w:p>
    <w:p>
      <w:pPr>
        <w:pStyle w:val="ListParagraph"/>
        <w:numPr>
          <w:ilvl w:val="0"/>
          <w:numId w:val="1"/>
        </w:numPr>
        <w:spacing w:after="100"/>
      </w:pPr>
      <w:r>
        <w:rPr>
          <w:b/>
          <w:bCs/>
        </w:rPr>
        <w:t xml:space="preserve">Core product hardening: </w:t>
      </w:r>
      <w:r>
        <w:t xml:space="preserve">Refine and scale the core €49/month WhatsApp-native conversational bot for instant place- and route-based weather briefings, incorporating the immediate backlog above.</w:t>
      </w:r>
    </w:p>
    <w:p>
      <w:pPr>
        <w:pStyle w:val="ListParagraph"/>
        <w:numPr>
          <w:ilvl w:val="0"/>
          <w:numId w:val="1"/>
        </w:numPr>
        <w:spacing w:after="100"/>
      </w:pPr>
      <w:r>
        <w:rPr>
          <w:b/>
          <w:bCs/>
        </w:rPr>
        <w:t xml:space="preserve">AI-automated marketing pipelines: </w:t>
      </w:r>
      <w:r>
        <w:t xml:space="preserve">Deploy automated marketing funnels, integrating interactive web widgets (Leaflet-based sea-state maps) into partner sites to build a robust B2B lead list ahead of the show circuit.</w:t>
      </w:r>
    </w:p>
    <w:p>
      <w:pPr>
        <w:pStyle w:val="ListParagraph"/>
        <w:numPr>
          <w:ilvl w:val="0"/>
          <w:numId w:val="1"/>
        </w:numPr>
        <w:spacing w:after="100"/>
      </w:pPr>
      <w:r>
        <w:rPr>
          <w:b/>
          <w:bCs/>
        </w:rPr>
        <w:t xml:space="preserve">Regional expansion: </w:t>
      </w:r>
      <w:r>
        <w:t xml:space="preserve">Extend sustained daily model production and observational validation across the remaining Western Med grid tiles (Gulf of Lion, Tyrrhenian, Alboran, Algerian) to match the port and route registries, which already cover the full basin.</w:t>
      </w:r>
    </w:p>
    <w:p>
      <w:pPr>
        <w:pStyle w:val="Heading2"/>
        <w:spacing w:after="150" w:before="300"/>
      </w:pPr>
      <w:r>
        <w:t xml:space="preserve">Months 6–12 (the scale) — advanced feature gates</w:t>
      </w:r>
    </w:p>
    <w:p>
      <w:pPr>
        <w:pStyle w:val="ListParagraph"/>
        <w:numPr>
          <w:ilvl w:val="0"/>
          <w:numId w:val="1"/>
        </w:numPr>
        <w:spacing w:after="100"/>
      </w:pPr>
      <w:r>
        <w:rPr>
          <w:b/>
          <w:bCs/>
        </w:rPr>
        <w:t xml:space="preserve">Extended forecast horizons: </w:t>
      </w:r>
      <w:r>
        <w:t xml:space="preserve">Expand our coupled atmospheric and wave simulations from 120 hours out to a 240-hour mid-range planning grid for long-range charter booking planning.</w:t>
      </w:r>
    </w:p>
    <w:p>
      <w:pPr>
        <w:pStyle w:val="ListParagraph"/>
        <w:numPr>
          <w:ilvl w:val="0"/>
          <w:numId w:val="1"/>
        </w:numPr>
        <w:spacing w:after="100"/>
      </w:pPr>
      <w:r>
        <w:rPr>
          <w:b/>
          <w:bCs/>
        </w:rPr>
        <w:t xml:space="preserve">Dynamic, wave- &amp; current-optimized routing: </w:t>
      </w:r>
      <w:r>
        <w:t xml:space="preserve">Introduce an advanced routing engine that factors in real-time CROCO current fields and SWAN wave resistance to optimize for fuel efficiency, emission reductions and passenger comfort.</w:t>
      </w:r>
    </w:p>
    <w:p>
      <w:pPr>
        <w:pStyle w:val="ListParagraph"/>
        <w:numPr>
          <w:ilvl w:val="0"/>
          <w:numId w:val="1"/>
        </w:numPr>
        <w:spacing w:after="100"/>
      </w:pPr>
      <w:r>
        <w:rPr>
          <w:b/>
          <w:bCs/>
        </w:rPr>
        <w:t xml:space="preserve">Corporate/fleet billing: </w:t>
      </w:r>
      <w:r>
        <w:t xml:space="preserve">Deploy central fleet-management consoles with centralized multi-vessel volume billing and customized priority support SLAs.</w:t>
      </w:r>
    </w:p>
    <w:p>
      <w:pPr>
        <w:pStyle w:val="ListParagraph"/>
        <w:numPr>
          <w:ilvl w:val="0"/>
          <w:numId w:val="1"/>
        </w:numPr>
        <w:spacing w:after="100"/>
      </w:pPr>
      <w:r>
        <w:rPr>
          <w:b/>
          <w:bCs/>
        </w:rPr>
        <w:t xml:space="preserve">Own-model production migration: </w:t>
      </w:r>
      <w:r>
        <w:t xml:space="preserve">Evaluate migrating production forecasts from CMEMS/ECMWF-forced boundary conditions to our validated own-compiled WRF/CROCO/SWAN stack, following the successful HPC benchmark (Section 4), trading a modest increase in compute cost (~€3/day incremental) for full independence from third-party regional model licensing and a materially finer own-domain grid.</w:t>
      </w:r>
    </w:p>
    <w:p>
      <w:pPr>
        <w:pStyle w:val="Heading2"/>
        <w:spacing w:after="150" w:before="300"/>
      </w:pPr>
      <w:r>
        <w:t xml:space="preserve">Future horizon — long-term defensibility</w:t>
      </w:r>
    </w:p>
    <w:p>
      <w:pPr>
        <w:pStyle w:val="ListParagraph"/>
        <w:numPr>
          <w:ilvl w:val="0"/>
          <w:numId w:val="1"/>
        </w:numPr>
        <w:spacing w:after="100"/>
      </w:pPr>
      <w:r>
        <w:rPr>
          <w:b/>
          <w:bCs/>
        </w:rPr>
        <w:t xml:space="preserve">Machine learning bias calibration: </w:t>
      </w:r>
      <w:r>
        <w:t xml:space="preserve">A real-time ML calibration engine that learns from accumulated observation-vs-model evidence to progressively reduce prediction error over our entire simulation domain.</w:t>
      </w:r>
    </w:p>
    <w:p>
      <w:r>
        <w:br w:type="page"/>
      </w:r>
    </w:p>
    <w:p>
      <w:pPr>
        <w:pStyle w:val="Heading1"/>
        <w:spacing w:after="200" w:before="400"/>
      </w:pPr>
      <w:r>
        <w:t xml:space="preserve">10. Competitive Landscape</w:t>
      </w:r>
    </w:p>
    <w:p>
      <w:pPr>
        <w:spacing w:after="160"/>
        <w:jc w:val="left"/>
      </w:pPr>
      <w:r>
        <w:rPr>
          <w:b w:val="false"/>
          <w:bCs w:val="false"/>
          <w:i w:val="false"/>
          <w:iCs w:val="false"/>
        </w:rPr>
        <w:t xml:space="preserve">The marine weather and navigation space includes large incumbents (Navionics/Garmin, PredictWind, Windy) and a growing set of AI-native entrants. Most of these either consume coarse global forecast products or focus on clunky visual dashboards that force captains to spend hours toggling layers and lines. PredSea represents a fundamental shift: an AI First Mate that queries high-resolution coupled simulations directly and replies in human language, eliminating dashboard friction.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0B2545" w:val="clear"/>
            <w:tcMar>
              <w:top w:type="dxa" w:w="100"/>
              <w:left w:type="dxa" w:w="120"/>
              <w:bottom w:type="dxa" w:w="100"/>
              <w:right w:type="dxa" w:w="120"/>
            </w:tcMar>
          </w:tcPr>
          <w:p>
            <w:r>
              <w:rPr>
                <w:b/>
                <w:bCs/>
                <w:color w:val="FFFFFF"/>
              </w:rPr>
              <w:t xml:space="preserve">Dimension</w:t>
            </w:r>
          </w:p>
        </w:tc>
        <w:tc>
          <w:tcPr>
            <w:tcW w:type="dxa" w:w="3600"/>
            <w:shd w:fill="0B2545" w:val="clear"/>
            <w:tcMar>
              <w:top w:type="dxa" w:w="100"/>
              <w:left w:type="dxa" w:w="120"/>
              <w:bottom w:type="dxa" w:w="100"/>
              <w:right w:type="dxa" w:w="120"/>
            </w:tcMar>
          </w:tcPr>
          <w:p>
            <w:r>
              <w:rPr>
                <w:b/>
                <w:bCs/>
                <w:color w:val="FFFFFF"/>
              </w:rPr>
              <w:t xml:space="preserve">Global incumbents</w:t>
            </w:r>
          </w:p>
        </w:tc>
        <w:tc>
          <w:tcPr>
            <w:tcW w:type="dxa" w:w="3600"/>
            <w:shd w:fill="0B2545" w:val="clear"/>
            <w:tcMar>
              <w:top w:type="dxa" w:w="100"/>
              <w:left w:type="dxa" w:w="120"/>
              <w:bottom w:type="dxa" w:w="100"/>
              <w:right w:type="dxa" w:w="120"/>
            </w:tcMar>
          </w:tcPr>
          <w:p>
            <w:r>
              <w:rPr>
                <w:b/>
                <w:bCs/>
                <w:color w:val="FFFFFF"/>
              </w:rPr>
              <w:t xml:space="preserve">PredSea AI First Mate</w:t>
            </w:r>
          </w:p>
        </w:tc>
      </w:tr>
      <w:tr>
        <w:tc>
          <w:tcPr>
            <w:tcW w:type="dxa" w:w="1800"/>
            <w:tcMar>
              <w:top w:type="dxa" w:w="100"/>
              <w:left w:type="dxa" w:w="120"/>
              <w:bottom w:type="dxa" w:w="100"/>
              <w:right w:type="dxa" w:w="120"/>
            </w:tcMar>
          </w:tcPr>
          <w:p>
            <w:r>
              <w:t xml:space="preserve">Onboarding friction</w:t>
            </w:r>
          </w:p>
        </w:tc>
        <w:tc>
          <w:tcPr>
            <w:tcW w:type="dxa" w:w="3600"/>
            <w:tcMar>
              <w:top w:type="dxa" w:w="100"/>
              <w:left w:type="dxa" w:w="120"/>
              <w:bottom w:type="dxa" w:w="100"/>
              <w:right w:type="dxa" w:w="120"/>
            </w:tcMar>
          </w:tcPr>
          <w:p>
            <w:r>
              <w:t xml:space="preserve">High; requires app downloads, account registrations and logins</w:t>
            </w:r>
          </w:p>
        </w:tc>
        <w:tc>
          <w:tcPr>
            <w:tcW w:type="dxa" w:w="3600"/>
            <w:tcMar>
              <w:top w:type="dxa" w:w="100"/>
              <w:left w:type="dxa" w:w="120"/>
              <w:bottom w:type="dxa" w:w="100"/>
              <w:right w:type="dxa" w:w="120"/>
            </w:tcMar>
          </w:tcPr>
          <w:p>
            <w:r>
              <w:t xml:space="preserve">Zero; instant WhatsApp conversational chat</w:t>
            </w:r>
          </w:p>
        </w:tc>
      </w:tr>
      <w:tr>
        <w:tc>
          <w:tcPr>
            <w:tcW w:type="dxa" w:w="1800"/>
            <w:tcMar>
              <w:top w:type="dxa" w:w="100"/>
              <w:left w:type="dxa" w:w="120"/>
              <w:bottom w:type="dxa" w:w="100"/>
              <w:right w:type="dxa" w:w="120"/>
            </w:tcMar>
          </w:tcPr>
          <w:p>
            <w:r>
              <w:t xml:space="preserve">User experience</w:t>
            </w:r>
          </w:p>
        </w:tc>
        <w:tc>
          <w:tcPr>
            <w:tcW w:type="dxa" w:w="3600"/>
            <w:tcMar>
              <w:top w:type="dxa" w:w="100"/>
              <w:left w:type="dxa" w:w="120"/>
              <w:bottom w:type="dxa" w:w="100"/>
              <w:right w:type="dxa" w:w="120"/>
            </w:tcMar>
          </w:tcPr>
          <w:p>
            <w:r>
              <w:t xml:space="preserve">Complex dashboards; captain must manually interpret maps</w:t>
            </w:r>
          </w:p>
        </w:tc>
        <w:tc>
          <w:tcPr>
            <w:tcW w:type="dxa" w:w="3600"/>
            <w:tcMar>
              <w:top w:type="dxa" w:w="100"/>
              <w:left w:type="dxa" w:w="120"/>
              <w:bottom w:type="dxa" w:w="100"/>
              <w:right w:type="dxa" w:w="120"/>
            </w:tcMar>
          </w:tcPr>
          <w:p>
            <w:r>
              <w:t xml:space="preserve">AI-driven; natural-language briefings and direct recommendations</w:t>
            </w:r>
          </w:p>
        </w:tc>
      </w:tr>
      <w:tr>
        <w:tc>
          <w:tcPr>
            <w:tcW w:type="dxa" w:w="1800"/>
            <w:tcMar>
              <w:top w:type="dxa" w:w="100"/>
              <w:left w:type="dxa" w:w="120"/>
              <w:bottom w:type="dxa" w:w="100"/>
              <w:right w:type="dxa" w:w="120"/>
            </w:tcMar>
          </w:tcPr>
          <w:p>
            <w:r>
              <w:t xml:space="preserve">Forecast source</w:t>
            </w:r>
          </w:p>
        </w:tc>
        <w:tc>
          <w:tcPr>
            <w:tcW w:type="dxa" w:w="3600"/>
            <w:tcMar>
              <w:top w:type="dxa" w:w="100"/>
              <w:left w:type="dxa" w:w="120"/>
              <w:bottom w:type="dxa" w:w="100"/>
              <w:right w:type="dxa" w:w="120"/>
            </w:tcMar>
          </w:tcPr>
          <w:p>
            <w:r>
              <w:t xml:space="preserve">Repackaged global models (GFS-class, ~25km grids)</w:t>
            </w:r>
          </w:p>
        </w:tc>
        <w:tc>
          <w:tcPr>
            <w:tcW w:type="dxa" w:w="3600"/>
            <w:tcMar>
              <w:top w:type="dxa" w:w="100"/>
              <w:left w:type="dxa" w:w="120"/>
              <w:bottom w:type="dxa" w:w="100"/>
              <w:right w:type="dxa" w:w="120"/>
            </w:tcMar>
          </w:tcPr>
          <w:p>
            <w:r>
              <w:t xml:space="preserve">Own regional physics stack (WRF 4km / SWAN 1km / CROCO 1km); early internal benchmark favorable vs. CMEMS/AROME, independent re-validation in progress</w:t>
            </w:r>
          </w:p>
        </w:tc>
      </w:tr>
      <w:tr>
        <w:tc>
          <w:tcPr>
            <w:tcW w:type="dxa" w:w="1800"/>
            <w:tcMar>
              <w:top w:type="dxa" w:w="100"/>
              <w:left w:type="dxa" w:w="120"/>
              <w:bottom w:type="dxa" w:w="100"/>
              <w:right w:type="dxa" w:w="120"/>
            </w:tcMar>
          </w:tcPr>
          <w:p>
            <w:r>
              <w:t xml:space="preserve">Validation</w:t>
            </w:r>
          </w:p>
        </w:tc>
        <w:tc>
          <w:tcPr>
            <w:tcW w:type="dxa" w:w="3600"/>
            <w:tcMar>
              <w:top w:type="dxa" w:w="100"/>
              <w:left w:type="dxa" w:w="120"/>
              <w:bottom w:type="dxa" w:w="100"/>
              <w:right w:type="dxa" w:w="120"/>
            </w:tcMar>
          </w:tcPr>
          <w:p>
            <w:r>
              <w:t xml:space="preserve">No real-time observational validation or bias correction</w:t>
            </w:r>
          </w:p>
        </w:tc>
        <w:tc>
          <w:tcPr>
            <w:tcW w:type="dxa" w:w="3600"/>
            <w:tcMar>
              <w:top w:type="dxa" w:w="100"/>
              <w:left w:type="dxa" w:w="120"/>
              <w:bottom w:type="dxa" w:w="100"/>
              <w:right w:type="dxa" w:w="120"/>
            </w:tcMar>
          </w:tcPr>
          <w:p>
            <w:r>
              <w:t xml:space="preserve">Hourly observational correction vs. AEMET, SOCIB, Puertos del Estado; live warnings/anomaly endpoint</w:t>
            </w:r>
          </w:p>
        </w:tc>
      </w:tr>
      <w:tr>
        <w:tc>
          <w:tcPr>
            <w:tcW w:type="dxa" w:w="1800"/>
            <w:tcMar>
              <w:top w:type="dxa" w:w="100"/>
              <w:left w:type="dxa" w:w="120"/>
              <w:bottom w:type="dxa" w:w="100"/>
              <w:right w:type="dxa" w:w="120"/>
            </w:tcMar>
          </w:tcPr>
          <w:p>
            <w:r>
              <w:t xml:space="preserve">CAC-to-LTV model</w:t>
            </w:r>
          </w:p>
        </w:tc>
        <w:tc>
          <w:tcPr>
            <w:tcW w:type="dxa" w:w="3600"/>
            <w:tcMar>
              <w:top w:type="dxa" w:w="100"/>
              <w:left w:type="dxa" w:w="120"/>
              <w:bottom w:type="dxa" w:w="100"/>
              <w:right w:type="dxa" w:w="120"/>
            </w:tcMar>
          </w:tcPr>
          <w:p>
            <w:r>
              <w:t xml:space="preserve">High marketing spend; poor organic expansion in local basins</w:t>
            </w:r>
          </w:p>
        </w:tc>
        <w:tc>
          <w:tcPr>
            <w:tcW w:type="dxa" w:w="3600"/>
            <w:tcMar>
              <w:top w:type="dxa" w:w="100"/>
              <w:left w:type="dxa" w:w="120"/>
              <w:bottom w:type="dxa" w:w="100"/>
              <w:right w:type="dxa" w:w="120"/>
            </w:tcMar>
          </w:tcPr>
          <w:p>
            <w:r>
              <w:t xml:space="preserve">Exceptional viral coefficient; direct word-of-mouth inside WhatsApp</w:t>
            </w:r>
          </w:p>
        </w:tc>
      </w:tr>
    </w:tbl>
    <w:p>
      <w:pPr>
        <w:spacing w:after="160"/>
        <w:jc w:val="left"/>
      </w:pPr>
      <w:r>
        <w:rPr>
          <w:b w:val="false"/>
          <w:bCs w:val="false"/>
          <w:i w:val="false"/>
          <w:iCs w:val="false"/>
        </w:rPr>
        <w:t xml:space="preserve">Our defensibility rests on the combination of these factors, not any one alone: a regional physics stack most competitors have no reason to build for a basin this size, with an early internal benchmark against reference products and continuous re-validation underway; an institutional observation partnership (SOCIB) that is not easily replicated; and a distribution channel (WhatsApp) that removes the adoption friction of app-based competitors.</w:t>
      </w:r>
    </w:p>
    <w:p>
      <w:pPr>
        <w:pStyle w:val="Heading1"/>
        <w:spacing w:after="200" w:before="400"/>
      </w:pPr>
      <w:r>
        <w:t xml:space="preserve">11. Team &amp; Company Structure</w:t>
      </w:r>
    </w:p>
    <w:p>
      <w:pPr>
        <w:pStyle w:val="Heading2"/>
        <w:spacing w:after="150" w:before="300"/>
      </w:pPr>
      <w:r>
        <w:t xml:space="preserve">Company structure and equity</w:t>
      </w:r>
    </w:p>
    <w:p>
      <w:pPr>
        <w:spacing w:after="160"/>
        <w:jc w:val="left"/>
      </w:pPr>
      <w:r>
        <w:rPr>
          <w:b w:val="false"/>
          <w:bCs w:val="false"/>
          <w:i w:val="false"/>
          <w:iCs w:val="false"/>
        </w:rPr>
        <w:t xml:space="preserve">PredSea is a product of Relay Agency, an AI-solutions holding company based in Palma de Mallorca and currently completing formal incorporation, through which Matt Bullamore's existing consultancy practice and Charles Santana's PredSea were combined (see Section 13.2b for the group-structure disclosure). The four founders have signed a Memorandum of Agreement establishing equal 25% shareholding for each founder in each entity, a founder vesting structure to be adopted in the definitive shareholders' agreement, and an assignment of product-related intellectual property to the Company, with one disclosed carve-out: certain pre-existing code components (specific named packages) remain Kobus Wentzel's IP, licensed rather than assigned, per the signed MOA. We consider this carve-out immaterial to PredSea's core forecasting and AI-reasoning IP, but disclose it here rather than overstate the assignment. Finalizing execution and dating of the MOA is an active pre-close item.</w:t>
      </w:r>
    </w:p>
    <w:p>
      <w:pPr>
        <w:pStyle w:val="Heading2"/>
        <w:spacing w:after="150" w:before="300"/>
      </w:pPr>
      <w:r>
        <w:t xml:space="preserve">Charles Santana — Co-Founder &amp; Technical Lead</w:t>
      </w:r>
    </w:p>
    <w:p>
      <w:pPr>
        <w:spacing w:after="160"/>
        <w:jc w:val="left"/>
      </w:pPr>
      <w:r>
        <w:rPr>
          <w:b w:val="false"/>
          <w:bCs w:val="false"/>
          <w:i w:val="false"/>
          <w:iCs w:val="false"/>
        </w:rPr>
        <w:t xml:space="preserve">PhD in climate/oceanography with extensive experience leading technical development, applied ML and generative-AI systems. Prior startup experience as co-founder of Kultrip spanned complex product engineering, AI-leveraged operational workflows and marketing. At PredSea, Charles serves as Technical Lead, designing and building the proprietary high-resolution regional coupled models, data pipelines and API stack.</w:t>
      </w:r>
    </w:p>
    <w:p>
      <w:pPr>
        <w:pStyle w:val="Heading2"/>
        <w:spacing w:after="150" w:before="300"/>
      </w:pPr>
      <w:r>
        <w:t xml:space="preserve">Kobus Wentzel — Co-Founder &amp; Software Engineering / AI Architecture</w:t>
      </w:r>
    </w:p>
    <w:p>
      <w:pPr>
        <w:spacing w:after="160"/>
        <w:jc w:val="left"/>
      </w:pPr>
      <w:r>
        <w:rPr>
          <w:b w:val="false"/>
          <w:bCs w:val="false"/>
          <w:i w:val="false"/>
          <w:iCs w:val="false"/>
        </w:rPr>
        <w:t xml:space="preserve">Leads core software engineering and AI architecture, including the conversational platform integration and routing between natural-language intents and PredSea's forecast and hazard APIs.</w:t>
      </w:r>
    </w:p>
    <w:p>
      <w:pPr>
        <w:pStyle w:val="Heading2"/>
        <w:spacing w:after="150" w:before="300"/>
      </w:pPr>
      <w:r>
        <w:t xml:space="preserve">Matt Bullamore — Co-Founder &amp; Product / AI Marketing Lead</w:t>
      </w:r>
    </w:p>
    <w:p>
      <w:pPr>
        <w:spacing w:after="160"/>
        <w:jc w:val="left"/>
      </w:pPr>
      <w:r>
        <w:rPr>
          <w:b w:val="false"/>
          <w:bCs w:val="false"/>
          <w:i w:val="false"/>
          <w:iCs w:val="false"/>
        </w:rPr>
        <w:t xml:space="preserve">Leads product development and the conversational infrastructure that powers PredSea's WhatsApp interface. Matt brings a proven background in AI-leveraged automated marketing workflows, which he will deploy to scale low-cost, high-velocity B2B customer acquisition alongside his core product responsibilities.</w:t>
      </w:r>
    </w:p>
    <w:p>
      <w:pPr>
        <w:pStyle w:val="Heading2"/>
        <w:spacing w:after="150" w:before="300"/>
      </w:pPr>
      <w:r>
        <w:t xml:space="preserve">Graham Wilkinson — Co-Founder &amp; Maritime Advisor</w:t>
      </w:r>
    </w:p>
    <w:p>
      <w:pPr>
        <w:spacing w:after="160"/>
        <w:jc w:val="left"/>
      </w:pPr>
      <w:r>
        <w:rPr>
          <w:b w:val="false"/>
          <w:bCs w:val="false"/>
          <w:i w:val="false"/>
          <w:iCs w:val="false"/>
        </w:rPr>
        <w:t xml:space="preserve">25-plus years as a professional yacht captain. Serves as maritime advisor and social-proof anchor for the platform, and is a key relationship-holder into the charter-fleet and captain networks PredSea's go-to-market depends on.</w:t>
      </w:r>
    </w:p>
    <w:p>
      <w:pPr>
        <w:pStyle w:val="Heading2"/>
        <w:spacing w:after="150" w:before="300"/>
      </w:pPr>
      <w:r>
        <w:t xml:space="preserve">Institutional partnership</w:t>
      </w:r>
    </w:p>
    <w:p>
      <w:pPr>
        <w:spacing w:after="160"/>
        <w:jc w:val="left"/>
      </w:pPr>
      <w:r>
        <w:rPr>
          <w:b w:val="false"/>
          <w:bCs w:val="false"/>
          <w:i w:val="false"/>
          <w:iCs w:val="false"/>
        </w:rPr>
        <w:t xml:space="preserve">PredSea holds a data partnership with SOCIB (Balearic Islands Coastal Observing System), providing access to deep-sea buoy, coastal radar and glider telemetry.</w:t>
      </w:r>
    </w:p>
    <w:p>
      <w:r>
        <w:br w:type="page"/>
      </w:r>
    </w:p>
    <w:p>
      <w:pPr>
        <w:pStyle w:val="Heading1"/>
        <w:spacing w:after="200" w:before="400"/>
      </w:pPr>
      <w:r>
        <w:t xml:space="preserve">12.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0B2545" w:val="clear"/>
            <w:tcMar>
              <w:top w:type="dxa" w:w="100"/>
              <w:left w:type="dxa" w:w="120"/>
              <w:bottom w:type="dxa" w:w="100"/>
              <w:right w:type="dxa" w:w="120"/>
            </w:tcMar>
          </w:tcPr>
          <w:p>
            <w:r>
              <w:rPr>
                <w:b/>
                <w:bCs/>
                <w:color w:val="FFFFFF"/>
              </w:rPr>
              <w:t xml:space="preserve">Risk</w:t>
            </w:r>
          </w:p>
        </w:tc>
        <w:tc>
          <w:tcPr>
            <w:tcW w:type="dxa" w:w="6000"/>
            <w:shd w:fill="0B2545" w:val="clear"/>
            <w:tcMar>
              <w:top w:type="dxa" w:w="100"/>
              <w:left w:type="dxa" w:w="120"/>
              <w:bottom w:type="dxa" w:w="100"/>
              <w:right w:type="dxa" w:w="120"/>
            </w:tcMar>
          </w:tcPr>
          <w:p>
            <w:r>
              <w:rPr>
                <w:b/>
                <w:bCs/>
                <w:color w:val="FFFFFF"/>
              </w:rPr>
              <w:t xml:space="preserve">Mitigation</w:t>
            </w:r>
          </w:p>
        </w:tc>
      </w:tr>
      <w:tr>
        <w:tc>
          <w:tcPr>
            <w:tcW w:type="dxa" w:w="3000"/>
            <w:tcMar>
              <w:top w:type="dxa" w:w="100"/>
              <w:left w:type="dxa" w:w="120"/>
              <w:bottom w:type="dxa" w:w="100"/>
              <w:right w:type="dxa" w:w="120"/>
            </w:tcMar>
          </w:tcPr>
          <w:p>
            <w:r>
              <w:t xml:space="preserve">Model accuracy claims outpace independent validation against real buoy data</w:t>
            </w:r>
          </w:p>
        </w:tc>
        <w:tc>
          <w:tcPr>
            <w:tcW w:type="dxa" w:w="6000"/>
            <w:tcMar>
              <w:top w:type="dxa" w:w="100"/>
              <w:left w:type="dxa" w:w="120"/>
              <w:bottom w:type="dxa" w:w="100"/>
              <w:right w:type="dxa" w:w="120"/>
            </w:tcMar>
          </w:tcPr>
          <w:p>
            <w:r>
              <w:t xml:space="preserve">Restoring the automated evidence-row comparison pipeline against SOCIB/AEMET/Puertos observations (paused since late June 2026 due to a production reliability issue, being fixed); an early internal HPC benchmark showed favorable results vs. CMEMS/AROME, but this is not yet independently re-validated — no wider accuracy claims will be made until continuous, published benchmarking is restored</w:t>
            </w:r>
          </w:p>
        </w:tc>
      </w:tr>
      <w:tr>
        <w:tc>
          <w:tcPr>
            <w:tcW w:type="dxa" w:w="3000"/>
            <w:tcMar>
              <w:top w:type="dxa" w:w="100"/>
              <w:left w:type="dxa" w:w="120"/>
              <w:bottom w:type="dxa" w:w="100"/>
              <w:right w:type="dxa" w:w="120"/>
            </w:tcMar>
          </w:tcPr>
          <w:p>
            <w:r>
              <w:t xml:space="preserve">Dependence on third-party data feeds (AEMET, CMEMS, SOCIB, EMODnet)</w:t>
            </w:r>
          </w:p>
        </w:tc>
        <w:tc>
          <w:tcPr>
            <w:tcW w:type="dxa" w:w="6000"/>
            <w:tcMar>
              <w:top w:type="dxa" w:w="100"/>
              <w:left w:type="dxa" w:w="120"/>
              <w:bottom w:type="dxa" w:w="100"/>
              <w:right w:type="dxa" w:w="120"/>
            </w:tcMar>
          </w:tcPr>
          <w:p>
            <w:r>
              <w:t xml:space="preserve">Multi-source ingestion with redundancy; institutional partnership status with SOCIB rather than a purely commercial API dependency; validated own-model stack provides a credible near-term path to reduce CMEMS/ECMWF boundary-condition dependency</w:t>
            </w:r>
          </w:p>
        </w:tc>
      </w:tr>
      <w:tr>
        <w:tc>
          <w:tcPr>
            <w:tcW w:type="dxa" w:w="3000"/>
            <w:tcMar>
              <w:top w:type="dxa" w:w="100"/>
              <w:left w:type="dxa" w:w="120"/>
              <w:bottom w:type="dxa" w:w="100"/>
              <w:right w:type="dxa" w:w="120"/>
            </w:tcMar>
          </w:tcPr>
          <w:p>
            <w:r>
              <w:t xml:space="preserve">Key-person dependency and IP fragmentation across a small founding team</w:t>
            </w:r>
          </w:p>
        </w:tc>
        <w:tc>
          <w:tcPr>
            <w:tcW w:type="dxa" w:w="6000"/>
            <w:tcMar>
              <w:top w:type="dxa" w:w="100"/>
              <w:left w:type="dxa" w:w="120"/>
              <w:bottom w:type="dxa" w:w="100"/>
              <w:right w:type="dxa" w:w="120"/>
            </w:tcMar>
          </w:tcPr>
          <w:p>
            <w:r>
              <w:t xml:space="preserve">Signed Founders' Memorandum of Agreement: equal 25% equity in both Relay Agency and PredSea, IP assignment to the Company with one disclosed carve-out (Kobus Wentzel's pre-existing Shared Code, licensed not assigned — see Section 11), and unanimous-consent governance on equity, IP and liability decisions, ahead of this raise; formal hiring plan funded by this round</w:t>
            </w:r>
          </w:p>
        </w:tc>
      </w:tr>
      <w:tr>
        <w:tc>
          <w:tcPr>
            <w:tcW w:type="dxa" w:w="3000"/>
            <w:tcMar>
              <w:top w:type="dxa" w:w="100"/>
              <w:left w:type="dxa" w:w="120"/>
              <w:bottom w:type="dxa" w:w="100"/>
              <w:right w:type="dxa" w:w="120"/>
            </w:tcMar>
          </w:tcPr>
          <w:p>
            <w:r>
              <w:t xml:space="preserve">Weather-liability exposure for navigation-relevant advice</w:t>
            </w:r>
          </w:p>
        </w:tc>
        <w:tc>
          <w:tcPr>
            <w:tcW w:type="dxa" w:w="6000"/>
            <w:tcMar>
              <w:top w:type="dxa" w:w="100"/>
              <w:left w:type="dxa" w:w="120"/>
              <w:bottom w:type="dxa" w:w="100"/>
              <w:right w:type="dxa" w:w="120"/>
            </w:tcMar>
          </w:tcPr>
          <w:p>
            <w:r>
              <w:t xml:space="preserve">Clear terms of service and disclaimers consistent with industry-standard marine weather products; official alerts remain the authoritative safety layer</w:t>
            </w:r>
          </w:p>
        </w:tc>
      </w:tr>
      <w:tr>
        <w:tc>
          <w:tcPr>
            <w:tcW w:type="dxa" w:w="3000"/>
            <w:tcMar>
              <w:top w:type="dxa" w:w="100"/>
              <w:left w:type="dxa" w:w="120"/>
              <w:bottom w:type="dxa" w:w="100"/>
              <w:right w:type="dxa" w:w="120"/>
            </w:tcMar>
          </w:tcPr>
          <w:p>
            <w:r>
              <w:t xml:space="preserve">Seasonal revenue concentration (Mediterranean charter season)</w:t>
            </w:r>
          </w:p>
        </w:tc>
        <w:tc>
          <w:tcPr>
            <w:tcW w:type="dxa" w:w="6000"/>
            <w:tcMar>
              <w:top w:type="dxa" w:w="100"/>
              <w:left w:type="dxa" w:w="120"/>
              <w:bottom w:type="dxa" w:w="100"/>
              <w:right w:type="dxa" w:w="120"/>
            </w:tcMar>
          </w:tcPr>
          <w:p>
            <w:r>
              <w:t xml:space="preserve">Enterprise/Corporate and Developer API tiers target less seasonal, commercial demand; geographic expansion diversifies seasonality over time</w:t>
            </w:r>
          </w:p>
        </w:tc>
      </w:tr>
    </w:tbl>
    <w:p>
      <w:pPr>
        <w:pStyle w:val="Heading1"/>
        <w:spacing w:after="200" w:before="400"/>
      </w:pPr>
      <w:r>
        <w:t xml:space="preserve">13. Financial Projections &amp; Funding Roadmap</w:t>
      </w:r>
    </w:p>
    <w:p>
      <w:pPr>
        <w:spacing w:after="160"/>
        <w:jc w:val="left"/>
      </w:pPr>
      <w:r>
        <w:rPr>
          <w:b w:val="false"/>
          <w:bCs w:val="false"/>
          <w:i w:val="false"/>
          <w:iCs w:val="false"/>
        </w:rPr>
        <w:t xml:space="preserve">This section outlines a venture-backed growth trajectory designed to scale PredSea into a high-value deep-tech acquisition target. By securing an initial seed round, we will prove core SaaS metrics in our Western Mediterranean beachhead before raising a Series A to drive multi-basin expansion.</w:t>
      </w:r>
    </w:p>
    <w:p>
      <w:pPr>
        <w:pStyle w:val="Heading2"/>
        <w:spacing w:after="150" w:before="300"/>
      </w:pPr>
      <w:r>
        <w:t xml:space="preserve">13.1 The funding roadmap</w:t>
      </w:r>
    </w:p>
    <w:p>
      <w:pPr>
        <w:pStyle w:val="ListParagraph"/>
        <w:numPr>
          <w:ilvl w:val="0"/>
          <w:numId w:val="1"/>
        </w:numPr>
        <w:spacing w:after="100"/>
      </w:pPr>
      <w:r>
        <w:rPr>
          <w:b/>
          <w:bCs/>
        </w:rPr>
        <w:t xml:space="preserve">Seed round (current ask): </w:t>
      </w:r>
      <w:r>
        <w:t xml:space="preserve">Establishes a 12-month runway to complete the Western Mediterranean pilot, convert our initial fleet subscribers, and prove a repeatable B2B SaaS CAC-to-LTV model with zero-friction WhatsApp distribution.</w:t>
      </w:r>
    </w:p>
    <w:p>
      <w:pPr>
        <w:pStyle w:val="ListParagraph"/>
        <w:numPr>
          <w:ilvl w:val="0"/>
          <w:numId w:val="1"/>
        </w:numPr>
        <w:spacing w:after="100"/>
      </w:pPr>
      <w:r>
        <w:rPr>
          <w:b/>
          <w:bCs/>
        </w:rPr>
        <w:t xml:space="preserve">Series A round: </w:t>
      </w:r>
      <w:r>
        <w:t xml:space="preserve">Target raise approximately 12 months after the seed close, to fund global domain simulation expansion, scale the physics/ML engineering team, and build a dedicated international enterprise sales engine.</w:t>
      </w:r>
    </w:p>
    <w:p>
      <w:pPr>
        <w:pStyle w:val="Heading2"/>
        <w:spacing w:after="150" w:before="300"/>
      </w:pPr>
      <w:r>
        <w:t xml:space="preserve">13.2 Three-year financial &amp; operational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0B2545" w:val="clear"/>
            <w:tcMar>
              <w:top w:type="dxa" w:w="100"/>
              <w:left w:type="dxa" w:w="120"/>
              <w:bottom w:type="dxa" w:w="100"/>
              <w:right w:type="dxa" w:w="120"/>
            </w:tcMar>
          </w:tcPr>
          <w:p>
            <w:r>
              <w:rPr>
                <w:b/>
                <w:bCs/>
                <w:color w:val="FFFFFF"/>
              </w:rPr>
              <w:t xml:space="preserve">Metric</w:t>
            </w:r>
          </w:p>
        </w:tc>
        <w:tc>
          <w:tcPr>
            <w:tcW w:type="dxa" w:w="2200"/>
            <w:shd w:fill="0B2545" w:val="clear"/>
            <w:tcMar>
              <w:top w:type="dxa" w:w="100"/>
              <w:left w:type="dxa" w:w="120"/>
              <w:bottom w:type="dxa" w:w="100"/>
              <w:right w:type="dxa" w:w="120"/>
            </w:tcMar>
          </w:tcPr>
          <w:p>
            <w:r>
              <w:rPr>
                <w:b/>
                <w:bCs/>
                <w:color w:val="FFFFFF"/>
              </w:rPr>
              <w:t xml:space="preserve">Year 1 (Pilot/Seed)</w:t>
            </w:r>
          </w:p>
        </w:tc>
        <w:tc>
          <w:tcPr>
            <w:tcW w:type="dxa" w:w="2200"/>
            <w:shd w:fill="0B2545" w:val="clear"/>
            <w:tcMar>
              <w:top w:type="dxa" w:w="100"/>
              <w:left w:type="dxa" w:w="120"/>
              <w:bottom w:type="dxa" w:w="100"/>
              <w:right w:type="dxa" w:w="120"/>
            </w:tcMar>
          </w:tcPr>
          <w:p>
            <w:r>
              <w:rPr>
                <w:b/>
                <w:bCs/>
                <w:color w:val="FFFFFF"/>
              </w:rPr>
              <w:t xml:space="preserve">Year 2 (Series A Scale)</w:t>
            </w:r>
          </w:p>
        </w:tc>
        <w:tc>
          <w:tcPr>
            <w:tcW w:type="dxa" w:w="2400"/>
            <w:shd w:fill="0B2545" w:val="clear"/>
            <w:tcMar>
              <w:top w:type="dxa" w:w="100"/>
              <w:left w:type="dxa" w:w="120"/>
              <w:bottom w:type="dxa" w:w="100"/>
              <w:right w:type="dxa" w:w="120"/>
            </w:tcMar>
          </w:tcPr>
          <w:p>
            <w:r>
              <w:rPr>
                <w:b/>
                <w:bCs/>
                <w:color w:val="FFFFFF"/>
              </w:rPr>
              <w:t xml:space="preserve">Year 3 (Regional Dominance)</w:t>
            </w:r>
          </w:p>
        </w:tc>
      </w:tr>
      <w:tr>
        <w:tc>
          <w:tcPr>
            <w:tcW w:type="dxa" w:w="2200"/>
            <w:tcMar>
              <w:top w:type="dxa" w:w="100"/>
              <w:left w:type="dxa" w:w="120"/>
              <w:bottom w:type="dxa" w:w="100"/>
              <w:right w:type="dxa" w:w="120"/>
            </w:tcMar>
          </w:tcPr>
          <w:p>
            <w:r>
              <w:t xml:space="preserve">Active contracted vessels</w:t>
            </w:r>
          </w:p>
        </w:tc>
        <w:tc>
          <w:tcPr>
            <w:tcW w:type="dxa" w:w="2200"/>
            <w:tcMar>
              <w:top w:type="dxa" w:w="100"/>
              <w:left w:type="dxa" w:w="120"/>
              <w:bottom w:type="dxa" w:w="100"/>
              <w:right w:type="dxa" w:w="120"/>
            </w:tcMar>
          </w:tcPr>
          <w:p>
            <w:r>
              <w:t xml:space="preserve">100</w:t>
            </w:r>
          </w:p>
        </w:tc>
        <w:tc>
          <w:tcPr>
            <w:tcW w:type="dxa" w:w="2200"/>
            <w:tcMar>
              <w:top w:type="dxa" w:w="100"/>
              <w:left w:type="dxa" w:w="120"/>
              <w:bottom w:type="dxa" w:w="100"/>
              <w:right w:type="dxa" w:w="120"/>
            </w:tcMar>
          </w:tcPr>
          <w:p>
            <w:r>
              <w:t xml:space="preserve">1,050</w:t>
            </w:r>
          </w:p>
        </w:tc>
        <w:tc>
          <w:tcPr>
            <w:tcW w:type="dxa" w:w="2400"/>
            <w:tcMar>
              <w:top w:type="dxa" w:w="100"/>
              <w:left w:type="dxa" w:w="120"/>
              <w:bottom w:type="dxa" w:w="100"/>
              <w:right w:type="dxa" w:w="120"/>
            </w:tcMar>
          </w:tcPr>
          <w:p>
            <w:r>
              <w:t xml:space="preserve">5,200</w:t>
            </w:r>
          </w:p>
        </w:tc>
      </w:tr>
      <w:tr>
        <w:tc>
          <w:tcPr>
            <w:tcW w:type="dxa" w:w="2200"/>
            <w:tcMar>
              <w:top w:type="dxa" w:w="100"/>
              <w:left w:type="dxa" w:w="120"/>
              <w:bottom w:type="dxa" w:w="100"/>
              <w:right w:type="dxa" w:w="120"/>
            </w:tcMar>
          </w:tcPr>
          <w:p>
            <w:r>
              <w:t xml:space="preserve">Average SaaS price / vessel</w:t>
            </w:r>
          </w:p>
        </w:tc>
        <w:tc>
          <w:tcPr>
            <w:tcW w:type="dxa" w:w="2200"/>
            <w:tcMar>
              <w:top w:type="dxa" w:w="100"/>
              <w:left w:type="dxa" w:w="120"/>
              <w:bottom w:type="dxa" w:w="100"/>
              <w:right w:type="dxa" w:w="120"/>
            </w:tcMar>
          </w:tcPr>
          <w:p>
            <w:r>
              <w:t xml:space="preserve">€49 / month</w:t>
            </w:r>
          </w:p>
        </w:tc>
        <w:tc>
          <w:tcPr>
            <w:tcW w:type="dxa" w:w="2200"/>
            <w:tcMar>
              <w:top w:type="dxa" w:w="100"/>
              <w:left w:type="dxa" w:w="120"/>
              <w:bottom w:type="dxa" w:w="100"/>
              <w:right w:type="dxa" w:w="120"/>
            </w:tcMar>
          </w:tcPr>
          <w:p>
            <w:r>
              <w:t xml:space="preserve">€49 / month</w:t>
            </w:r>
          </w:p>
        </w:tc>
        <w:tc>
          <w:tcPr>
            <w:tcW w:type="dxa" w:w="2400"/>
            <w:tcMar>
              <w:top w:type="dxa" w:w="100"/>
              <w:left w:type="dxa" w:w="120"/>
              <w:bottom w:type="dxa" w:w="100"/>
              <w:right w:type="dxa" w:w="120"/>
            </w:tcMar>
          </w:tcPr>
          <w:p>
            <w:r>
              <w:t xml:space="preserve">€49 / month</w:t>
            </w:r>
          </w:p>
        </w:tc>
      </w:tr>
      <w:tr>
        <w:tc>
          <w:tcPr>
            <w:tcW w:type="dxa" w:w="2200"/>
            <w:tcMar>
              <w:top w:type="dxa" w:w="100"/>
              <w:left w:type="dxa" w:w="120"/>
              <w:bottom w:type="dxa" w:w="100"/>
              <w:right w:type="dxa" w:w="120"/>
            </w:tcMar>
          </w:tcPr>
          <w:p>
            <w:r>
              <w:t xml:space="preserve">Annual recurring revenue (ARR)</w:t>
            </w:r>
          </w:p>
        </w:tc>
        <w:tc>
          <w:tcPr>
            <w:tcW w:type="dxa" w:w="2200"/>
            <w:tcMar>
              <w:top w:type="dxa" w:w="100"/>
              <w:left w:type="dxa" w:w="120"/>
              <w:bottom w:type="dxa" w:w="100"/>
              <w:right w:type="dxa" w:w="120"/>
            </w:tcMar>
          </w:tcPr>
          <w:p>
            <w:r>
              <w:t xml:space="preserve">€58,800</w:t>
            </w:r>
          </w:p>
        </w:tc>
        <w:tc>
          <w:tcPr>
            <w:tcW w:type="dxa" w:w="2200"/>
            <w:tcMar>
              <w:top w:type="dxa" w:w="100"/>
              <w:left w:type="dxa" w:w="120"/>
              <w:bottom w:type="dxa" w:w="100"/>
              <w:right w:type="dxa" w:w="120"/>
            </w:tcMar>
          </w:tcPr>
          <w:p>
            <w:r>
              <w:t xml:space="preserve">€617,400</w:t>
            </w:r>
          </w:p>
        </w:tc>
        <w:tc>
          <w:tcPr>
            <w:tcW w:type="dxa" w:w="2400"/>
            <w:tcMar>
              <w:top w:type="dxa" w:w="100"/>
              <w:left w:type="dxa" w:w="120"/>
              <w:bottom w:type="dxa" w:w="100"/>
              <w:right w:type="dxa" w:w="120"/>
            </w:tcMar>
          </w:tcPr>
          <w:p>
            <w:r>
              <w:t xml:space="preserve">€3,057,600</w:t>
            </w:r>
          </w:p>
        </w:tc>
      </w:tr>
      <w:tr>
        <w:tc>
          <w:tcPr>
            <w:tcW w:type="dxa" w:w="2200"/>
            <w:tcMar>
              <w:top w:type="dxa" w:w="100"/>
              <w:left w:type="dxa" w:w="120"/>
              <w:bottom w:type="dxa" w:w="100"/>
              <w:right w:type="dxa" w:w="120"/>
            </w:tcMar>
          </w:tcPr>
          <w:p>
            <w:r>
              <w:t xml:space="preserve">Annual personnel &amp; ops (burn)</w:t>
            </w:r>
          </w:p>
        </w:tc>
        <w:tc>
          <w:tcPr>
            <w:tcW w:type="dxa" w:w="2200"/>
            <w:tcMar>
              <w:top w:type="dxa" w:w="100"/>
              <w:left w:type="dxa" w:w="120"/>
              <w:bottom w:type="dxa" w:w="100"/>
              <w:right w:type="dxa" w:w="120"/>
            </w:tcMar>
          </w:tcPr>
          <w:p>
            <w:r>
              <w:t xml:space="preserve">€316,000</w:t>
            </w:r>
          </w:p>
        </w:tc>
        <w:tc>
          <w:tcPr>
            <w:tcW w:type="dxa" w:w="2200"/>
            <w:tcMar>
              <w:top w:type="dxa" w:w="100"/>
              <w:left w:type="dxa" w:w="120"/>
              <w:bottom w:type="dxa" w:w="100"/>
              <w:right w:type="dxa" w:w="120"/>
            </w:tcMar>
          </w:tcPr>
          <w:p>
            <w:r>
              <w:t xml:space="preserve">€700,000</w:t>
            </w:r>
          </w:p>
        </w:tc>
        <w:tc>
          <w:tcPr>
            <w:tcW w:type="dxa" w:w="2400"/>
            <w:tcMar>
              <w:top w:type="dxa" w:w="100"/>
              <w:left w:type="dxa" w:w="120"/>
              <w:bottom w:type="dxa" w:w="100"/>
              <w:right w:type="dxa" w:w="120"/>
            </w:tcMar>
          </w:tcPr>
          <w:p>
            <w:r>
              <w:t xml:space="preserve">€1,600,000</w:t>
            </w:r>
          </w:p>
        </w:tc>
      </w:tr>
      <w:tr>
        <w:tc>
          <w:tcPr>
            <w:tcW w:type="dxa" w:w="2200"/>
            <w:tcMar>
              <w:top w:type="dxa" w:w="100"/>
              <w:left w:type="dxa" w:w="120"/>
              <w:bottom w:type="dxa" w:w="100"/>
              <w:right w:type="dxa" w:w="120"/>
            </w:tcMar>
          </w:tcPr>
          <w:p>
            <w:r>
              <w:t xml:space="preserve">Strategic focus</w:t>
            </w:r>
          </w:p>
        </w:tc>
        <w:tc>
          <w:tcPr>
            <w:tcW w:type="dxa" w:w="2200"/>
            <w:tcMar>
              <w:top w:type="dxa" w:w="100"/>
              <w:left w:type="dxa" w:w="120"/>
              <w:bottom w:type="dxa" w:w="100"/>
              <w:right w:type="dxa" w:w="120"/>
            </w:tcMar>
          </w:tcPr>
          <w:p>
            <w:r>
              <w:t xml:space="preserve">Prove beachhead &amp; SaaS metrics</w:t>
            </w:r>
          </w:p>
        </w:tc>
        <w:tc>
          <w:tcPr>
            <w:tcW w:type="dxa" w:w="2200"/>
            <w:tcMar>
              <w:top w:type="dxa" w:w="100"/>
              <w:left w:type="dxa" w:w="120"/>
              <w:bottom w:type="dxa" w:w="100"/>
              <w:right w:type="dxa" w:w="120"/>
            </w:tcMar>
          </w:tcPr>
          <w:p>
            <w:r>
              <w:t xml:space="preserve">Scale fleet SaaS &amp; marketing</w:t>
            </w:r>
          </w:p>
        </w:tc>
        <w:tc>
          <w:tcPr>
            <w:tcW w:type="dxa" w:w="2400"/>
            <w:tcMar>
              <w:top w:type="dxa" w:w="100"/>
              <w:left w:type="dxa" w:w="120"/>
              <w:bottom w:type="dxa" w:w="100"/>
              <w:right w:type="dxa" w:w="120"/>
            </w:tcMar>
          </w:tcPr>
          <w:p>
            <w:r>
              <w:t xml:space="preserve">Multi-basin domain dominance</w:t>
            </w:r>
          </w:p>
        </w:tc>
      </w:tr>
    </w:tbl>
    <w:p>
      <w:pPr>
        <w:spacing w:after="160"/>
        <w:jc w:val="left"/>
      </w:pPr>
      <w:r>
        <w:rPr>
          <w:b w:val="false"/>
          <w:bCs w:val="false"/>
          <w:i w:val="false"/>
          <w:iCs w:val="false"/>
        </w:rPr>
        <w:t xml:space="preserve">These figures reflect a target growth plan, not measured traction: Year 1–2 vessel counts are supported by a disclosed two-channel growth mechanism (organic word-of-mouth plus a boat-show-to-fleet-deal engine — see Section 7.5), which independently produces a comparable trajectory. The Year 3 target (5,200 vessels) assumes a materially accelerated, Series A-funded expansion of the boat-show circuit into mainland Spain, France and Monaco beyond the base mechanism, and should be read as an ambitious upside case rather than a conservative base case; we will revisit it against real Year 1–2 conversion data before it is presented as a committed plan. Figures above are PredSea product financials only. PredSea is a product of Relay Agency, the founders' AI-solutions holding company (see Section 11); Relay Agency's separate consultancy revenue (audits, custom AI agents for other clients) is not included in this table and is reported separately — see Section 13.2b. With high B2B SaaS margins (85%+) and proprietary regional coupled-simulation forecasting IP, achieving Year 3 ARR at this scale would position PredSea for a premium deep-tech multiple (15x–20x ARR), targeting a significant valuation exit by Year 4. These figures are projections for planning purposes and are not guarantees of future performance.</w:t>
      </w:r>
    </w:p>
    <w:p>
      <w:pPr>
        <w:pStyle w:val="Heading2"/>
        <w:spacing w:after="150" w:before="300"/>
      </w:pPr>
      <w:r>
        <w:t xml:space="preserve">13.2b Relay Agency — parent structure &amp; consultancy revenue (disclosure)</w:t>
      </w:r>
    </w:p>
    <w:p>
      <w:r>
        <w:t xml:space="preserve">PredSea is a product of Relay Agency, an AI-solutions holding company founded by Matt Bullamore, into which Charles Santana’s PredSea and Matt’s existing consultancy practice were combined; all four founders hold equal 25% ownership of each entity under the Founders’ Memorandum of Agreement. Relay Agency separately earns consultancy revenue (client audits, custom AI agents, integrations) unrelated to PredSea’s maritime product line, estimated at approximately €22,500 (Year 1), €60,000 (Year 2) and €90,000 (Year 3). This raise is for PredSea specifically; Relay Agency’s consultancy revenue is not included in the PredSea financial projections in Section 13.2 above, is not part of PredSea’s ARR, and should not be read as SaaS-multiple-eligible revenue. We disclose it here for full transparency on group structure, since investors should understand what they are and are not gaining exposure to through this specific investment.</w:t>
      </w:r>
    </w:p>
    <w:p>
      <w:pPr>
        <w:pStyle w:val="Heading2"/>
        <w:spacing w:after="150" w:before="300"/>
      </w:pPr>
      <w:r>
        <w:t xml:space="preserve">13.3 Seed round use of funds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0B2545" w:val="clear"/>
            <w:tcMar>
              <w:top w:type="dxa" w:w="100"/>
              <w:left w:type="dxa" w:w="120"/>
              <w:bottom w:type="dxa" w:w="100"/>
              <w:right w:type="dxa" w:w="120"/>
            </w:tcMar>
          </w:tcPr>
          <w:p>
            <w:r>
              <w:rPr>
                <w:b/>
                <w:bCs/>
                <w:color w:val="FFFFFF"/>
              </w:rPr>
              <w:t xml:space="preserve">Category</w:t>
            </w:r>
          </w:p>
        </w:tc>
        <w:tc>
          <w:tcPr>
            <w:tcW w:type="dxa" w:w="6600"/>
            <w:shd w:fill="0B2545" w:val="clear"/>
            <w:tcMar>
              <w:top w:type="dxa" w:w="100"/>
              <w:left w:type="dxa" w:w="120"/>
              <w:bottom w:type="dxa" w:w="100"/>
              <w:right w:type="dxa" w:w="120"/>
            </w:tcMar>
          </w:tcPr>
          <w:p>
            <w:r>
              <w:rPr>
                <w:b/>
                <w:bCs/>
                <w:color w:val="FFFFFF"/>
              </w:rPr>
              <w:t xml:space="preserve">Strategic detail</w:t>
            </w:r>
          </w:p>
        </w:tc>
      </w:tr>
      <w:tr>
        <w:tc>
          <w:tcPr>
            <w:tcW w:type="dxa" w:w="2400"/>
            <w:tcMar>
              <w:top w:type="dxa" w:w="100"/>
              <w:left w:type="dxa" w:w="120"/>
              <w:bottom w:type="dxa" w:w="100"/>
              <w:right w:type="dxa" w:w="120"/>
            </w:tcMar>
          </w:tcPr>
          <w:p>
            <w:r>
              <w:t xml:space="preserve">Personnel — Charles Santana</w:t>
            </w:r>
          </w:p>
        </w:tc>
        <w:tc>
          <w:tcPr>
            <w:tcW w:type="dxa" w:w="6600"/>
            <w:tcMar>
              <w:top w:type="dxa" w:w="100"/>
              <w:left w:type="dxa" w:w="120"/>
              <w:bottom w:type="dxa" w:w="100"/>
              <w:right w:type="dxa" w:w="120"/>
            </w:tcMar>
          </w:tcPr>
          <w:p>
            <w:r>
              <w:t xml:space="preserve">Founder &amp; Technical Lead (modeling, data fusion, and API stack)</w:t>
            </w:r>
          </w:p>
        </w:tc>
      </w:tr>
      <w:tr>
        <w:tc>
          <w:tcPr>
            <w:tcW w:type="dxa" w:w="2400"/>
            <w:tcMar>
              <w:top w:type="dxa" w:w="100"/>
              <w:left w:type="dxa" w:w="120"/>
              <w:bottom w:type="dxa" w:w="100"/>
              <w:right w:type="dxa" w:w="120"/>
            </w:tcMar>
          </w:tcPr>
          <w:p>
            <w:r>
              <w:t xml:space="preserve">Personnel — Graham Wilkinson</w:t>
            </w:r>
          </w:p>
        </w:tc>
        <w:tc>
          <w:tcPr>
            <w:tcW w:type="dxa" w:w="6600"/>
            <w:tcMar>
              <w:top w:type="dxa" w:w="100"/>
              <w:left w:type="dxa" w:w="120"/>
              <w:bottom w:type="dxa" w:w="100"/>
              <w:right w:type="dxa" w:w="120"/>
            </w:tcMar>
          </w:tcPr>
          <w:p>
            <w:r>
              <w:t xml:space="preserve">Maritime Captain &amp; Advisor (charter networks, captain introductions)</w:t>
            </w:r>
          </w:p>
        </w:tc>
      </w:tr>
      <w:tr>
        <w:tc>
          <w:tcPr>
            <w:tcW w:type="dxa" w:w="2400"/>
            <w:tcMar>
              <w:top w:type="dxa" w:w="100"/>
              <w:left w:type="dxa" w:w="120"/>
              <w:bottom w:type="dxa" w:w="100"/>
              <w:right w:type="dxa" w:w="120"/>
            </w:tcMar>
          </w:tcPr>
          <w:p>
            <w:r>
              <w:t xml:space="preserve">Personnel — Matt Bullamore</w:t>
            </w:r>
          </w:p>
        </w:tc>
        <w:tc>
          <w:tcPr>
            <w:tcW w:type="dxa" w:w="6600"/>
            <w:tcMar>
              <w:top w:type="dxa" w:w="100"/>
              <w:left w:type="dxa" w:w="120"/>
              <w:bottom w:type="dxa" w:w="100"/>
              <w:right w:type="dxa" w:w="120"/>
            </w:tcMar>
          </w:tcPr>
          <w:p>
            <w:r>
              <w:t xml:space="preserve">Product &amp; AI Marketing (product development, AI-driven automated customer acquisition)</w:t>
            </w:r>
          </w:p>
        </w:tc>
      </w:tr>
      <w:tr>
        <w:tc>
          <w:tcPr>
            <w:tcW w:type="dxa" w:w="2400"/>
            <w:tcMar>
              <w:top w:type="dxa" w:w="100"/>
              <w:left w:type="dxa" w:w="120"/>
              <w:bottom w:type="dxa" w:w="100"/>
              <w:right w:type="dxa" w:w="120"/>
            </w:tcMar>
          </w:tcPr>
          <w:p>
            <w:r>
              <w:t xml:space="preserve">Personnel — Kobus Wentzel</w:t>
            </w:r>
          </w:p>
        </w:tc>
        <w:tc>
          <w:tcPr>
            <w:tcW w:type="dxa" w:w="6600"/>
            <w:tcMar>
              <w:top w:type="dxa" w:w="100"/>
              <w:left w:type="dxa" w:w="120"/>
              <w:bottom w:type="dxa" w:w="100"/>
              <w:right w:type="dxa" w:w="120"/>
            </w:tcMar>
          </w:tcPr>
          <w:p>
            <w:r>
              <w:t xml:space="preserve">Software Engineering &amp; AI Architecture (conversational platform integration and routing)</w:t>
            </w:r>
          </w:p>
        </w:tc>
      </w:tr>
      <w:tr>
        <w:tc>
          <w:tcPr>
            <w:tcW w:type="dxa" w:w="2400"/>
            <w:tcMar>
              <w:top w:type="dxa" w:w="100"/>
              <w:left w:type="dxa" w:w="120"/>
              <w:bottom w:type="dxa" w:w="100"/>
              <w:right w:type="dxa" w:w="120"/>
            </w:tcMar>
          </w:tcPr>
          <w:p>
            <w:r>
              <w:t xml:space="preserve">Infrastructure &amp; compute</w:t>
            </w:r>
          </w:p>
        </w:tc>
        <w:tc>
          <w:tcPr>
            <w:tcW w:type="dxa" w:w="6600"/>
            <w:tcMar>
              <w:top w:type="dxa" w:w="100"/>
              <w:left w:type="dxa" w:w="120"/>
              <w:bottom w:type="dxa" w:w="100"/>
              <w:right w:type="dxa" w:w="120"/>
            </w:tcMar>
          </w:tcPr>
          <w:p>
            <w:r>
              <w:t xml:space="preserve">Cloud compute &amp; API hosting, offset in part by Google for Startups credits</w:t>
            </w:r>
          </w:p>
        </w:tc>
      </w:tr>
      <w:tr>
        <w:tc>
          <w:tcPr>
            <w:tcW w:type="dxa" w:w="2400"/>
            <w:tcMar>
              <w:top w:type="dxa" w:w="100"/>
              <w:left w:type="dxa" w:w="120"/>
              <w:bottom w:type="dxa" w:w="100"/>
              <w:right w:type="dxa" w:w="120"/>
            </w:tcMar>
          </w:tcPr>
          <w:p>
            <w:r>
              <w:t xml:space="preserve">Marketing &amp; sales</w:t>
            </w:r>
          </w:p>
        </w:tc>
        <w:tc>
          <w:tcPr>
            <w:tcW w:type="dxa" w:w="6600"/>
            <w:tcMar>
              <w:top w:type="dxa" w:w="100"/>
              <w:left w:type="dxa" w:w="120"/>
              <w:bottom w:type="dxa" w:w="100"/>
              <w:right w:type="dxa" w:w="120"/>
            </w:tcMar>
          </w:tcPr>
          <w:p>
            <w:r>
              <w:t xml:space="preserve">European/US boat shows (Monaco, Barcelona, Netherlands, Genoa, Fort Lauderdale) &amp; lead-gen</w:t>
            </w:r>
          </w:p>
        </w:tc>
      </w:tr>
      <w:tr>
        <w:tc>
          <w:tcPr>
            <w:tcW w:type="dxa" w:w="2400"/>
            <w:tcMar>
              <w:top w:type="dxa" w:w="100"/>
              <w:left w:type="dxa" w:w="120"/>
              <w:bottom w:type="dxa" w:w="100"/>
              <w:right w:type="dxa" w:w="120"/>
            </w:tcMar>
          </w:tcPr>
          <w:p>
            <w:r>
              <w:t xml:space="preserve">Working capital / contingency</w:t>
            </w:r>
          </w:p>
        </w:tc>
        <w:tc>
          <w:tcPr>
            <w:tcW w:type="dxa" w:w="6600"/>
            <w:tcMar>
              <w:top w:type="dxa" w:w="100"/>
              <w:left w:type="dxa" w:w="120"/>
              <w:bottom w:type="dxa" w:w="100"/>
              <w:right w:type="dxa" w:w="120"/>
            </w:tcMar>
          </w:tcPr>
          <w:p>
            <w:r>
              <w:t xml:space="preserve">Operational runway buffer for conversion timeline and pricing risk</w:t>
            </w:r>
          </w:p>
        </w:tc>
      </w:tr>
    </w:tbl>
    <w:p>
      <w:pPr>
        <w:spacing w:after="160"/>
        <w:jc w:val="left"/>
      </w:pPr>
      <w:r>
        <w:rPr>
          <w:b w:val="false"/>
          <w:bCs w:val="false"/>
          <w:i w:val="false"/>
          <w:iCs w:val="false"/>
        </w:rPr>
        <w:t xml:space="preserve">The four founders draw equal salaries under the terms of the Founders' Memorandum of Agreement, reinforcing full execution focus and removing internal compensation disputes as an execution risk during the funded period.</w:t>
      </w:r>
    </w:p>
    <w:p>
      <w:pPr>
        <w:pStyle w:val="Heading2"/>
        <w:spacing w:after="150" w:before="300"/>
      </w:pPr>
      <w:r>
        <w:t xml:space="preserve">13.4 Singular 12-month milestone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Core 12-month milestone</w:t>
            </w:r>
          </w:p>
          <w:p>
            <w:pPr>
              <w:spacing w:after="80"/>
            </w:pPr>
            <w:r>
              <w:t xml:space="preserve">Achieve predictable, regional B2B SaaS ARR by converting the Western Mediterranean pilot fleet and locking in new charter management contracts across the European boat show circuit, proving a repeatable CAC-to-LTV ratio that unlocks Series A readiness.</w:t>
            </w:r>
          </w:p>
        </w:tc>
      </w:tr>
    </w:tbl>
    <w:p>
      <w:r>
        <w:br w:type="page"/>
      </w:r>
    </w:p>
    <w:p>
      <w:pPr>
        <w:pStyle w:val="Heading1"/>
        <w:spacing w:after="200" w:before="400"/>
      </w:pPr>
      <w:r>
        <w:t xml:space="preserve">14. The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Investment sought</w:t>
            </w:r>
          </w:p>
          <w:p>
            <w:pPr>
              <w:spacing w:after="80"/>
            </w:pPr>
            <w:r>
              <w:t xml:space="preserve">Funding required: seed round, providing a full 12-month runway (see Section 13 for use of funds)</w:t>
            </w:r>
          </w:p>
          <w:p>
            <w:pPr>
              <w:spacing w:after="80"/>
            </w:pPr>
            <w:r>
              <w:t xml:space="preserve">Core goal: convert the live Western Mediterranean pilot fleet, scale B2B customer acquisition via the European boat show circuit, and establish predictable, regional B2B SaaS ARR</w:t>
            </w:r>
          </w:p>
          <w:p>
            <w:pPr>
              <w:spacing w:after="80"/>
            </w:pPr>
            <w:r>
              <w:t xml:space="preserve">Compensation alignment: equal, transparent salaries for the four co-founders under the signed Founders' Memorandum of Agreement, to guarantee complete execution focus</w:t>
            </w:r>
          </w:p>
        </w:tc>
      </w:tr>
    </w:tbl>
    <w:p>
      <w:pPr>
        <w:spacing w:after="160"/>
        <w:jc w:val="left"/>
      </w:pPr>
      <w:r>
        <w:rPr>
          <w:b w:val="false"/>
          <w:bCs w:val="false"/>
          <w:i w:val="false"/>
          <w:iCs w:val="false"/>
        </w:rPr>
        <w:t xml:space="preserve">We are raising this seed round to execute our Year 1 beachhead goals and validate our core commercial metrics. This provides a clean launchpad for our Series A round and positions PredSea on a focused path toward a strategic exit.</w:t>
      </w:r>
    </w:p>
    <w:p>
      <w:pPr>
        <w:pStyle w:val="Heading1"/>
        <w:spacing w:after="200" w:before="400"/>
      </w:pPr>
      <w:r>
        <w:t xml:space="preserve">15. Exit Strategy</w:t>
      </w:r>
    </w:p>
    <w:p>
      <w:pPr>
        <w:spacing w:after="160"/>
        <w:jc w:val="left"/>
      </w:pPr>
      <w:r>
        <w:rPr>
          <w:b w:val="false"/>
          <w:bCs w:val="false"/>
          <w:i w:val="false"/>
          <w:iCs w:val="false"/>
        </w:rPr>
        <w:t xml:space="preserve">PredSea is designed from day one as a high-value acquisition target. We expect to reach exit liquidity within 3.5 to 4 years, targeting a premium strategic transaction. Our proprietary, high-resolution forecasting and conversational routing layer — now a single, fully-owned technology stack — represents immediate strategic value to two main classes of acquirers.</w:t>
      </w:r>
    </w:p>
    <w:p>
      <w:pPr>
        <w:pStyle w:val="Heading2"/>
        <w:spacing w:after="150" w:before="300"/>
      </w:pPr>
      <w:r>
        <w:t xml:space="preserve">15.1 Marine hardware &amp; electronics leaders</w:t>
      </w:r>
    </w:p>
    <w:p>
      <w:pPr>
        <w:pStyle w:val="ListParagraph"/>
        <w:numPr>
          <w:ilvl w:val="0"/>
          <w:numId w:val="1"/>
        </w:numPr>
        <w:spacing w:after="100"/>
      </w:pPr>
      <w:r>
        <w:rPr>
          <w:b/>
          <w:bCs/>
        </w:rPr>
        <w:t xml:space="preserve">Conversational navigation stations: </w:t>
      </w:r>
      <w:r>
        <w:t xml:space="preserve">PredSea's conversational delivery layer (WhatsApp-native) is a turn-key, zero-friction solution that transforms static, commodity chartplotters into intelligent, conversational navigation stations.</w:t>
      </w:r>
    </w:p>
    <w:p>
      <w:pPr>
        <w:pStyle w:val="ListParagraph"/>
        <w:numPr>
          <w:ilvl w:val="0"/>
          <w:numId w:val="1"/>
        </w:numPr>
        <w:spacing w:after="100"/>
      </w:pPr>
      <w:r>
        <w:rPr>
          <w:b/>
          <w:bCs/>
        </w:rPr>
        <w:t xml:space="preserve">Proprietary forecasting advantage: </w:t>
      </w:r>
      <w:r>
        <w:t xml:space="preserve">Where incumbents currently repackage coarse global weather data, PredSea's proprietary Western Mediterranean (and subsequently expanded) regional coupled physics models — showing favorable early results in an internal benchmark, with independent re-validation in progress — offer an accurate sea-state advantage that global competitors cannot easily match.</w:t>
      </w:r>
    </w:p>
    <w:p>
      <w:pPr>
        <w:pStyle w:val="Heading2"/>
        <w:spacing w:after="150" w:before="300"/>
      </w:pPr>
      <w:r>
        <w:t xml:space="preserve">15.2 Big tech &amp; climate-tech platforms</w:t>
      </w:r>
    </w:p>
    <w:p>
      <w:pPr>
        <w:pStyle w:val="ListParagraph"/>
        <w:numPr>
          <w:ilvl w:val="0"/>
          <w:numId w:val="1"/>
        </w:numPr>
        <w:spacing w:after="100"/>
      </w:pPr>
      <w:r>
        <w:rPr>
          <w:b/>
          <w:bCs/>
        </w:rPr>
        <w:t xml:space="preserve">GCP-native environmental intelligence: </w:t>
      </w:r>
      <w:r>
        <w:t xml:space="preserve">PredSea runs entirely on Google Cloud Platform, using custom, optimized workflows (FastAPI, GCP Spot VMs, BigQuery) to couple oceanographic and atmospheric simulations, with production/test environments already cleanly separated.</w:t>
      </w:r>
    </w:p>
    <w:p>
      <w:pPr>
        <w:pStyle w:val="ListParagraph"/>
        <w:numPr>
          <w:ilvl w:val="0"/>
          <w:numId w:val="1"/>
        </w:numPr>
        <w:spacing w:after="100"/>
      </w:pPr>
      <w:r>
        <w:rPr>
          <w:b/>
          <w:bCs/>
        </w:rPr>
        <w:t xml:space="preserve">Enterprise API data feed: </w:t>
      </w:r>
      <w:r>
        <w:t xml:space="preserve">Acquiring PredSea gives a platform a highly optimized, regional environmental intelligence network that can feed into broader climate-tech initiatives, enterprise ESG platforms, and cloud data APIs.</w:t>
      </w:r>
    </w:p>
    <w:p>
      <w:pPr>
        <w:pStyle w:val="Heading2"/>
        <w:spacing w:after="150" w:before="300"/>
      </w:pPr>
      <w:r>
        <w:t xml:space="preserve">15.3 Secondary acquirers</w:t>
      </w:r>
    </w:p>
    <w:p>
      <w:pPr>
        <w:spacing w:after="160"/>
        <w:jc w:val="left"/>
      </w:pPr>
      <w:r>
        <w:rPr>
          <w:b w:val="false"/>
          <w:bCs w:val="false"/>
          <w:i w:val="false"/>
          <w:iCs w:val="false"/>
        </w:rPr>
        <w:t xml:space="preserve">Other potential buyers include commercial shipping consolidators and marine software platforms looking to integrate proprietary, high-resolution regional coastal wave and current models directly into their fleet management platforms.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0B2545"/>
      <w:sz w:val="32"/>
      <w:szCs w:val="32"/>
    </w:rPr>
  </w:style>
  <w:style w:type="paragraph" w:styleId="Heading2">
    <w:name w:val="Heading 2"/>
    <w:basedOn w:val="Normal"/>
    <w:next w:val="Normal"/>
    <w:qFormat/>
    <w:pPr>
      <w:spacing w:after="150" w:before="300"/>
    </w:pPr>
    <w:rPr>
      <w:rFonts w:ascii="Calibri" w:cs="Calibri" w:eastAsia="Calibri" w:hAnsi="Calibri"/>
      <w:b/>
      <w:bCs/>
      <w:color w:val="0E7C7B"/>
      <w:sz w:val="26"/>
      <w:szCs w:val="26"/>
    </w:rPr>
  </w:style>
  <w:style w:type="paragraph" w:styleId="Heading3">
    <w:name w:val="Heading 3"/>
    <w:basedOn w:val="Normal"/>
    <w:next w:val="Normal"/>
    <w:qFormat/>
    <w:pPr>
      <w:spacing w:after="100" w:before="200"/>
    </w:pPr>
    <w:rPr>
      <w:rFonts w:ascii="Calibri" w:cs="Calibri" w:eastAsia="Calibri" w:hAnsi="Calibri"/>
      <w:b/>
      <w:bCs/>
      <w:color w:val="0B25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2026-07-04T22:16:45.809Z</dcterms:created>
  <dcterms:modified xsi:type="dcterms:W3CDTF">2026-07-04T22:16:45.809Z</dcterms:modified>
</cp:coreProperties>
</file>

<file path=docProps/custom.xml><?xml version="1.0" encoding="utf-8"?>
<Properties xmlns="http://schemas.openxmlformats.org/officeDocument/2006/custom-properties" xmlns:vt="http://schemas.openxmlformats.org/officeDocument/2006/docPropsVTypes"/>
</file>