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shd w:fill="0B2545" w:val="clear"/>
            <w:tcMar>
              <w:top w:type="dxa" w:w="0"/>
              <w:left w:type="dxa" w:w="1000"/>
              <w:bottom w:type="dxa" w:w="0"/>
              <w:right w:type="dxa" w:w="1000"/>
            </w:tcMar>
            <w:vAlign w:val="center"/>
          </w:tcPr>
          <w:p>
            <w:pPr>
              <w:spacing w:after="1600"/>
            </w:pPr>
          </w:p>
          <w:p>
            <w:pPr>
              <w:spacing w:after="120"/>
            </w:pPr>
            <w:r>
              <w:rPr>
                <w:rFonts w:ascii="Calibri" w:cs="Calibri" w:eastAsia="Calibri" w:hAnsi="Calibri"/>
                <w:b/>
                <w:bCs/>
                <w:color w:val="FFFFFF"/>
                <w:sz w:val="72"/>
                <w:szCs w:val="72"/>
              </w:rPr>
              <w:t xml:space="preserve">PREDSEA</w:t>
            </w:r>
          </w:p>
          <w:p>
            <w:pPr>
              <w:spacing w:after="500"/>
            </w:pPr>
            <w:r>
              <w:rPr>
                <w:rFonts w:ascii="Calibri" w:cs="Calibri" w:eastAsia="Calibri" w:hAnsi="Calibri"/>
                <w:color w:val="9FD8D6"/>
                <w:sz w:val="26"/>
                <w:szCs w:val="26"/>
              </w:rPr>
              <w:t xml:space="preserve">Conversational AI First Mate &amp; High-Resolution Marine Intelligence</w:t>
            </w:r>
          </w:p>
          <w:p>
            <w:pPr>
              <w:pBdr>
                <w:top w:val="single" w:color="0E7C7B" w:sz="8" w:space="10"/>
              </w:pBdr>
              <w:spacing w:after="500"/>
            </w:pPr>
          </w:p>
          <w:p>
            <w:pPr>
              <w:spacing w:after="100"/>
            </w:pPr>
            <w:r>
              <w:rPr>
                <w:rFonts w:ascii="Calibri" w:cs="Calibri" w:eastAsia="Calibri" w:hAnsi="Calibri"/>
                <w:b/>
                <w:bCs/>
                <w:color w:val="FFFFFF"/>
                <w:sz w:val="40"/>
                <w:szCs w:val="40"/>
              </w:rPr>
              <w:t xml:space="preserve">Business Plan</w:t>
            </w:r>
          </w:p>
          <w:p>
            <w:pPr>
              <w:spacing w:after="1600"/>
            </w:pPr>
            <w:r>
              <w:rPr>
                <w:rFonts w:ascii="Calibri" w:cs="Calibri" w:eastAsia="Calibri" w:hAnsi="Calibri"/>
                <w:color w:val="C9DDE0"/>
                <w:sz w:val="24"/>
                <w:szCs w:val="24"/>
              </w:rPr>
              <w:t xml:space="preserve">Prepared for Investors  ·  Seed Round</w:t>
            </w:r>
          </w:p>
          <w:p>
            <w:pPr>
              <w:spacing w:after="60"/>
            </w:pPr>
            <w:r>
              <w:rPr>
                <w:rFonts w:ascii="Calibri" w:cs="Calibri" w:eastAsia="Calibri" w:hAnsi="Calibri"/>
                <w:color w:val="C9DDE0"/>
                <w:sz w:val="20"/>
                <w:szCs w:val="20"/>
              </w:rPr>
              <w:t xml:space="preserve">Palma de Mallorca, Spain</w:t>
            </w:r>
          </w:p>
          <w:p>
            <w:pPr>
              <w:spacing w:after="60"/>
            </w:pPr>
            <w:r>
              <w:rPr>
                <w:rFonts w:ascii="Calibri" w:cs="Calibri" w:eastAsia="Calibri" w:hAnsi="Calibri"/>
                <w:color w:val="9FD8D6"/>
                <w:sz w:val="20"/>
                <w:szCs w:val="20"/>
              </w:rPr>
              <w:t xml:space="preserve">predsea.com</w:t>
            </w:r>
          </w:p>
          <w:p>
            <w:r>
              <w:rPr>
                <w:rFonts w:ascii="Calibri" w:cs="Calibri" w:eastAsia="Calibri" w:hAnsi="Calibri"/>
                <w:color w:val="C9DDE0"/>
                <w:sz w:val="20"/>
                <w:szCs w:val="20"/>
              </w:rPr>
              <w:t xml:space="preserve">July 2026</w:t>
            </w:r>
          </w:p>
        </w:tc>
      </w:tr>
    </w:tbl>
    <w:p>
      <w:pPr>
        <w:sectPr>
          <w:pgSz w:w="11906" w:h="16838" w:orient="portrait"/>
          <w:pgMar w:top="0" w:right="0" w:bottom="0" w:left="0" w:header="708" w:footer="708" w:gutter="0"/>
          <w:pgNumType/>
          <w:docGrid w:linePitch="360"/>
        </w:sectPr>
      </w:pPr>
    </w:p>
    <w:p>
      <w:pPr>
        <w:pStyle w:val="Heading1"/>
        <w:spacing w:after="200"/>
      </w:pPr>
      <w:r>
        <w:rPr>
          <w:rFonts w:ascii="Calibri" w:cs="Calibri" w:eastAsia="Calibri" w:hAnsi="Calibri"/>
          <w:b/>
          <w:bCs/>
          <w:color w:val="0B2545"/>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E7C7B" w:sz="8" w:space="4"/>
        </w:pBdr>
        <w:spacing w:after="200" w:before="420"/>
      </w:pPr>
      <w:r>
        <w:rPr>
          <w:rFonts w:ascii="Calibri" w:cs="Calibri" w:eastAsia="Calibri" w:hAnsi="Calibri"/>
          <w:b/>
          <w:bCs/>
          <w:color w:val="0B2545"/>
          <w:sz w:val="30"/>
          <w:szCs w:val="30"/>
        </w:rPr>
        <w:t xml:space="preserve">1. Executive Summary</w:t>
      </w:r>
    </w:p>
    <w:p>
      <w:pPr>
        <w:spacing w:after="220" w:line="300"/>
      </w:pPr>
      <w:r>
        <w:rPr>
          <w:rFonts w:ascii="Calibri" w:cs="Calibri" w:eastAsia="Calibri" w:hAnsi="Calibri"/>
          <w:i/>
          <w:iCs/>
          <w:color w:val="44546A"/>
          <w:sz w:val="23"/>
          <w:szCs w:val="23"/>
        </w:rPr>
        <w:t xml:space="preserve">PredSea is the world's first conversational AI First Mate that reasons over proprietary, high-resolution regional physics models to deliver natural-language maritime intelligence directly inside WhatsApp.</w:t>
      </w:r>
    </w:p>
    <w:p>
      <w:pPr>
        <w:spacing w:after="160" w:line="276"/>
      </w:pPr>
      <w:r>
        <w:rPr>
          <w:rFonts w:ascii="Calibri" w:cs="Calibri" w:eastAsia="Calibri" w:hAnsi="Calibri"/>
          <w:color w:val="1C2530"/>
          <w:sz w:val="21"/>
          <w:szCs w:val="21"/>
        </w:rPr>
        <w:t xml:space="preserve">PredSea is an AI-first marine weather and routing intelligence platform built for the Western Mediterranean. Rather than forcing yacht captains to download complex, clunky applications and manually interpret static, multi-layered visual grids, PredSea introduces a zero-friction conversational AI interface. Our proprietary conversational AI engine runs directly inside WhatsApp (via the Relay platform) and actively reasons over our high-resolution regional coupled physical simulations—atmosphere (WRF), ocean circulation (CROCO), and nearshore wave (SWAN) models—to deliver instant, human-language answers and actionable voyage advice.</w:t>
      </w:r>
    </w:p>
    <w:p>
      <w:pPr>
        <w:spacing w:after="160" w:line="276"/>
      </w:pPr>
      <w:r>
        <w:rPr>
          <w:rFonts w:ascii="Calibri" w:cs="Calibri" w:eastAsia="Calibri" w:hAnsi="Calibri"/>
          <w:color w:val="1C2530"/>
          <w:sz w:val="21"/>
          <w:szCs w:val="21"/>
        </w:rPr>
        <w:t xml:space="preserve">Our core defensibility is not just the underlying physics stack, but the advanced AI agent reasoning layer that bridges conversational intents and structured multi-dimensional physics grids. This conversational delivery meets yacht captains where they already are, drastically lowering customer acquisition costs (CAC) and driving organic word-of-mouth growth across tight-knit captain and fleet-management networks. PredSea is currently running a live pilot with an initial cohort of yacht captains in the Balearic Sea, validating both the conversational reasoning accuracy and the zero-friction delivery experience.</w:t>
      </w:r>
    </w:p>
    <w:p>
      <w:pPr>
        <w:spacing w:after="160" w:line="276"/>
      </w:pPr>
      <w:r>
        <w:rPr>
          <w:rFonts w:ascii="Calibri" w:cs="Calibri" w:eastAsia="Calibri" w:hAnsi="Calibri"/>
          <w:color w:val="1C2530"/>
          <w:sz w:val="21"/>
          <w:szCs w:val="21"/>
        </w:rPr>
        <w:t xml:space="preserve">PredSea is founded by Dr. Charles Santana, an oceanographer/ML engineer with prior startup co-founding experience at Kultrip, alongside Graham Wilkinson, a professional captain with over 25 years of maritime experience. We are raising a seed round of €350,000 to fund a highly focused 12-month program to establish our Balearic beachhead, prove core B2B SaaS metrics, and scale customer acquisition ahead of our €3M–€4M Series A in exactly 12 months. This hyper-growth trajectory targets a premium €40M–€50M+ strategic acquisition by Year 4.</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7B" w:sz="4"/>
              <w:left w:val="single" w:color="0E7C7B" w:sz="24"/>
              <w:bottom w:val="single" w:color="0E7C7B" w:sz="4"/>
              <w:right w:val="single" w:color="0E7C7B" w:sz="4"/>
            </w:tcBorders>
            <w:shd w:fill="EAF0F1" w:val="clear"/>
            <w:tcMar>
              <w:top w:type="dxa" w:w="180"/>
              <w:left w:type="dxa" w:w="220"/>
              <w:bottom w:type="dxa" w:w="180"/>
              <w:right w:type="dxa" w:w="220"/>
            </w:tcMar>
          </w:tcPr>
          <w:p>
            <w:pPr>
              <w:spacing w:after="100"/>
            </w:pPr>
            <w:r>
              <w:rPr>
                <w:rFonts w:ascii="Calibri" w:cs="Calibri" w:eastAsia="Calibri" w:hAnsi="Calibri"/>
                <w:b/>
                <w:bCs/>
                <w:color w:val="0B2545"/>
                <w:sz w:val="21"/>
                <w:szCs w:val="21"/>
              </w:rPr>
              <w:t xml:space="preserve">At a glance</w:t>
            </w:r>
          </w:p>
          <w:p>
            <w:pPr>
              <w:spacing w:after="60"/>
            </w:pPr>
            <w:r>
              <w:rPr>
                <w:rFonts w:ascii="Calibri" w:cs="Calibri" w:eastAsia="Calibri" w:hAnsi="Calibri"/>
                <w:color w:val="1C2530"/>
                <w:sz w:val="20"/>
                <w:szCs w:val="20"/>
              </w:rPr>
              <w:t xml:space="preserve">Category: Conversational AI &amp; High-Resolution Marine Intelligence</w:t>
            </w:r>
          </w:p>
          <w:p>
            <w:pPr>
              <w:spacing w:after="60"/>
            </w:pPr>
            <w:r>
              <w:rPr>
                <w:rFonts w:ascii="Calibri" w:cs="Calibri" w:eastAsia="Calibri" w:hAnsi="Calibri"/>
                <w:color w:val="1C2530"/>
                <w:sz w:val="20"/>
                <w:szCs w:val="20"/>
              </w:rPr>
              <w:t xml:space="preserve">Coverage: Western Mediterranean Basin (Spain, France, Italy — Balearics to Sicily)</w:t>
            </w:r>
          </w:p>
          <w:p>
            <w:pPr>
              <w:spacing w:after="60"/>
            </w:pPr>
            <w:r>
              <w:rPr>
                <w:rFonts w:ascii="Calibri" w:cs="Calibri" w:eastAsia="Calibri" w:hAnsi="Calibri"/>
                <w:color w:val="1C2530"/>
                <w:sz w:val="20"/>
                <w:szCs w:val="20"/>
              </w:rPr>
              <w:t xml:space="preserve">Stage: Active pilot with early-cohort yacht captains in the Balearic Sea</w:t>
            </w:r>
          </w:p>
          <w:p>
            <w:pPr>
              <w:spacing w:after="60"/>
            </w:pPr>
            <w:r>
              <w:rPr>
                <w:rFonts w:ascii="Calibri" w:cs="Calibri" w:eastAsia="Calibri" w:hAnsi="Calibri"/>
                <w:color w:val="1C2530"/>
                <w:sz w:val="20"/>
                <w:szCs w:val="20"/>
              </w:rPr>
              <w:t xml:space="preserve">Ecosystem: Active member of Yachting Ventures (accessing 20,000+ captains &amp; professionals)</w:t>
            </w:r>
          </w:p>
          <w:p>
            <w:pPr>
              <w:spacing w:after="60"/>
            </w:pPr>
            <w:r>
              <w:rPr>
                <w:rFonts w:ascii="Calibri" w:cs="Calibri" w:eastAsia="Calibri" w:hAnsi="Calibri"/>
                <w:color w:val="1C2530"/>
                <w:sz w:val="20"/>
                <w:szCs w:val="20"/>
              </w:rPr>
              <w:t xml:space="preserve">Infrastructure: Google for Startups Cloud Program partner ($2k active tier + upcoming $30k credits)</w:t>
            </w:r>
          </w:p>
          <w:p>
            <w:pPr>
              <w:spacing w:after="60"/>
            </w:pPr>
            <w:r>
              <w:rPr>
                <w:rFonts w:ascii="Calibri" w:cs="Calibri" w:eastAsia="Calibri" w:hAnsi="Calibri"/>
                <w:color w:val="1C2530"/>
                <w:sz w:val="20"/>
                <w:szCs w:val="20"/>
              </w:rPr>
              <w:t xml:space="preserve">Ask: €350,000 Seed Round (12-month runway to €3M–€4M Series A in July 2027)</w:t>
            </w:r>
          </w:p>
          <w:p>
            <w:pPr>
              <w:spacing w:after="60"/>
            </w:pPr>
            <w:r>
              <w:rPr>
                <w:rFonts w:ascii="Calibri" w:cs="Calibri" w:eastAsia="Calibri" w:hAnsi="Calibri"/>
                <w:color w:val="1C2530"/>
                <w:sz w:val="20"/>
                <w:szCs w:val="20"/>
              </w:rPr>
              <w:t xml:space="preserve">Exit Target: €40M–€50M+ Strategic Acquisition within 3.5 to 4 years (Targeting Garmin or Google)</w:t>
            </w:r>
          </w:p>
          <w:p>
            <w:pPr>
              <w:spacing w:after="60"/>
            </w:pPr>
            <w:r>
              <w:rPr>
                <w:rFonts w:ascii="Calibri" w:cs="Calibri" w:eastAsia="Calibri" w:hAnsi="Calibri"/>
                <w:color w:val="1C2530"/>
                <w:sz w:val="20"/>
                <w:szCs w:val="20"/>
              </w:rPr>
              <w:t xml:space="preserve">Beachhead: Charter fleet managers, sailing schools, and professional skippers in the Balearics</w:t>
            </w:r>
          </w:p>
        </w:tc>
      </w:tr>
    </w:tbl>
    <w:p>
      <w:pPr>
        <w:pStyle w:val="Heading1"/>
        <w:pBdr>
          <w:bottom w:val="single" w:color="0E7C7B" w:sz="8" w:space="4"/>
        </w:pBdr>
        <w:spacing w:after="200" w:before="420"/>
      </w:pPr>
      <w:r>
        <w:rPr>
          <w:rFonts w:ascii="Calibri" w:cs="Calibri" w:eastAsia="Calibri" w:hAnsi="Calibri"/>
          <w:b/>
          <w:bCs/>
          <w:color w:val="0B2545"/>
          <w:sz w:val="30"/>
          <w:szCs w:val="30"/>
        </w:rPr>
        <w:t xml:space="preserve">2. The Problem</w:t>
      </w:r>
    </w:p>
    <w:p>
      <w:pPr>
        <w:pStyle w:val="Heading2"/>
        <w:spacing w:after="140" w:before="280"/>
      </w:pPr>
      <w:r>
        <w:rPr>
          <w:rFonts w:ascii="Calibri" w:cs="Calibri" w:eastAsia="Calibri" w:hAnsi="Calibri"/>
          <w:b/>
          <w:bCs/>
          <w:color w:val="0E7C7B"/>
          <w:sz w:val="24"/>
          <w:szCs w:val="24"/>
        </w:rPr>
        <w:t xml:space="preserve">App fatigue and manual scientific interpretation create immense cognitive load</w:t>
      </w:r>
    </w:p>
    <w:p>
      <w:pPr>
        <w:spacing w:after="160" w:line="276"/>
      </w:pPr>
      <w:r>
        <w:rPr>
          <w:rFonts w:ascii="Calibri" w:cs="Calibri" w:eastAsia="Calibri" w:hAnsi="Calibri"/>
          <w:color w:val="1C2530"/>
          <w:sz w:val="21"/>
          <w:szCs w:val="21"/>
        </w:rPr>
        <w:t xml:space="preserve">Current marine navigation and weather applications are fundamentally broken for the modern yacht captain. Incumbents like PredictWind, Windy, and Garmin/Navionics force skippers to download heavy standalone apps, register accounts, pay complex consumer-tier subscriptions, and manually toggle dozens of raw visual layers and timelines. Under stress at sea, captains do not want to become amateur meteorologists or struggle with visual dashboards—they need a clear, definitive, and immediate answer.</w:t>
      </w:r>
    </w:p>
    <w:p>
      <w:pPr>
        <w:pStyle w:val="Heading2"/>
        <w:spacing w:after="140" w:before="280"/>
      </w:pPr>
      <w:r>
        <w:rPr>
          <w:rFonts w:ascii="Calibri" w:cs="Calibri" w:eastAsia="Calibri" w:hAnsi="Calibri"/>
          <w:b/>
          <w:bCs/>
          <w:color w:val="0E7C7B"/>
          <w:sz w:val="24"/>
          <w:szCs w:val="24"/>
        </w:rPr>
        <w:t xml:space="preserve">Fragmented, hard-to-act-on information</w:t>
      </w:r>
    </w:p>
    <w:p>
      <w:pPr>
        <w:pStyle w:val="ListParagraph"/>
        <w:numPr>
          <w:ilvl w:val="0"/>
          <w:numId w:val="2"/>
        </w:numPr>
        <w:spacing w:after="90" w:line="264"/>
      </w:pPr>
      <w:r>
        <w:rPr>
          <w:rFonts w:ascii="Calibri" w:cs="Calibri" w:eastAsia="Calibri" w:hAnsi="Calibri"/>
          <w:b/>
          <w:bCs/>
          <w:color w:val="1C2530"/>
          <w:sz w:val="21"/>
          <w:szCs w:val="21"/>
        </w:rPr>
        <w:t xml:space="preserve">App and Dashboard Fatigue: Captains suffer from cognitive overload from switching between multiple weather consoles, regional port authorities, and tide charts to compile a go/no-go routing plan.</w:t>
      </w:r>
    </w:p>
    <w:p>
      <w:pPr>
        <w:pStyle w:val="ListParagraph"/>
        <w:numPr>
          <w:ilvl w:val="0"/>
          <w:numId w:val="2"/>
        </w:numPr>
        <w:spacing w:after="90" w:line="264"/>
      </w:pPr>
      <w:r>
        <w:rPr>
          <w:rFonts w:ascii="Calibri" w:cs="Calibri" w:eastAsia="Calibri" w:hAnsi="Calibri"/>
          <w:b/>
          <w:bCs/>
          <w:color w:val="1C2530"/>
          <w:sz w:val="21"/>
          <w:szCs w:val="21"/>
        </w:rPr>
        <w:t xml:space="preserve">The Interpretation Gap: Coarse global models (GFS-class, ~25km grids) cannot resolve complex nearshore coastal physics, and raw atmospheric grids must be manually reconciled with official CAP warning alerts.</w:t>
      </w:r>
    </w:p>
    <w:p>
      <w:pPr>
        <w:pStyle w:val="ListParagraph"/>
        <w:numPr>
          <w:ilvl w:val="0"/>
          <w:numId w:val="2"/>
        </w:numPr>
        <w:spacing w:after="90" w:line="264"/>
      </w:pPr>
      <w:r>
        <w:rPr>
          <w:rFonts w:ascii="Calibri" w:cs="Calibri" w:eastAsia="Calibri" w:hAnsi="Calibri"/>
          <w:b/>
          <w:bCs/>
          <w:color w:val="1C2530"/>
          <w:sz w:val="21"/>
          <w:szCs w:val="21"/>
        </w:rPr>
        <w:t xml:space="preserve">High Friction &amp; High CAC: App-based GTM strategies suffer from high drop-off rates and rising ad spend, failing to capture the natural word-of-mouth referral dynamics of the maritime community.</w:t>
      </w:r>
    </w:p>
    <w:p>
      <w:pPr>
        <w:pStyle w:val="Heading2"/>
        <w:spacing w:after="140" w:before="280"/>
      </w:pPr>
      <w:r>
        <w:rPr>
          <w:rFonts w:ascii="Calibri" w:cs="Calibri" w:eastAsia="Calibri" w:hAnsi="Calibri"/>
          <w:b/>
          <w:bCs/>
          <w:color w:val="0E7C7B"/>
          <w:sz w:val="24"/>
          <w:szCs w:val="24"/>
        </w:rPr>
        <w:t xml:space="preserve">The distribution gap</w:t>
      </w:r>
    </w:p>
    <w:p>
      <w:pPr>
        <w:spacing w:after="160" w:line="276"/>
      </w:pPr>
      <w:r>
        <w:rPr>
          <w:rFonts w:ascii="Calibri" w:cs="Calibri" w:eastAsia="Calibri" w:hAnsi="Calibri"/>
          <w:color w:val="1C2530"/>
          <w:sz w:val="21"/>
          <w:szCs w:val="21"/>
        </w:rPr>
        <w:t xml:space="preserve">Even where good marine data exists, it lives behind apps that require download, account setup and active querying. Captains want an answer, not a dashboard — particularly in the charter segment, where speed of decision-making directly affects guest safety and experience.</w:t>
      </w:r>
    </w:p>
    <w:p>
      <w:pPr>
        <w:pStyle w:val="Heading1"/>
        <w:pBdr>
          <w:bottom w:val="single" w:color="0E7C7B" w:sz="8" w:space="4"/>
        </w:pBdr>
        <w:spacing w:after="200" w:before="420"/>
      </w:pPr>
      <w:r>
        <w:rPr>
          <w:rFonts w:ascii="Calibri" w:cs="Calibri" w:eastAsia="Calibri" w:hAnsi="Calibri"/>
          <w:b/>
          <w:bCs/>
          <w:color w:val="0B2545"/>
          <w:sz w:val="30"/>
          <w:szCs w:val="30"/>
        </w:rPr>
        <w:t xml:space="preserve">3. The Solution</w:t>
      </w:r>
    </w:p>
    <w:p>
      <w:pPr>
        <w:spacing w:after="220" w:line="300"/>
      </w:pPr>
      <w:r>
        <w:rPr>
          <w:rFonts w:ascii="Calibri" w:cs="Calibri" w:eastAsia="Calibri" w:hAnsi="Calibri"/>
          <w:i/>
          <w:iCs/>
          <w:color w:val="44546A"/>
          <w:sz w:val="23"/>
          <w:szCs w:val="23"/>
        </w:rPr>
        <w:t xml:space="preserve">An AI First Mate that lives inside WhatsApp, reasoning over custom physics to deliver human-language clarity.</w:t>
      </w:r>
    </w:p>
    <w:p>
      <w:pPr>
        <w:spacing w:after="160" w:line="276"/>
      </w:pPr>
      <w:r>
        <w:rPr>
          <w:rFonts w:ascii="Calibri" w:cs="Calibri" w:eastAsia="Calibri" w:hAnsi="Calibri"/>
          <w:color w:val="1C2530"/>
          <w:sz w:val="21"/>
          <w:szCs w:val="21"/>
        </w:rPr>
        <w:t xml:space="preserve">PredSea completely overhauls marine intelligence by removing the dashboard layer entirely. We meet captains where they already are: on WhatsApp. The entire user interface is a conversation. Behind this zero-friction channel sits our advanced AI reasoning engine coupled to our proprietary regional forecast model.</w:t>
      </w:r>
    </w:p>
    <w:p>
      <w:pPr>
        <w:pStyle w:val="Heading2"/>
        <w:spacing w:after="140" w:before="280"/>
      </w:pPr>
      <w:r>
        <w:rPr>
          <w:rFonts w:ascii="Calibri" w:cs="Calibri" w:eastAsia="Calibri" w:hAnsi="Calibri"/>
          <w:b/>
          <w:bCs/>
          <w:color w:val="0E7C7B"/>
          <w:sz w:val="24"/>
          <w:szCs w:val="24"/>
        </w:rPr>
        <w:t xml:space="preserve">3.1 Conversational AI First Mate in Action</w:t>
      </w:r>
    </w:p>
    <w:p>
      <w:pPr>
        <w:spacing w:after="160" w:line="276"/>
      </w:pPr>
      <w:r>
        <w:rPr>
          <w:rFonts w:ascii="Calibri" w:cs="Calibri" w:eastAsia="Calibri" w:hAnsi="Calibri"/>
          <w:color w:val="1C2530"/>
          <w:sz w:val="21"/>
          <w:szCs w:val="21"/>
        </w:rPr>
        <w:t xml:space="preserve">When a skipper queries PredSea, the AI agent does not just retrieve a raw weather grid. It translates natural-language queries into spatial-temporal queries, runs chronological routing calculations, and actively reasons over the underlying models to generate an actionable, human-language reply, complete with scientific evidence:</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7B" w:sz="4"/>
              <w:left w:val="single" w:color="0E7C7B" w:sz="24"/>
              <w:bottom w:val="single" w:color="0E7C7B" w:sz="4"/>
              <w:right w:val="single" w:color="0E7C7B" w:sz="4"/>
            </w:tcBorders>
            <w:shd w:fill="EAF0F1" w:val="clear"/>
            <w:tcMar>
              <w:top w:type="dxa" w:w="180"/>
              <w:left w:type="dxa" w:w="220"/>
              <w:bottom w:type="dxa" w:w="180"/>
              <w:right w:type="dxa" w:w="220"/>
            </w:tcMar>
          </w:tcPr>
          <w:p>
            <w:pPr>
              <w:spacing w:after="100"/>
            </w:pPr>
            <w:r>
              <w:rPr>
                <w:rFonts w:ascii="Calibri" w:cs="Calibri" w:eastAsia="Calibri" w:hAnsi="Calibri"/>
                <w:b/>
                <w:bCs/>
                <w:color w:val="0B2545"/>
                <w:sz w:val="21"/>
                <w:szCs w:val="21"/>
              </w:rPr>
              <w:t xml:space="preserve">Interactive Dialog Example</w:t>
            </w:r>
          </w:p>
          <w:p>
            <w:pPr>
              <w:spacing w:after="60"/>
            </w:pPr>
            <w:r>
              <w:rPr>
                <w:rFonts w:ascii="Calibri" w:cs="Calibri" w:eastAsia="Calibri" w:hAnsi="Calibri"/>
                <w:color w:val="1C2530"/>
                <w:sz w:val="20"/>
                <w:szCs w:val="20"/>
              </w:rPr>
              <w:t xml:space="preserve">Captain: "What is the best time to go from Palma to Ibiza tomorrow?"</w:t>
            </w:r>
          </w:p>
          <w:p>
            <w:pPr>
              <w:spacing w:after="60"/>
            </w:pPr>
            <w:r>
              <w:rPr>
                <w:rFonts w:ascii="Calibri" w:cs="Calibri" w:eastAsia="Calibri" w:hAnsi="Calibri"/>
                <w:color w:val="1C2530"/>
                <w:sz w:val="20"/>
                <w:szCs w:val="20"/>
              </w:rPr>
              <w:t xml:space="preserve">AI First Mate: "Avoid leaving too late; 2m waves are expected in the Ibiza channel after 2:00 PM. Based on our high-resolution WRF and SWAN simulations, wind speeds will pick up to 22 knots from the SW by early afternoon, causing wave heights to build from 0.8m to 2.1m. Leaving before 09:00 AM ensures a calm, wave-optimized passage."</w:t>
            </w:r>
          </w:p>
        </w:tc>
      </w:tr>
    </w:tbl>
    <w:p>
      <w:pPr>
        <w:spacing w:after="80"/>
      </w:pPr>
    </w:p>
    <w:p>
      <w:pPr>
        <w:pStyle w:val="Heading2"/>
        <w:spacing w:after="140" w:before="280"/>
      </w:pPr>
      <w:r>
        <w:rPr>
          <w:rFonts w:ascii="Calibri" w:cs="Calibri" w:eastAsia="Calibri" w:hAnsi="Calibri"/>
          <w:b/>
          <w:bCs/>
          <w:color w:val="0E7C7B"/>
          <w:sz w:val="24"/>
          <w:szCs w:val="24"/>
        </w:rPr>
        <w:t xml:space="preserve">3.2 The Zero-Friction Advantage</w:t>
      </w:r>
    </w:p>
    <w:p>
      <w:pPr>
        <w:pStyle w:val="ListParagraph"/>
        <w:numPr>
          <w:ilvl w:val="0"/>
          <w:numId w:val="2"/>
        </w:numPr>
        <w:spacing w:after="90" w:line="264"/>
      </w:pPr>
      <w:r>
        <w:rPr>
          <w:rFonts w:ascii="Calibri" w:cs="Calibri" w:eastAsia="Calibri" w:hAnsi="Calibri"/>
          <w:b/>
          <w:bCs/>
          <w:color w:val="1C2530"/>
          <w:sz w:val="21"/>
          <w:szCs w:val="21"/>
        </w:rPr>
        <w:t xml:space="preserve">Zero Onboarding Friction: Captains simply scan a QR code or save a phone number to start chatting. No app store downloads, no account setup, and zero learning curve. This frictionless onboarding drives an exceptionally low CAC and accelerates organic, virally-driven word-of-mouth expansion across marinas.</w:t>
      </w:r>
    </w:p>
    <w:p>
      <w:pPr>
        <w:pStyle w:val="ListParagraph"/>
        <w:numPr>
          <w:ilvl w:val="0"/>
          <w:numId w:val="2"/>
        </w:numPr>
        <w:spacing w:after="90" w:line="264"/>
      </w:pPr>
      <w:r>
        <w:rPr>
          <w:rFonts w:ascii="Calibri" w:cs="Calibri" w:eastAsia="Calibri" w:hAnsi="Calibri"/>
          <w:b/>
          <w:bCs/>
          <w:color w:val="1C2530"/>
          <w:sz w:val="21"/>
          <w:szCs w:val="21"/>
        </w:rPr>
        <w:t xml:space="preserve">Actionable Intelligence over Telemetry: Instead of rendering raw wind arrows and leaving the captain to guess, our AI agent evaluates the safety bounds of the vessel against the physical conditions (wind, waves, currents) to provide a direct recommendation.</w:t>
      </w:r>
    </w:p>
    <w:p>
      <w:pPr>
        <w:pStyle w:val="ListParagraph"/>
        <w:numPr>
          <w:ilvl w:val="0"/>
          <w:numId w:val="2"/>
        </w:numPr>
        <w:spacing w:after="90" w:line="264"/>
      </w:pPr>
      <w:r>
        <w:rPr>
          <w:rFonts w:ascii="Calibri" w:cs="Calibri" w:eastAsia="Calibri" w:hAnsi="Calibri"/>
          <w:b/>
          <w:bCs/>
          <w:color w:val="1C2530"/>
          <w:sz w:val="21"/>
          <w:szCs w:val="21"/>
        </w:rPr>
        <w:t xml:space="preserve">Real-Time Chronological Route Tracking: Our routing engine evaluates weather metrics dynamically along the vessel's estimated path of travel, aligning forecast states to the exact hour of arrival at each waypoint.</w:t>
      </w:r>
    </w:p>
    <w:p>
      <w:pPr>
        <w:pStyle w:val="Heading2"/>
        <w:spacing w:after="140" w:before="280"/>
      </w:pPr>
      <w:r>
        <w:rPr>
          <w:rFonts w:ascii="Calibri" w:cs="Calibri" w:eastAsia="Calibri" w:hAnsi="Calibri"/>
          <w:b/>
          <w:bCs/>
          <w:color w:val="0E7C7B"/>
          <w:sz w:val="24"/>
          <w:szCs w:val="24"/>
        </w:rPr>
        <w:t xml:space="preserve">3.3 A regional model, not a repackaged one</w:t>
      </w:r>
    </w:p>
    <w:p>
      <w:pPr>
        <w:spacing w:after="160" w:line="276"/>
      </w:pPr>
      <w:r>
        <w:rPr>
          <w:rFonts w:ascii="Calibri" w:cs="Calibri" w:eastAsia="Calibri" w:hAnsi="Calibri"/>
          <w:color w:val="1C2530"/>
          <w:sz w:val="21"/>
          <w:szCs w:val="21"/>
        </w:rPr>
        <w:t>PredSea's infrastructure provisions ephemeral cloud compute to run a coupled physics stack over the Western Mediterranean: WRF for the atmosphere (4km resolution), CROCO and NEMO for ocean circulation and thermodynamics, and SWAN for nearshore wave spectra (1km resolution), forced by ECMWF and CMEMS boundary conditions. This stack has been successfully compiled and test-run on GCP; reaching daily production cadence is the core near-term technical milestone this raise funds. At full cadence it is designed to produce a 120-hour hourly forecast grid materially finer than the global products most captains use today.</w:t>
      </w:r>
    </w:p>
    <w:p>
      <w:pPr>
        <w:pStyle w:val="Heading2"/>
        <w:spacing w:after="140" w:before="280"/>
      </w:pPr>
      <w:r>
        <w:rPr>
          <w:rFonts w:ascii="Calibri" w:cs="Calibri" w:eastAsia="Calibri" w:hAnsi="Calibri"/>
          <w:b/>
          <w:bCs/>
          <w:color w:val="0E7C7B"/>
          <w:sz w:val="24"/>
          <w:szCs w:val="24"/>
        </w:rPr>
        <w:t xml:space="preserve">3.4 Continuous observational correction</w:t>
      </w:r>
    </w:p>
    <w:p>
      <w:pPr>
        <w:spacing w:after="160" w:line="276"/>
      </w:pPr>
      <w:r>
        <w:rPr>
          <w:rFonts w:ascii="Calibri" w:cs="Calibri" w:eastAsia="Calibri" w:hAnsi="Calibri"/>
          <w:color w:val="1C2530"/>
          <w:sz w:val="21"/>
          <w:szCs w:val="21"/>
        </w:rPr>
        <w:t>PredSea ingests real observations — AEMET shore stations, SOCIB buoys, coastal radars and gliders, Puertos del Estado tide and wave gauges, and EMODnet feeds for French and Italian waters — hourly, and this observational layer already underpins the Copernicus-based forecasts serving today's pilot captains. The same bias-correction pipeline is built to compare these observations against our own WRF/CROCO/SWAN output once that stack is running at daily production cadence, closing the loop from raw physics to field-validated accuracy. A climatology baseline lets the system flag statistically anomalous conditions (z-score analysis) and merge them with official CAP alerts into a single active-hazards feed, rather than leaving the captain to reconcile two separate sources.</w:t>
      </w:r>
    </w:p>
    <w:p>
      <w:pPr>
        <w:pStyle w:val="Heading1"/>
        <w:pBdr>
          <w:bottom w:val="single" w:color="0E7C7B" w:sz="8" w:space="4"/>
        </w:pBdr>
        <w:spacing w:after="200" w:before="420"/>
      </w:pPr>
      <w:r>
        <w:rPr>
          <w:rFonts w:ascii="Calibri" w:cs="Calibri" w:eastAsia="Calibri" w:hAnsi="Calibri"/>
          <w:b/>
          <w:bCs/>
          <w:color w:val="0B2545"/>
          <w:sz w:val="30"/>
          <w:szCs w:val="30"/>
        </w:rPr>
        <w:t xml:space="preserve">4. Technology &amp; Differentiation</w:t>
      </w:r>
    </w:p>
    <w:p>
      <w:pPr>
        <w:pStyle w:val="Heading2"/>
        <w:spacing w:after="140" w:before="280"/>
      </w:pPr>
      <w:r>
        <w:rPr>
          <w:rFonts w:ascii="Calibri" w:cs="Calibri" w:eastAsia="Calibri" w:hAnsi="Calibri"/>
          <w:b/>
          <w:bCs/>
          <w:color w:val="0E7C7B"/>
          <w:sz w:val="24"/>
          <w:szCs w:val="24"/>
        </w:rPr>
        <w:t xml:space="preserve">Decoupling the AI Reasoning Moat from the Raw Simulation Engine</w:t>
      </w:r>
    </w:p>
    <w:p>
      <w:pPr>
        <w:spacing w:after="160" w:line="276"/>
      </w:pPr>
      <w:r>
        <w:rPr>
          <w:rFonts w:ascii="Calibri" w:cs="Calibri" w:eastAsia="Calibri" w:hAnsi="Calibri"/>
          <w:color w:val="1C2530"/>
          <w:sz w:val="21"/>
          <w:szCs w:val="21"/>
        </w:rPr>
        <w:t xml:space="preserve">PredSea's technological moat is divided into two distinct, highly integrated layers: our proprietary regional coupled physics simulations and our advanced conversational AI reasoning engine. This architecture allows either layer to be upgraded and scaled independently:</w:t>
      </w:r>
    </w:p>
    <w:p>
      <w:pPr>
        <w:pStyle w:val="ListParagraph"/>
        <w:numPr>
          <w:ilvl w:val="0"/>
          <w:numId w:val="2"/>
        </w:numPr>
        <w:spacing w:after="90" w:line="264"/>
      </w:pPr>
      <w:r>
        <w:rPr>
          <w:rFonts w:ascii="Calibri" w:cs="Calibri" w:eastAsia="Calibri" w:hAnsi="Calibri"/>
          <w:b/>
          <w:bCs/>
          <w:color w:val="1C2530"/>
          <w:sz w:val="21"/>
          <w:szCs w:val="21"/>
        </w:rPr>
        <w:t xml:space="preserve">The AI Reasoning Layer: A custom-built agent layer that handles natural-language understanding, intent classification, and spatial-temporal database queries. It automatically parses user voyage intentions (such as departures, stopovers, vessel safety thresholds) and queries the underlying multi-dimensional physics database (BigQuery and GCS).</w:t>
      </w:r>
    </w:p>
    <w:p>
      <w:pPr>
        <w:pStyle w:val="ListParagraph"/>
        <w:numPr>
          <w:ilvl w:val="0"/>
          <w:numId w:val="2"/>
        </w:numPr>
        <w:spacing w:after="90" w:line="264"/>
      </w:pPr>
      <w:r>
        <w:rPr>
          <w:rFonts w:ascii="Calibri" w:cs="Calibri" w:eastAsia="Calibri" w:hAnsi="Calibri"/>
          <w:b/>
          <w:bCs/>
          <w:color w:val="1C2530"/>
          <w:sz w:val="21"/>
          <w:szCs w:val="21"/>
        </w:rPr>
        <w:t>Our Own Coupled Physics Stack: Our infrastructure runs high-resolution simulations over the Western Mediterranean, coupling WRF (atmospheric, 4km resolution), CROCO (ocean circulation/thermodynamics, 1km resolution), and SWAN (nearshore wave spectra, 1km resolution) models — successfully compiled and test-run on GCP Spot VMs, with daily production cadence as the funded near-term milestone. At full cadence this is designed to produce a 120-hour hourly grid far superior to coarse global models.</w:t>
      </w:r>
    </w:p>
    <w:p>
      <w:pPr>
        <w:pStyle w:val="ListParagraph"/>
        <w:numPr>
          <w:ilvl w:val="0"/>
          <w:numId w:val="2"/>
        </w:numPr>
        <w:spacing w:after="90" w:line="264"/>
      </w:pPr>
      <w:r>
        <w:rPr>
          <w:rFonts w:ascii="Calibri" w:cs="Calibri" w:eastAsia="Calibri" w:hAnsi="Calibri"/>
          <w:b/>
          <w:bCs/>
          <w:color w:val="1C2530"/>
          <w:sz w:val="21"/>
          <w:szCs w:val="21"/>
        </w:rPr>
        <w:t>Continuous Observational Correction &amp; Anomaly Detection: Real-time physical observations (EMODnet, SOCIB buoys, AEMET coastal radars) are ingested hourly today, flagging anomalies (z-score analysis) and merging official hazard alerts with physical ocean states. The same pipeline is built to calculate model bias against our own coupled simulations once they reach daily production cadence.</w:t>
      </w:r>
    </w:p>
    <w:p>
      <w:pPr>
        <w:pStyle w:val="ListParagraph"/>
        <w:numPr>
          <w:ilvl w:val="0"/>
          <w:numId w:val="2"/>
        </w:numPr>
        <w:spacing w:after="90" w:line="264"/>
      </w:pPr>
      <w:r>
        <w:rPr>
          <w:rFonts w:ascii="Calibri" w:cs="Calibri" w:eastAsia="Calibri" w:hAnsi="Calibri"/>
          <w:b/>
          <w:bCs/>
          <w:color w:val="1C2530"/>
          <w:sz w:val="21"/>
          <w:szCs w:val="21"/>
        </w:rPr>
        <w:t xml:space="preserve">The conversational delivery layer (via the Relay platform), which turns structured forecast and hazard data into a WhatsApp-native briefing with zero onboarding friction.</w:t>
      </w:r>
    </w:p>
    <w:p>
      <w:pPr>
        <w:pStyle w:val="Heading2"/>
        <w:spacing w:after="140" w:before="280"/>
      </w:pPr>
      <w:r>
        <w:rPr>
          <w:rFonts w:ascii="Calibri" w:cs="Calibri" w:eastAsia="Calibri" w:hAnsi="Calibri"/>
          <w:b/>
          <w:bCs/>
          <w:color w:val="0E7C7B"/>
          <w:sz w:val="24"/>
          <w:szCs w:val="24"/>
        </w:rPr>
        <w:t xml:space="preserve">Infrastructure &amp; Google Cloud Partnership</w:t>
      </w:r>
    </w:p>
    <w:p>
      <w:pPr>
        <w:spacing w:after="160" w:line="276"/>
      </w:pPr>
      <w:r>
        <w:rPr>
          <w:rFonts w:ascii="Calibri" w:cs="Calibri" w:eastAsia="Calibri" w:hAnsi="Calibri"/>
          <w:color w:val="1C2530"/>
          <w:sz w:val="21"/>
          <w:szCs w:val="21"/>
        </w:rPr>
        <w:t>The pipeline — Spot-VM model orchestration, BigQuery-based observation and evidence storage, and a containerized FastAPI service layer split across test and production environments — is built and operating on Google Cloud; reaching daily production-cadence model runs is the near-term milestone this raise funds. Through our relationship with the Google for Startups Cloud Program, we are currently using an active $2,000 USD cloud credit tier with technical support. We have discussed a larger credit tier with our Google for Startups contact and were told our current stage does not yet qualify; we plan to reapply once we can show production-cadence runs and paying customers, and this plan's budget assumes no additional credit beyond the current $2,000 tier.</w:t>
      </w:r>
    </w:p>
    <w:p>
      <w:pPr>
        <w:pStyle w:val="Heading2"/>
        <w:spacing w:after="140" w:before="280"/>
      </w:pPr>
      <w:r>
        <w:rPr>
          <w:rFonts w:ascii="Calibri" w:cs="Calibri" w:eastAsia="Calibri" w:hAnsi="Calibri"/>
          <w:b/>
          <w:bCs/>
          <w:color w:val="0E7C7B"/>
          <w:sz w:val="24"/>
          <w:szCs w:val="24"/>
        </w:rPr>
        <w:t xml:space="preserve">Data partnerships</w:t>
      </w:r>
    </w:p>
    <w:p>
      <w:pPr>
        <w:spacing w:after="160" w:line="276"/>
      </w:pPr>
      <w:r>
        <w:rPr>
          <w:rFonts w:ascii="Calibri" w:cs="Calibri" w:eastAsia="Calibri" w:hAnsi="Calibri"/>
          <w:color w:val="1C2530"/>
          <w:sz w:val="21"/>
          <w:szCs w:val="21"/>
        </w:rPr>
        <w:t xml:space="preserve">PredSea has an institutional data partnership with SOCIB (the Balearic Islands Coastal Observing System), giving access to deep-sea buoy, coastal radar and glider telemetry that most consumer-facing marine apps do not have.</w:t>
      </w:r>
    </w:p>
    <w:p>
      <w:pPr>
        <w:pStyle w:val="Heading1"/>
        <w:pBdr>
          <w:bottom w:val="single" w:color="0E7C7B" w:sz="8" w:space="4"/>
        </w:pBdr>
        <w:spacing w:after="200" w:before="420"/>
      </w:pPr>
      <w:r>
        <w:rPr>
          <w:rFonts w:ascii="Calibri" w:cs="Calibri" w:eastAsia="Calibri" w:hAnsi="Calibri"/>
          <w:b/>
          <w:bCs/>
          <w:color w:val="0B2545"/>
          <w:sz w:val="30"/>
          <w:szCs w:val="30"/>
        </w:rPr>
        <w:t xml:space="preserve">5. Market Opportunity</w:t>
      </w:r>
    </w:p>
    <w:p>
      <w:pPr>
        <w:pStyle w:val="Heading2"/>
        <w:spacing w:after="140" w:before="280"/>
      </w:pPr>
      <w:r>
        <w:rPr>
          <w:rFonts w:ascii="Calibri" w:cs="Calibri" w:eastAsia="Calibri" w:hAnsi="Calibri"/>
          <w:b/>
          <w:bCs/>
          <w:color w:val="0E7C7B"/>
          <w:sz w:val="24"/>
          <w:szCs w:val="24"/>
        </w:rPr>
        <w:t xml:space="preserve">5.1 Market context</w:t>
      </w:r>
    </w:p>
    <w:p>
      <w:pPr>
        <w:spacing w:after="160" w:line="276"/>
      </w:pPr>
      <w:r>
        <w:rPr>
          <w:rFonts w:ascii="Calibri" w:cs="Calibri" w:eastAsia="Calibri" w:hAnsi="Calibri"/>
          <w:color w:val="1C2530"/>
          <w:sz w:val="21"/>
          <w:szCs w:val="21"/>
        </w:rPr>
        <w:t xml:space="preserve">Third-party market research estimates size the global marine navigation software market at roughly $1.2 billion (2024), projected to reach approximately $2.5 billion by the early 30s, with the marine weather application sub-segment estimated in the low hundreds of millions of dollars and growing. These are directional industry estimates rather than PredSea-specific research, and should be refined with primary data as the raise progresses — but they confirm a market large enough to support a focused regional entrant, and one where AI-native, high-resolution products are still a small share of overall spend.</w:t>
      </w:r>
    </w:p>
    <w:p>
      <w:pPr>
        <w:pStyle w:val="Heading2"/>
        <w:spacing w:after="140" w:before="280"/>
      </w:pPr>
      <w:r>
        <w:rPr>
          <w:rFonts w:ascii="Calibri" w:cs="Calibri" w:eastAsia="Calibri" w:hAnsi="Calibri"/>
          <w:b/>
          <w:bCs/>
          <w:color w:val="0E7C7B"/>
          <w:sz w:val="24"/>
          <w:szCs w:val="24"/>
        </w:rPr>
        <w:t xml:space="preserve">5.2 Our addressable slice</w:t>
      </w:r>
    </w:p>
    <w:p>
      <w:pPr>
        <w:spacing w:after="160" w:line="276"/>
      </w:pPr>
      <w:r>
        <w:rPr>
          <w:rFonts w:ascii="Calibri" w:cs="Calibri" w:eastAsia="Calibri" w:hAnsi="Calibri"/>
          <w:color w:val="1C2530"/>
          <w:sz w:val="21"/>
          <w:szCs w:val="21"/>
        </w:rPr>
        <w:t xml:space="preserve">PredSea does not compete for the whole global market on day one. Our addressable opportunity is layered: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gridCol w:w="2350"/>
      </w:tblGrid>
      <w:tr>
        <w:trPr>
          <w:tblHeader/>
        </w:trPr>
        <w:tc>
          <w:tcPr>
            <w:tcW w:type="dxa" w:w="1700"/>
            <w:shd w:fill="0B2545"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Layer</w:t>
            </w:r>
          </w:p>
        </w:tc>
        <w:tc>
          <w:tcPr>
            <w:tcW w:type="dxa" w:w="5300"/>
            <w:shd w:fill="0B2545"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Definition</w:t>
            </w:r>
          </w:p>
        </w:tc>
        <w:tc>
          <w:tcPr>
            <w:tcW w:type="dxa" w:w="2350"/>
            <w:shd w:fill="0B2545"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PredSea's position</w:t>
            </w:r>
          </w:p>
        </w:tc>
      </w:tr>
      <w:tr>
        <w:tc>
          <w:tcPr>
            <w:tcW w:type="dxa" w:w="17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TAM</w:t>
            </w:r>
          </w:p>
        </w:tc>
        <w:tc>
          <w:tcPr>
            <w:tcW w:type="dxa" w:w="53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Global marine navigation, weather and voyage-optimization software</w:t>
            </w:r>
          </w:p>
        </w:tc>
        <w:tc>
          <w:tcPr>
            <w:tcW w:type="dxa" w:w="23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Long-term expansion opportunity (new basins, commercial shipping)</w:t>
            </w:r>
          </w:p>
        </w:tc>
      </w:tr>
      <w:tr>
        <w:tc>
          <w:tcPr>
            <w:tcW w:type="dxa" w:w="1700"/>
            <w:shd w:fill="EAF0F1"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SAM</w:t>
            </w:r>
          </w:p>
        </w:tc>
        <w:tc>
          <w:tcPr>
            <w:tcW w:type="dxa" w:w="530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Western Mediterranean recreational, charter and coastal-commercial marine users (Spain, France, Italy — Balearics to Sicily)</w:t>
            </w:r>
          </w:p>
        </w:tc>
        <w:tc>
          <w:tcPr>
            <w:tcW w:type="dxa" w:w="235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Current modelling domain and port/place registry coverage</w:t>
            </w:r>
          </w:p>
        </w:tc>
      </w:tr>
      <w:tr>
        <w:tc>
          <w:tcPr>
            <w:tcW w:type="dxa" w:w="17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SOM</w:t>
            </w:r>
          </w:p>
        </w:tc>
        <w:tc>
          <w:tcPr>
            <w:tcW w:type="dxa" w:w="53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Charter fleet managers, professional skippers and sailing schools in the Balearic Sea</w:t>
            </w:r>
          </w:p>
        </w:tc>
        <w:tc>
          <w:tcPr>
            <w:tcW w:type="dxa" w:w="23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Pilot cohort and initial go-to-market beachhead</w:t>
            </w:r>
          </w:p>
        </w:tc>
      </w:tr>
    </w:tbl>
    <w:p>
      <w:pPr>
        <w:spacing w:after="120"/>
      </w:pPr>
    </w:p>
    <w:p>
      <w:pPr>
        <w:pStyle w:val="Heading2"/>
        <w:spacing w:after="140" w:before="280"/>
      </w:pPr>
      <w:r>
        <w:rPr>
          <w:rFonts w:ascii="Calibri" w:cs="Calibri" w:eastAsia="Calibri" w:hAnsi="Calibri"/>
          <w:b/>
          <w:bCs/>
          <w:color w:val="0E7C7B"/>
          <w:sz w:val="24"/>
          <w:szCs w:val="24"/>
        </w:rPr>
        <w:t xml:space="preserve">5.3 Why the Balearics first</w:t>
      </w:r>
    </w:p>
    <w:p>
      <w:pPr>
        <w:pStyle w:val="ListParagraph"/>
        <w:numPr>
          <w:ilvl w:val="0"/>
          <w:numId w:val="2"/>
        </w:numPr>
        <w:spacing w:after="90" w:line="264"/>
      </w:pPr>
      <w:r>
        <w:rPr>
          <w:rFonts w:ascii="Calibri" w:cs="Calibri" w:eastAsia="Calibri" w:hAnsi="Calibri"/>
          <w:color w:val="1C2530"/>
          <w:sz w:val="21"/>
          <w:szCs w:val="21"/>
        </w:rPr>
        <w:t xml:space="preserve">The Balearic Islands are consistently ranked among the top charter destinations in Europe, with a dense, high-value charter fleet operating in a compact, well-instrumented cruising ground.</w:t>
      </w:r>
    </w:p>
    <w:p>
      <w:pPr>
        <w:pStyle w:val="ListParagraph"/>
        <w:numPr>
          <w:ilvl w:val="0"/>
          <w:numId w:val="2"/>
        </w:numPr>
        <w:spacing w:after="90" w:line="264"/>
      </w:pPr>
      <w:r>
        <w:rPr>
          <w:rFonts w:ascii="Calibri" w:cs="Calibri" w:eastAsia="Calibri" w:hAnsi="Calibri"/>
          <w:color w:val="1C2530"/>
          <w:sz w:val="21"/>
          <w:szCs w:val="21"/>
        </w:rPr>
        <w:t xml:space="preserve">PredSea already holds an institutional data partnership (SOCIB) and modelling coverage specific to this basin — the hardest part of expansion (data access, model calibration) is already solved here.</w:t>
      </w:r>
    </w:p>
    <w:p>
      <w:pPr>
        <w:pStyle w:val="ListParagraph"/>
        <w:numPr>
          <w:ilvl w:val="0"/>
          <w:numId w:val="2"/>
        </w:numPr>
        <w:spacing w:after="90" w:line="264"/>
      </w:pPr>
      <w:r>
        <w:rPr>
          <w:rFonts w:ascii="Calibri" w:cs="Calibri" w:eastAsia="Calibri" w:hAnsi="Calibri"/>
          <w:color w:val="1C2530"/>
          <w:sz w:val="21"/>
          <w:szCs w:val="21"/>
        </w:rPr>
        <w:t xml:space="preserve">A concentrated geography allows a small team to reach charter fleet managers directly and iteratively, rather than spreading thin across the full Mediterranean on day one.</w:t>
      </w:r>
    </w:p>
    <w:p>
      <w:pPr>
        <w:spacing w:after="160" w:line="276"/>
      </w:pPr>
      <w:r>
        <w:rPr>
          <w:rFonts w:ascii="Calibri" w:cs="Calibri" w:eastAsia="Calibri" w:hAnsi="Calibri"/>
          <w:color w:val="1C2530"/>
          <w:sz w:val="21"/>
          <w:szCs w:val="21"/>
        </w:rPr>
        <w:t xml:space="preserve">Geographic expansion (Canary Islands, Gibraltar Strait, North Sea) and adjacent segments (commercial shipping, port authorities) are part of the roadmap but deliberately sequenced after the Balearic beachhead is proven — see Section 9.</w:t>
      </w:r>
    </w:p>
    <w:p>
      <w:pPr>
        <w:pStyle w:val="Heading1"/>
        <w:pBdr>
          <w:bottom w:val="single" w:color="0E7C7B" w:sz="8" w:space="4"/>
        </w:pBdr>
        <w:spacing w:after="200" w:before="420"/>
      </w:pPr>
      <w:r>
        <w:rPr>
          <w:rFonts w:ascii="Calibri" w:cs="Calibri" w:eastAsia="Calibri" w:hAnsi="Calibri"/>
          <w:b/>
          <w:bCs/>
          <w:color w:val="0B2545"/>
          <w:sz w:val="30"/>
          <w:szCs w:val="30"/>
        </w:rPr>
        <w:t xml:space="preserve">6. Business Model</w:t>
      </w:r>
    </w:p>
    <w:p>
      <w:pPr>
        <w:spacing w:after="160" w:line="276"/>
      </w:pPr>
      <w:r>
        <w:rPr>
          <w:rFonts w:ascii="Calibri" w:cs="Calibri" w:eastAsia="Calibri" w:hAnsi="Calibri"/>
          <w:color w:val="1C2530"/>
          <w:sz w:val="21"/>
          <w:szCs w:val="21"/>
        </w:rPr>
        <w:t xml:space="preserve">PredSea operates on a highly profitable, scalable, and simplified B2B SaaS subscription model designed exclusively for maritime operators. We have completely eliminated consumer-grade basic or free tiers to concentrate entirely on high-value, high-margin professional maritime segments.</w:t>
      </w:r>
    </w:p>
    <w:p>
      <w:pPr>
        <w:pStyle w:val="Heading2"/>
        <w:spacing w:after="140" w:before="280"/>
      </w:pPr>
      <w:r>
        <w:rPr>
          <w:rFonts w:ascii="Calibri" w:cs="Calibri" w:eastAsia="Calibri" w:hAnsi="Calibri"/>
          <w:b/>
          <w:bCs/>
          <w:color w:val="0E7C7B"/>
          <w:sz w:val="24"/>
          <w:szCs w:val="24"/>
        </w:rPr>
        <w:t xml:space="preserve">6.1 Core SaaS Offering</w:t>
      </w:r>
    </w:p>
    <w:p>
      <w:pPr>
        <w:spacing w:after="160" w:line="276"/>
      </w:pPr>
      <w:r>
        <w:rPr>
          <w:rFonts w:ascii="Calibri" w:cs="Calibri" w:eastAsia="Calibri" w:hAnsi="Calibri"/>
          <w:color w:val="1C2530"/>
          <w:sz w:val="21"/>
          <w:szCs w:val="21"/>
        </w:rPr>
        <w:t xml:space="preserve">Our monetization structure is streamlined to a single anchor pricing model to maximize B2B customer expansion and fleet onboarding: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600"/>
        <w:gridCol w:w="1250"/>
      </w:tblGrid>
      <w:tr>
        <w:trPr>
          <w:tblHeader/>
        </w:trPr>
        <w:tc>
          <w:tcPr>
            <w:tcW w:type="dxa" w:w="2000"/>
            <w:shd w:fill="0B2545"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Tier</w:t>
            </w:r>
          </w:p>
        </w:tc>
        <w:tc>
          <w:tcPr>
            <w:tcW w:type="dxa" w:w="2500"/>
            <w:shd w:fill="0B2545"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Target Audience</w:t>
            </w:r>
          </w:p>
        </w:tc>
        <w:tc>
          <w:tcPr>
            <w:tcW w:type="dxa" w:w="3600"/>
            <w:shd w:fill="0B2545"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Core Features Included</w:t>
            </w:r>
          </w:p>
        </w:tc>
        <w:tc>
          <w:tcPr>
            <w:tcW w:type="dxa" w:w="1250"/>
            <w:shd w:fill="0B2545"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Monthly Price</w:t>
            </w:r>
          </w:p>
        </w:tc>
      </w:tr>
      <w:tr>
        <w:tc>
          <w:tcPr>
            <w:tcW w:type="dxa" w:w="2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Premium Route (Core SaaS)</w:t>
            </w:r>
          </w:p>
        </w:tc>
        <w:tc>
          <w:tcPr>
            <w:tcW w:type="dxa" w:w="25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Professional skippers, yacht charters, sailing schools</w:t>
            </w:r>
          </w:p>
        </w:tc>
        <w:tc>
          <w:tcPr>
            <w:tcW w:type="dxa" w:w="36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Conversational AI First Mate, high-resolution Western Med grids, chronological routing, WhatsApp integration, real-time anomaly alerts</w:t>
            </w:r>
          </w:p>
        </w:tc>
        <w:tc>
          <w:tcPr>
            <w:tcW w:type="dxa" w:w="12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€49 / month / vessel</w:t>
            </w:r>
          </w:p>
        </w:tc>
      </w:tr>
      <w:tr>
        <w:tc>
          <w:tcPr>
            <w:tcW w:type="dxa" w:w="2000"/>
            <w:shd w:fill="EAF0F1"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Corporate / Fleet</w:t>
            </w:r>
          </w:p>
        </w:tc>
        <w:tc>
          <w:tcPr>
            <w:tcW w:type="dxa" w:w="250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Large charter fleet operators, yacht management firms</w:t>
            </w:r>
          </w:p>
        </w:tc>
        <w:tc>
          <w:tcPr>
            <w:tcW w:type="dxa" w:w="360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Multi-vessel fleet management dashboard, centralized bulk billing, priority WhatsApp SLAs, dedicated account support</w:t>
            </w:r>
          </w:p>
        </w:tc>
        <w:tc>
          <w:tcPr>
            <w:tcW w:type="dxa" w:w="125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Custom Volume Pricing</w:t>
            </w:r>
          </w:p>
        </w:tc>
      </w:tr>
    </w:tbl>
    <w:p>
      <w:pPr>
        <w:spacing w:after="120"/>
      </w:pPr>
    </w:p>
    <w:p>
      <w:pPr>
        <w:pStyle w:val="Heading2"/>
        <w:spacing w:after="140" w:before="280"/>
      </w:pPr>
      <w:r>
        <w:rPr>
          <w:rFonts w:ascii="Calibri" w:cs="Calibri" w:eastAsia="Calibri" w:hAnsi="Calibri"/>
          <w:b/>
          <w:bCs/>
          <w:color w:val="0E7C7B"/>
          <w:sz w:val="24"/>
          <w:szCs w:val="24"/>
        </w:rPr>
        <w:t xml:space="preserve">6.2 Feature-Based Tier Expansion</w:t>
      </w:r>
    </w:p>
    <w:p>
      <w:pPr>
        <w:spacing w:after="160" w:line="276"/>
      </w:pPr>
      <w:r>
        <w:rPr>
          <w:rFonts w:ascii="Calibri" w:cs="Calibri" w:eastAsia="Calibri" w:hAnsi="Calibri"/>
          <w:color w:val="1C2530"/>
          <w:sz w:val="21"/>
          <w:szCs w:val="21"/>
        </w:rPr>
        <w:t xml:space="preserve">As customer operational requirements grow, future revenue expansion will be driven by high-value, feature-gated upgrades rather than arbitrary user tiers:</w:t>
      </w:r>
    </w:p>
    <w:p>
      <w:pPr>
        <w:pStyle w:val="ListParagraph"/>
        <w:numPr>
          <w:ilvl w:val="0"/>
          <w:numId w:val="2"/>
        </w:numPr>
        <w:spacing w:after="90" w:line="264"/>
      </w:pPr>
      <w:r>
        <w:rPr>
          <w:rFonts w:ascii="Calibri" w:cs="Calibri" w:eastAsia="Calibri" w:hAnsi="Calibri"/>
          <w:b/>
          <w:bCs/>
          <w:color w:val="1C2530"/>
          <w:sz w:val="21"/>
          <w:szCs w:val="21"/>
        </w:rPr>
        <w:t xml:space="preserve">Ultra-High Resolution Grids: Sub-kilometer wind and wave grids for complex navigation channels and narrow bays.</w:t>
      </w:r>
    </w:p>
    <w:p>
      <w:pPr>
        <w:pStyle w:val="ListParagraph"/>
        <w:numPr>
          <w:ilvl w:val="0"/>
          <w:numId w:val="2"/>
        </w:numPr>
        <w:spacing w:after="90" w:line="264"/>
      </w:pPr>
      <w:r>
        <w:rPr>
          <w:rFonts w:ascii="Calibri" w:cs="Calibri" w:eastAsia="Calibri" w:hAnsi="Calibri"/>
          <w:b/>
          <w:bCs/>
          <w:color w:val="1C2530"/>
          <w:sz w:val="21"/>
          <w:szCs w:val="21"/>
        </w:rPr>
        <w:t xml:space="preserve">Extended Forecast Horizons: Extending our regional coupled physics models from 120 hours to a 240-hour planning horizon.</w:t>
      </w:r>
    </w:p>
    <w:p>
      <w:pPr>
        <w:pStyle w:val="ListParagraph"/>
        <w:numPr>
          <w:ilvl w:val="0"/>
          <w:numId w:val="2"/>
        </w:numPr>
        <w:spacing w:after="90" w:line="264"/>
      </w:pPr>
      <w:r>
        <w:rPr>
          <w:rFonts w:ascii="Calibri" w:cs="Calibri" w:eastAsia="Calibri" w:hAnsi="Calibri"/>
          <w:b/>
          <w:bCs/>
          <w:color w:val="1C2530"/>
          <w:sz w:val="21"/>
          <w:szCs w:val="21"/>
        </w:rPr>
        <w:t xml:space="preserve">Dynamic, Wave- &amp; Current-Optimized Routing: Continuous, real-time route optimization using CROCO current fields and SWAN wave resistance to minimize emissions and maximize safety.</w:t>
      </w:r>
    </w:p>
    <w:p>
      <w:pPr>
        <w:pStyle w:val="Heading2"/>
        <w:spacing w:after="140" w:before="280"/>
      </w:pPr>
      <w:r>
        <w:rPr>
          <w:rFonts w:ascii="Calibri" w:cs="Calibri" w:eastAsia="Calibri" w:hAnsi="Calibri"/>
          <w:b/>
          <w:bCs/>
          <w:color w:val="0E7C7B"/>
          <w:sz w:val="24"/>
          <w:szCs w:val="24"/>
        </w:rPr>
        <w:t xml:space="preserve">6.3 High-Margin Secondary Streams</w:t>
      </w:r>
    </w:p>
    <w:p>
      <w:pPr>
        <w:spacing w:after="160" w:line="276"/>
      </w:pPr>
      <w:r>
        <w:rPr>
          <w:rFonts w:ascii="Calibri" w:cs="Calibri" w:eastAsia="Calibri" w:hAnsi="Calibri"/>
          <w:color w:val="1C2530"/>
          <w:sz w:val="21"/>
          <w:szCs w:val="21"/>
        </w:rPr>
        <w:t xml:space="preserve">While our core SaaS subscription is our primary vector, we capture high-margin secondary revenue by opening up our tech stack to third parties:</w:t>
      </w:r>
    </w:p>
    <w:p>
      <w:pPr>
        <w:pStyle w:val="ListParagraph"/>
        <w:numPr>
          <w:ilvl w:val="0"/>
          <w:numId w:val="2"/>
        </w:numPr>
        <w:spacing w:after="90" w:line="264"/>
      </w:pPr>
      <w:r>
        <w:rPr>
          <w:rFonts w:ascii="Calibri" w:cs="Calibri" w:eastAsia="Calibri" w:hAnsi="Calibri"/>
          <w:b/>
          <w:bCs/>
          <w:color w:val="1C2530"/>
          <w:sz w:val="21"/>
          <w:szCs w:val="21"/>
        </w:rPr>
        <w:t xml:space="preserve">Developer API: Programmatic access to our high-resolution forecast, routing, and anomaly detection endpoints for third-party marine hardware and electronics manufacturers (usage-based licensing).</w:t>
      </w:r>
    </w:p>
    <w:p>
      <w:pPr>
        <w:pStyle w:val="ListParagraph"/>
        <w:numPr>
          <w:ilvl w:val="0"/>
          <w:numId w:val="2"/>
        </w:numPr>
        <w:spacing w:after="90" w:line="264"/>
      </w:pPr>
      <w:r>
        <w:rPr>
          <w:rFonts w:ascii="Calibri" w:cs="Calibri" w:eastAsia="Calibri" w:hAnsi="Calibri"/>
          <w:b/>
          <w:bCs/>
          <w:color w:val="1C2530"/>
          <w:sz w:val="21"/>
          <w:szCs w:val="21"/>
        </w:rPr>
        <w:t xml:space="preserve">Event / Regatta Forecasts: High-frequency, specialized routing packages for competitive sailing regattas, superyacht races, and coastal marine events (priced per event).</w:t>
      </w:r>
    </w:p>
    <w:p>
      <w:pPr>
        <w:pStyle w:val="Heading1"/>
        <w:pBdr>
          <w:bottom w:val="single" w:color="0E7C7B" w:sz="8" w:space="4"/>
        </w:pBdr>
        <w:spacing w:after="200" w:before="420"/>
      </w:pPr>
      <w:r>
        <w:rPr>
          <w:rFonts w:ascii="Calibri" w:cs="Calibri" w:eastAsia="Calibri" w:hAnsi="Calibri"/>
          <w:b/>
          <w:bCs/>
          <w:color w:val="0B2545"/>
          <w:sz w:val="30"/>
          <w:szCs w:val="30"/>
        </w:rPr>
        <w:t xml:space="preserve">7. Go-to-Market Strategy</w:t>
      </w:r>
    </w:p>
    <w:p>
      <w:pPr>
        <w:pStyle w:val="Heading2"/>
        <w:spacing w:after="140" w:before="280"/>
      </w:pPr>
      <w:r>
        <w:rPr>
          <w:rFonts w:ascii="Calibri" w:cs="Calibri" w:eastAsia="Calibri" w:hAnsi="Calibri"/>
          <w:b/>
          <w:bCs/>
          <w:color w:val="0E7C7B"/>
          <w:sz w:val="24"/>
          <w:szCs w:val="24"/>
        </w:rPr>
        <w:t xml:space="preserve">7.1 Primary lever: charter fleet managers</w:t>
      </w:r>
    </w:p>
    <w:p>
      <w:pPr>
        <w:spacing w:after="160" w:line="276"/>
      </w:pPr>
      <w:r>
        <w:rPr>
          <w:rFonts w:ascii="Calibri" w:cs="Calibri" w:eastAsia="Calibri" w:hAnsi="Calibri"/>
          <w:color w:val="1C2530"/>
          <w:sz w:val="21"/>
          <w:szCs w:val="21"/>
        </w:rPr>
        <w:t xml:space="preserve">Charter fleet managers control access to dozens of vessels and captains at once, making them the highest-leverage entry point into our Premium core SaaS tier. Our maritime advisor's 25-plus years as a professional yacht captain give PredSea direct credibility and warm introductions into this network.</w:t>
      </w:r>
    </w:p>
    <w:p>
      <w:pPr>
        <w:pStyle w:val="Heading2"/>
        <w:spacing w:after="140" w:before="280"/>
      </w:pPr>
      <w:r>
        <w:rPr>
          <w:rFonts w:ascii="Calibri" w:cs="Calibri" w:eastAsia="Calibri" w:hAnsi="Calibri"/>
          <w:b/>
          <w:bCs/>
          <w:color w:val="0E7C7B"/>
          <w:sz w:val="24"/>
          <w:szCs w:val="24"/>
        </w:rPr>
        <w:t xml:space="preserve">7.2 Yachting Ventures &amp; Community Partnerships</w:t>
      </w:r>
    </w:p>
    <w:p>
      <w:pPr>
        <w:spacing w:after="160" w:line="276"/>
      </w:pPr>
      <w:r>
        <w:rPr>
          <w:rFonts w:ascii="Calibri" w:cs="Calibri" w:eastAsia="Calibri" w:hAnsi="Calibri"/>
          <w:color w:val="1C2530"/>
          <w:sz w:val="21"/>
          <w:szCs w:val="21"/>
        </w:rPr>
        <w:t xml:space="preserve">PredSea is an active member of Yachting Ventures, the world's premier maritime startup ecosystem and accelerator community. This partnership grants us direct marketing, networking, and validation access to an industry-specific network of over 20,000 captains, investors, charter operators, and yachting professionals.</w:t>
      </w:r>
    </w:p>
    <w:p>
      <w:pPr>
        <w:spacing w:after="160" w:line="276"/>
      </w:pPr>
      <w:r>
        <w:rPr>
          <w:rFonts w:ascii="Calibri" w:cs="Calibri" w:eastAsia="Calibri" w:hAnsi="Calibri"/>
          <w:color w:val="1C2530"/>
          <w:sz w:val="21"/>
          <w:szCs w:val="21"/>
        </w:rPr>
        <w:t xml:space="preserve">By combining this highly-targeted community access with Matt's AI-automated marketing funnels, we are able to drive zero-cost, high-velocity B2B customer acquisition and pre-qualify leads before our autumn boat show circuit begins. This bypasses traditional marketing friction, creating an immediate, trusted sales pipeline within the yachting community.</w:t>
      </w:r>
    </w:p>
    <w:p>
      <w:pPr>
        <w:pStyle w:val="Heading2"/>
        <w:spacing w:after="140" w:before="280"/>
      </w:pPr>
      <w:r>
        <w:rPr>
          <w:rFonts w:ascii="Calibri" w:cs="Calibri" w:eastAsia="Calibri" w:hAnsi="Calibri"/>
          <w:b/>
          <w:bCs/>
          <w:color w:val="0E7C7B"/>
          <w:sz w:val="24"/>
          <w:szCs w:val="24"/>
        </w:rPr>
        <w:t xml:space="preserve">7.3 Distribution: boat shows</w:t>
      </w:r>
    </w:p>
    <w:p>
      <w:pPr>
        <w:spacing w:after="160" w:line="276"/>
      </w:pPr>
      <w:r>
        <w:rPr>
          <w:rFonts w:ascii="Calibri" w:cs="Calibri" w:eastAsia="Calibri" w:hAnsi="Calibri"/>
          <w:color w:val="1C2530"/>
          <w:sz w:val="21"/>
          <w:szCs w:val="21"/>
        </w:rPr>
        <w:t xml:space="preserve">With seed funding, PredSea will attend five Mediterranean and European boat shows over the funded period to demonstrate the product directly to charter fleet managers, captains and marine electronics integrators: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50"/>
      </w:tblGrid>
      <w:tr>
        <w:trPr>
          <w:tblHeader/>
        </w:trPr>
        <w:tc>
          <w:tcPr>
            <w:tcW w:type="dxa" w:w="3600"/>
            <w:shd w:fill="0B2545"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Show</w:t>
            </w:r>
          </w:p>
        </w:tc>
        <w:tc>
          <w:tcPr>
            <w:tcW w:type="dxa" w:w="3200"/>
            <w:shd w:fill="0B2545"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Location</w:t>
            </w:r>
          </w:p>
        </w:tc>
        <w:tc>
          <w:tcPr>
            <w:tcW w:type="dxa" w:w="2550"/>
            <w:shd w:fill="0B2545"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Timing</w:t>
            </w:r>
          </w:p>
        </w:tc>
      </w:tr>
      <w:tr>
        <w:tc>
          <w:tcPr>
            <w:tcW w:type="dxa" w:w="3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Monaco Yacht Show</w:t>
            </w:r>
          </w:p>
        </w:tc>
        <w:tc>
          <w:tcPr>
            <w:tcW w:type="dxa" w:w="32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Monaco</w:t>
            </w:r>
          </w:p>
        </w:tc>
        <w:tc>
          <w:tcPr>
            <w:tcW w:type="dxa" w:w="25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September</w:t>
            </w:r>
          </w:p>
        </w:tc>
      </w:tr>
      <w:tr>
        <w:tc>
          <w:tcPr>
            <w:tcW w:type="dxa" w:w="3600"/>
            <w:shd w:fill="EAF0F1"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Barcelona Boat Show</w:t>
            </w:r>
          </w:p>
        </w:tc>
        <w:tc>
          <w:tcPr>
            <w:tcW w:type="dxa" w:w="320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Barcelona, Spain</w:t>
            </w:r>
          </w:p>
        </w:tc>
        <w:tc>
          <w:tcPr>
            <w:tcW w:type="dxa" w:w="255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October</w:t>
            </w:r>
          </w:p>
        </w:tc>
      </w:tr>
      <w:tr>
        <w:tc>
          <w:tcPr>
            <w:tcW w:type="dxa" w:w="3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METSTRADE / Netherlands boat show</w:t>
            </w:r>
          </w:p>
        </w:tc>
        <w:tc>
          <w:tcPr>
            <w:tcW w:type="dxa" w:w="32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Netherlands</w:t>
            </w:r>
          </w:p>
        </w:tc>
        <w:tc>
          <w:tcPr>
            <w:tcW w:type="dxa" w:w="25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October</w:t>
            </w:r>
          </w:p>
        </w:tc>
      </w:tr>
      <w:tr>
        <w:tc>
          <w:tcPr>
            <w:tcW w:type="dxa" w:w="3600"/>
            <w:shd w:fill="EAF0F1"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Genoa International Boat Show</w:t>
            </w:r>
          </w:p>
        </w:tc>
        <w:tc>
          <w:tcPr>
            <w:tcW w:type="dxa" w:w="320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Genoa, Italy</w:t>
            </w:r>
          </w:p>
        </w:tc>
        <w:tc>
          <w:tcPr>
            <w:tcW w:type="dxa" w:w="255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October</w:t>
            </w:r>
          </w:p>
        </w:tc>
      </w:tr>
      <w:tr>
        <w:tc>
          <w:tcPr>
            <w:tcW w:type="dxa" w:w="3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Fort Lauderdale International Boat Show</w:t>
            </w:r>
          </w:p>
        </w:tc>
        <w:tc>
          <w:tcPr>
            <w:tcW w:type="dxa" w:w="32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Fort Lauderdale, USA</w:t>
            </w:r>
          </w:p>
        </w:tc>
        <w:tc>
          <w:tcPr>
            <w:tcW w:type="dxa" w:w="25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November</w:t>
            </w:r>
          </w:p>
        </w:tc>
      </w:tr>
    </w:tbl>
    <w:p>
      <w:pPr>
        <w:spacing w:after="120"/>
      </w:pPr>
    </w:p>
    <w:p>
      <w:pPr>
        <w:pStyle w:val="Heading2"/>
        <w:spacing w:after="140" w:before="280"/>
      </w:pPr>
      <w:r>
        <w:rPr>
          <w:rFonts w:ascii="Calibri" w:cs="Calibri" w:eastAsia="Calibri" w:hAnsi="Calibri"/>
          <w:b/>
          <w:bCs/>
          <w:color w:val="0E7C7B"/>
          <w:sz w:val="24"/>
          <w:szCs w:val="24"/>
        </w:rPr>
        <w:t xml:space="preserve">7.4 Product-led distribution</w:t>
      </w:r>
    </w:p>
    <w:p>
      <w:pPr>
        <w:spacing w:after="160" w:line="276"/>
      </w:pPr>
      <w:r>
        <w:rPr>
          <w:rFonts w:ascii="Calibri" w:cs="Calibri" w:eastAsia="Calibri" w:hAnsi="Calibri"/>
          <w:color w:val="1C2530"/>
          <w:sz w:val="21"/>
          <w:szCs w:val="21"/>
        </w:rPr>
        <w:t xml:space="preserve">Because the product runs on WhatsApp, there is no app-store funnel or install friction — a captain can be onboarded with a phone number. This materially lowers the cost of pilot expansion and word-of-mouth referral within tight-knit captain and charter-fleet networks.</w:t>
      </w:r>
    </w:p>
    <w:p>
      <w:pPr>
        <w:pStyle w:val="Heading2"/>
        <w:spacing w:after="140" w:before="280"/>
      </w:pPr>
      <w:r>
        <w:rPr>
          <w:rFonts w:ascii="Calibri" w:cs="Calibri" w:eastAsia="Calibri" w:hAnsi="Calibri"/>
          <w:b/>
          <w:bCs/>
          <w:color w:val="0E7C7B"/>
          <w:sz w:val="24"/>
          <w:szCs w:val="24"/>
        </w:rPr>
        <w:t xml:space="preserve">7.5 Parallel non-dilutive tracks</w:t>
      </w:r>
    </w:p>
    <w:p>
      <w:pPr>
        <w:spacing w:after="160" w:line="276"/>
      </w:pPr>
      <w:r>
        <w:rPr>
          <w:rFonts w:ascii="Calibri" w:cs="Calibri" w:eastAsia="Calibri" w:hAnsi="Calibri"/>
          <w:color w:val="1C2530"/>
          <w:sz w:val="21"/>
          <w:szCs w:val="21"/>
        </w:rPr>
        <w:t xml:space="preserve">Alongside the equity raise, PredSea is pursuing non-dilutive funding in parallel — Horizon Europe, CDTI and ESA BIC Spain — to extend runway and validate the technology through grant-funded milestones without additional dilution.</w:t>
      </w:r>
    </w:p>
    <w:p>
      <w:pPr>
        <w:pStyle w:val="Heading1"/>
        <w:pBdr>
          <w:bottom w:val="single" w:color="0E7C7B" w:sz="8" w:space="4"/>
        </w:pBdr>
        <w:spacing w:after="200" w:before="420"/>
      </w:pPr>
      <w:r>
        <w:rPr>
          <w:rFonts w:ascii="Calibri" w:cs="Calibri" w:eastAsia="Calibri" w:hAnsi="Calibri"/>
          <w:b/>
          <w:bCs/>
          <w:color w:val="0B2545"/>
          <w:sz w:val="30"/>
          <w:szCs w:val="30"/>
        </w:rPr>
        <w:t xml:space="preserve">8. Traction</w:t>
      </w:r>
    </w:p>
    <w:p>
      <w:pPr>
        <w:spacing w:after="160" w:line="276"/>
      </w:pPr>
      <w:r>
        <w:rPr>
          <w:rFonts w:ascii="Calibri" w:cs="Calibri" w:eastAsia="Calibri" w:hAnsi="Calibri"/>
          <w:color w:val="1C2530"/>
          <w:sz w:val="21"/>
          <w:szCs w:val="21"/>
        </w:rPr>
        <w:t>PredSea is past the core architecture-build phase and is currently running an informal pilot with an initial cohort of yacht captains in the Balearic Sea, delivered through our WhatsApp/Relay conversational interface, ahead of converting this cohort to paying subscribers. The pilot exercises the Copernicus-based forecast and observation pipeline already in production today; validating our own proprietary WRF/CROCO/SWAN output against SOCIB and AEMET observations is the next milestone, once that stack reaches daily production cadence.</w:t>
      </w:r>
    </w:p>
    <w:p>
      <w:pPr>
        <w:spacing w:after="160" w:line="276"/>
      </w:pPr>
      <w:r>
        <w:rPr>
          <w:rFonts w:ascii="Calibri" w:cs="Calibri" w:eastAsia="Calibri" w:hAnsi="Calibri"/>
          <w:color w:val="1C2530"/>
          <w:sz w:val="21"/>
          <w:szCs w:val="21"/>
        </w:rPr>
        <w:t xml:space="preserve">What is already built and operating:</w:t>
      </w:r>
    </w:p>
    <w:p>
      <w:pPr>
        <w:pStyle w:val="ListParagraph"/>
        <w:numPr>
          <w:ilvl w:val="0"/>
          <w:numId w:val="2"/>
        </w:numPr>
        <w:spacing w:after="90" w:line="264"/>
      </w:pPr>
      <w:r>
        <w:rPr>
          <w:rFonts w:ascii="Calibri" w:cs="Calibri" w:eastAsia="Calibri" w:hAnsi="Calibri"/>
          <w:color w:val="1C2530"/>
          <w:sz w:val="21"/>
          <w:szCs w:val="21"/>
        </w:rPr>
        <w:t>Spot-VM orchestration for regional model runs (WRF / CROCO-ROMS / NEMO / SWAN), successfully compiled and test-run on GCP — reaching daily automated production cadence is this raise's core near-term technical milestone — feeding a production FastAPI service split across test and production environments.</w:t>
      </w:r>
    </w:p>
    <w:p>
      <w:pPr>
        <w:pStyle w:val="ListParagraph"/>
        <w:numPr>
          <w:ilvl w:val="0"/>
          <w:numId w:val="2"/>
        </w:numPr>
        <w:spacing w:after="90" w:line="264"/>
      </w:pPr>
      <w:r>
        <w:rPr>
          <w:rFonts w:ascii="Calibri" w:cs="Calibri" w:eastAsia="Calibri" w:hAnsi="Calibri"/>
          <w:color w:val="1C2530"/>
          <w:sz w:val="21"/>
          <w:szCs w:val="21"/>
        </w:rPr>
        <w:t xml:space="preserve">A live hazards and anomaly-detection pipeline merging AEMET CAP alerts with statistical (z-score) anomaly detection against a multi-year climatology baseline.</w:t>
      </w:r>
    </w:p>
    <w:p>
      <w:pPr>
        <w:pStyle w:val="ListParagraph"/>
        <w:numPr>
          <w:ilvl w:val="0"/>
          <w:numId w:val="2"/>
        </w:numPr>
        <w:spacing w:after="90" w:line="264"/>
      </w:pPr>
      <w:r>
        <w:rPr>
          <w:rFonts w:ascii="Calibri" w:cs="Calibri" w:eastAsia="Calibri" w:hAnsi="Calibri"/>
          <w:color w:val="1C2530"/>
          <w:sz w:val="21"/>
          <w:szCs w:val="21"/>
        </w:rPr>
        <w:t>A chronological weather-routing engine covering the core Balearic Islands and mainland Spain route network today, with France-Italy coverage on the roadmap as the place/route registry expands (see Section 9).</w:t>
      </w:r>
    </w:p>
    <w:p>
      <w:pPr>
        <w:pStyle w:val="ListParagraph"/>
        <w:numPr>
          <w:ilvl w:val="0"/>
          <w:numId w:val="2"/>
        </w:numPr>
        <w:spacing w:after="90" w:line="264"/>
      </w:pPr>
      <w:r>
        <w:rPr>
          <w:rFonts w:ascii="Calibri" w:cs="Calibri" w:eastAsia="Calibri" w:hAnsi="Calibri"/>
          <w:color w:val="1C2530"/>
          <w:sz w:val="21"/>
          <w:szCs w:val="21"/>
        </w:rPr>
        <w:t xml:space="preserve">A WhatsApp-native conversational interface, in pilot with an initial captain cohort, built on the Relay platform.</w:t>
      </w:r>
    </w:p>
    <w:p>
      <w:pPr>
        <w:pStyle w:val="ListParagraph"/>
        <w:numPr>
          <w:ilvl w:val="0"/>
          <w:numId w:val="2"/>
        </w:numPr>
        <w:spacing w:after="90" w:line="264"/>
      </w:pPr>
      <w:r>
        <w:rPr>
          <w:rFonts w:ascii="Calibri" w:cs="Calibri" w:eastAsia="Calibri" w:hAnsi="Calibri"/>
          <w:color w:val="1C2530"/>
          <w:sz w:val="21"/>
          <w:szCs w:val="21"/>
        </w:rPr>
        <w:t xml:space="preserve">An institutional data partnership with SOCIB and ingestion pipelines for AEMET, Puertos del Estado and EMODnet.</w:t>
      </w:r>
    </w:p>
    <w:p>
      <w:pPr>
        <w:pStyle w:val="Heading2"/>
        <w:spacing w:after="140" w:before="280"/>
      </w:pPr>
      <w:r>
        <w:rPr>
          <w:rFonts w:ascii="Calibri" w:cs="Calibri" w:eastAsia="Calibri" w:hAnsi="Calibri"/>
          <w:b/>
          <w:bCs/>
          <w:color w:val="0E7C7B"/>
          <w:sz w:val="24"/>
          <w:szCs w:val="24"/>
        </w:rPr>
        <w:t xml:space="preserve">12-Month Execution Roadmap</w:t>
      </w:r>
    </w:p>
    <w:p>
      <w:pPr>
        <w:spacing w:after="160" w:line="276"/>
      </w:pPr>
      <w:r>
        <w:rPr>
          <w:rFonts w:ascii="Calibri" w:cs="Calibri" w:eastAsia="Calibri" w:hAnsi="Calibri"/>
          <w:color w:val="1C2530"/>
          <w:sz w:val="21"/>
          <w:szCs w:val="21"/>
        </w:rPr>
        <w:t xml:space="preserve">With seed funding, we will divide our next 12 months of operations into two distinct, highly-focused commercial phases:</w:t>
      </w:r>
    </w:p>
    <w:p>
      <w:pPr>
        <w:pStyle w:val="ListParagraph"/>
        <w:numPr>
          <w:ilvl w:val="0"/>
          <w:numId w:val="2"/>
        </w:numPr>
        <w:spacing w:after="90" w:line="264"/>
      </w:pPr>
      <w:r>
        <w:rPr>
          <w:rFonts w:ascii="Calibri" w:cs="Calibri" w:eastAsia="Calibri" w:hAnsi="Calibri"/>
          <w:b/>
          <w:bCs/>
          <w:color w:val="1C2530"/>
          <w:sz w:val="21"/>
          <w:szCs w:val="21"/>
        </w:rPr>
        <w:t xml:space="preserve">Months 1–6 (The Sprint): Complete the Balearic pilot, convert the pilot cohort into paying subscribers at €49/month per vessel, and fully harden the core B2B SaaS routing engine. Concurrently, we will leverage Yachting Ventures community access and launch Matt's AI-driven automated marketing funnels to build a highly qualified lead pipeline of charter fleet managers and captains ahead of the autumn boat shows.</w:t>
      </w:r>
    </w:p>
    <w:p>
      <w:pPr>
        <w:pStyle w:val="ListParagraph"/>
        <w:numPr>
          <w:ilvl w:val="0"/>
          <w:numId w:val="2"/>
        </w:numPr>
        <w:spacing w:after="90" w:line="264"/>
      </w:pPr>
      <w:r>
        <w:rPr>
          <w:rFonts w:ascii="Calibri" w:cs="Calibri" w:eastAsia="Calibri" w:hAnsi="Calibri"/>
          <w:b/>
          <w:bCs/>
          <w:color w:val="1C2530"/>
          <w:sz w:val="21"/>
          <w:szCs w:val="21"/>
        </w:rPr>
        <w:t xml:space="preserve">Months 6–12 (The Scale): Execute on the warm leads captured during the five major European and international boat shows (September–November). Onboard multi-vessel enterprise charter fleets under our Corporate Tier, and introduce our advanced premium feature gates (wave/current optimization, extended forecast horizons) to expand per-vessel customer lifetime value (LTV).</w:t>
      </w:r>
    </w:p>
    <w:p>
      <w:pPr>
        <w:pStyle w:val="Heading1"/>
        <w:pBdr>
          <w:bottom w:val="single" w:color="0E7C7B" w:sz="8" w:space="4"/>
        </w:pBdr>
        <w:spacing w:after="200" w:before="420"/>
      </w:pPr>
      <w:r>
        <w:rPr>
          <w:rFonts w:ascii="Calibri" w:cs="Calibri" w:eastAsia="Calibri" w:hAnsi="Calibri"/>
          <w:b/>
          <w:bCs/>
          <w:color w:val="0B2545"/>
          <w:sz w:val="30"/>
          <w:szCs w:val="30"/>
        </w:rPr>
        <w:t xml:space="preserve">9. Product Roadmap</w:t>
      </w:r>
    </w:p>
    <w:p>
      <w:pPr>
        <w:spacing w:after="160" w:line="276"/>
      </w:pPr>
      <w:r>
        <w:rPr>
          <w:rFonts w:ascii="Calibri" w:cs="Calibri" w:eastAsia="Calibri" w:hAnsi="Calibri"/>
          <w:color w:val="1C2530"/>
          <w:sz w:val="21"/>
          <w:szCs w:val="21"/>
        </w:rPr>
        <w:t xml:space="preserve">PredSea's engineering and product roadmap is designed to move systematically from high-resolution distribution to deep value-added optimization over the funded 12-month period:</w:t>
      </w:r>
    </w:p>
    <w:p>
      <w:pPr>
        <w:pStyle w:val="Heading2"/>
        <w:spacing w:after="140" w:before="280"/>
      </w:pPr>
      <w:r>
        <w:rPr>
          <w:rFonts w:ascii="Calibri" w:cs="Calibri" w:eastAsia="Calibri" w:hAnsi="Calibri"/>
          <w:b/>
          <w:bCs/>
          <w:color w:val="0E7C7B"/>
          <w:sz w:val="24"/>
          <w:szCs w:val="24"/>
        </w:rPr>
        <w:t xml:space="preserve">Months 1–6 (The Sprint) — Commercial Hardening &amp; Scale</w:t>
      </w:r>
    </w:p>
    <w:p>
      <w:pPr>
        <w:pStyle w:val="ListParagraph"/>
        <w:numPr>
          <w:ilvl w:val="0"/>
          <w:numId w:val="2"/>
        </w:numPr>
        <w:spacing w:after="90" w:line="264"/>
      </w:pPr>
      <w:r>
        <w:rPr>
          <w:rFonts w:ascii="Calibri" w:cs="Calibri" w:eastAsia="Calibri" w:hAnsi="Calibri"/>
          <w:b/>
          <w:bCs/>
          <w:color w:val="1C2530"/>
          <w:sz w:val="21"/>
          <w:szCs w:val="21"/>
        </w:rPr>
        <w:t xml:space="preserve">Core Product Hardening: Refine and scale the core €49/month WhatsApp-native conversational bot for instant place- and route-based weather briefings.</w:t>
      </w:r>
    </w:p>
    <w:p>
      <w:pPr>
        <w:pStyle w:val="ListParagraph"/>
        <w:numPr>
          <w:ilvl w:val="0"/>
          <w:numId w:val="2"/>
        </w:numPr>
        <w:spacing w:after="90" w:line="264"/>
      </w:pPr>
      <w:r>
        <w:rPr>
          <w:rFonts w:ascii="Calibri" w:cs="Calibri" w:eastAsia="Calibri" w:hAnsi="Calibri"/>
          <w:b/>
          <w:bCs/>
          <w:color w:val="1C2530"/>
          <w:sz w:val="21"/>
          <w:szCs w:val="21"/>
        </w:rPr>
        <w:t xml:space="preserve">AI-Automated Marketing Pipelines: Deploy Matt's automated marketing funnels, integrating interactive web widgets (Leaflet-based sea-state maps) into partner sites to build a robust B2B lead list ahead of the show circuit.</w:t>
      </w:r>
    </w:p>
    <w:p>
      <w:pPr>
        <w:pStyle w:val="ListParagraph"/>
        <w:numPr>
          <w:ilvl w:val="0"/>
          <w:numId w:val="2"/>
        </w:numPr>
        <w:spacing w:after="90" w:line="264"/>
      </w:pPr>
      <w:r>
        <w:rPr>
          <w:rFonts w:ascii="Calibri" w:cs="Calibri" w:eastAsia="Calibri" w:hAnsi="Calibri"/>
          <w:b/>
          <w:bCs/>
          <w:color w:val="1C2530"/>
          <w:sz w:val="21"/>
          <w:szCs w:val="21"/>
        </w:rPr>
        <w:t xml:space="preserve">Regional Expansion: Formalize port registries and route networks across the wider Western Med basin (Balearics to Sicily) to ensure complete coverage for boat show prospects.</w:t>
      </w:r>
    </w:p>
    <w:p>
      <w:pPr>
        <w:pStyle w:val="Heading2"/>
        <w:spacing w:after="140" w:before="280"/>
      </w:pPr>
      <w:r>
        <w:rPr>
          <w:rFonts w:ascii="Calibri" w:cs="Calibri" w:eastAsia="Calibri" w:hAnsi="Calibri"/>
          <w:b/>
          <w:bCs/>
          <w:color w:val="0E7C7B"/>
          <w:sz w:val="24"/>
          <w:szCs w:val="24"/>
        </w:rPr>
        <w:t xml:space="preserve">Months 6–12 (The Scale) — Advanced Feature Gates</w:t>
      </w:r>
    </w:p>
    <w:p>
      <w:pPr>
        <w:pStyle w:val="ListParagraph"/>
        <w:numPr>
          <w:ilvl w:val="0"/>
          <w:numId w:val="2"/>
        </w:numPr>
        <w:spacing w:after="90" w:line="264"/>
      </w:pPr>
      <w:r>
        <w:rPr>
          <w:rFonts w:ascii="Calibri" w:cs="Calibri" w:eastAsia="Calibri" w:hAnsi="Calibri"/>
          <w:b/>
          <w:bCs/>
          <w:color w:val="1C2530"/>
          <w:sz w:val="21"/>
          <w:szCs w:val="21"/>
        </w:rPr>
        <w:t xml:space="preserve">Extended Forecast Horizons: Expand our coupled atmospheric and wave simulations from 120 hours out to a 240-hour mid-range planning grid for long-range charter booking planning.</w:t>
      </w:r>
    </w:p>
    <w:p>
      <w:pPr>
        <w:pStyle w:val="ListParagraph"/>
        <w:numPr>
          <w:ilvl w:val="0"/>
          <w:numId w:val="2"/>
        </w:numPr>
        <w:spacing w:after="90" w:line="264"/>
      </w:pPr>
      <w:r>
        <w:rPr>
          <w:rFonts w:ascii="Calibri" w:cs="Calibri" w:eastAsia="Calibri" w:hAnsi="Calibri"/>
          <w:b/>
          <w:bCs/>
          <w:color w:val="1C2530"/>
          <w:sz w:val="21"/>
          <w:szCs w:val="21"/>
        </w:rPr>
        <w:t xml:space="preserve">Dynamic, Wave- &amp; Current-Optimized Routing: Introduce our advanced routing engine that factors in real-time CROCO current fields and SWAN wave resistance to optimize for fuel efficiency, emission reductions, and passenger comfort.</w:t>
      </w:r>
    </w:p>
    <w:p>
      <w:pPr>
        <w:pStyle w:val="ListParagraph"/>
        <w:numPr>
          <w:ilvl w:val="0"/>
          <w:numId w:val="2"/>
        </w:numPr>
        <w:spacing w:after="90" w:line="264"/>
      </w:pPr>
      <w:r>
        <w:rPr>
          <w:rFonts w:ascii="Calibri" w:cs="Calibri" w:eastAsia="Calibri" w:hAnsi="Calibri"/>
          <w:b/>
          <w:bCs/>
          <w:color w:val="1C2530"/>
          <w:sz w:val="21"/>
          <w:szCs w:val="21"/>
        </w:rPr>
        <w:t xml:space="preserve">Corporate/Fleet Billing: Deploy central fleet-management consoles with centralized multi-vessel volume billing and customized priority support SLAs.</w:t>
      </w:r>
    </w:p>
    <w:p>
      <w:pPr>
        <w:pStyle w:val="Heading2"/>
        <w:spacing w:after="140" w:before="280"/>
      </w:pPr>
      <w:r>
        <w:rPr>
          <w:rFonts w:ascii="Calibri" w:cs="Calibri" w:eastAsia="Calibri" w:hAnsi="Calibri"/>
          <w:b/>
          <w:bCs/>
          <w:color w:val="0E7C7B"/>
          <w:sz w:val="24"/>
          <w:szCs w:val="24"/>
        </w:rPr>
        <w:t xml:space="preserve">Future Horizon — Long-Term Defensibility</w:t>
      </w:r>
    </w:p>
    <w:p>
      <w:pPr>
        <w:pStyle w:val="ListParagraph"/>
        <w:numPr>
          <w:ilvl w:val="0"/>
          <w:numId w:val="2"/>
        </w:numPr>
        <w:spacing w:after="90" w:line="264"/>
      </w:pPr>
      <w:r>
        <w:rPr>
          <w:rFonts w:ascii="Calibri" w:cs="Calibri" w:eastAsia="Calibri" w:hAnsi="Calibri"/>
          <w:b/>
          <w:bCs/>
          <w:color w:val="1C2530"/>
          <w:sz w:val="21"/>
          <w:szCs w:val="21"/>
        </w:rPr>
        <w:t xml:space="preserve">Machine Learning Bias Calibration: A real-time ML calibration engine that learns from accumulated observation-vs-model evidence to progressively reduce prediction error over our entire simulation domain.</w:t>
      </w:r>
    </w:p>
    <w:p>
      <w:pPr>
        <w:pStyle w:val="Heading1"/>
        <w:pBdr>
          <w:bottom w:val="single" w:color="0E7C7B" w:sz="8" w:space="4"/>
        </w:pBdr>
        <w:spacing w:after="200" w:before="420"/>
      </w:pPr>
      <w:r>
        <w:rPr>
          <w:rFonts w:ascii="Calibri" w:cs="Calibri" w:eastAsia="Calibri" w:hAnsi="Calibri"/>
          <w:b/>
          <w:bCs/>
          <w:color w:val="0B2545"/>
          <w:sz w:val="30"/>
          <w:szCs w:val="30"/>
        </w:rPr>
        <w:t xml:space="preserve">10. Competitive Landscape</w:t>
      </w:r>
    </w:p>
    <w:p>
      <w:pPr>
        <w:spacing w:after="160" w:line="276"/>
      </w:pPr>
      <w:r>
        <w:rPr>
          <w:rFonts w:ascii="Calibri" w:cs="Calibri" w:eastAsia="Calibri" w:hAnsi="Calibri"/>
          <w:color w:val="1C2530"/>
          <w:sz w:val="21"/>
          <w:szCs w:val="21"/>
        </w:rPr>
        <w:t xml:space="preserve">The marine weather and navigation space includes large incumbents (Navionics/Garmin, PredictWind, Windy) and a growing set of AI-native entrants. Most of these either consume coarse global forecast products or focus on clunky visual dashboards that force captains to spend hours toggling layers and lines. PredSea represents a fundamental shift: we are an AI First Mate that queries high-resolution coupled simulations directly and replies in human language, completely eliminating the dashboard friction.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650"/>
      </w:tblGrid>
      <w:tr>
        <w:trPr>
          <w:tblHeader/>
        </w:trPr>
        <w:tc>
          <w:tcPr>
            <w:tcW w:type="dxa" w:w="1900"/>
            <w:shd w:fill="0B2545"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Dimension</w:t>
            </w:r>
          </w:p>
        </w:tc>
        <w:tc>
          <w:tcPr>
            <w:tcW w:type="dxa" w:w="3800"/>
            <w:shd w:fill="0B2545"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Global Incumbents</w:t>
            </w:r>
          </w:p>
        </w:tc>
        <w:tc>
          <w:tcPr>
            <w:tcW w:type="dxa" w:w="3650"/>
            <w:shd w:fill="0B2545"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PredSea AI First Mate</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Onboarding Friction</w:t>
            </w:r>
          </w:p>
        </w:tc>
        <w:tc>
          <w:tcPr>
            <w:tcW w:type="dxa" w:w="38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High; requires app downloads, account registrations, and logins</w:t>
            </w:r>
          </w:p>
        </w:tc>
        <w:tc>
          <w:tcPr>
            <w:tcW w:type="dxa" w:w="36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Zero; instant WhatsApp conversational chat</w:t>
            </w:r>
          </w:p>
        </w:tc>
      </w:tr>
      <w:tr>
        <w:tc>
          <w:tcPr>
            <w:tcW w:type="dxa" w:w="1900"/>
            <w:shd w:fill="EAF0F1"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User Experience</w:t>
            </w:r>
          </w:p>
        </w:tc>
        <w:tc>
          <w:tcPr>
            <w:tcW w:type="dxa" w:w="380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Complex dashboards; captain must manually interpret maps</w:t>
            </w:r>
          </w:p>
        </w:tc>
        <w:tc>
          <w:tcPr>
            <w:tcW w:type="dxa" w:w="365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AI-driven; natural-language briefings and direct recommendations</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Forecast Source</w:t>
            </w:r>
          </w:p>
        </w:tc>
        <w:tc>
          <w:tcPr>
            <w:tcW w:type="dxa" w:w="38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Repackaged global models (GFS-class, ~25km grids)</w:t>
            </w:r>
          </w:p>
        </w:tc>
        <w:tc>
          <w:tcPr>
            <w:tcW w:type="dxa" w:w="36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Own regional physics stack (WRF 4km / SWAN 1km / CROCO 1km)</w:t>
            </w:r>
          </w:p>
        </w:tc>
      </w:tr>
      <w:tr>
        <w:tc>
          <w:tcPr>
            <w:tcW w:type="dxa" w:w="1900"/>
            <w:shd w:fill="EAF0F1"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Validation</w:t>
            </w:r>
          </w:p>
        </w:tc>
        <w:tc>
          <w:tcPr>
            <w:tcW w:type="dxa" w:w="380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No real-time observational validation or bias correction</w:t>
            </w:r>
          </w:p>
        </w:tc>
        <w:tc>
          <w:tcPr>
            <w:tcW w:type="dxa" w:w="365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Hourly observational correction vs. AEMET, SOCIB, Puertos del Estado</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CAC-to-LTV Model</w:t>
            </w:r>
          </w:p>
        </w:tc>
        <w:tc>
          <w:tcPr>
            <w:tcW w:type="dxa" w:w="38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High marketing spend; poor organic expansion in local basins</w:t>
            </w:r>
          </w:p>
        </w:tc>
        <w:tc>
          <w:tcPr>
            <w:tcW w:type="dxa" w:w="36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Exceptional viral coefficient; direct word-of-mouth inside WhatsApp</w:t>
            </w:r>
          </w:p>
        </w:tc>
      </w:tr>
    </w:tbl>
    <w:p>
      <w:pPr>
        <w:spacing w:after="120"/>
      </w:pPr>
    </w:p>
    <w:p>
      <w:pPr>
        <w:spacing w:after="160" w:line="276"/>
      </w:pPr>
      <w:r>
        <w:rPr>
          <w:rFonts w:ascii="Calibri" w:cs="Calibri" w:eastAsia="Calibri" w:hAnsi="Calibri"/>
          <w:color w:val="1C2530"/>
          <w:sz w:val="21"/>
          <w:szCs w:val="21"/>
        </w:rPr>
        <w:t xml:space="preserve">Our defensibility rests on the combination of these factors, not any one alone: a regional physics stack most competitors have no reason to build for a basin this size, an institutional observation partnership (SOCIB) that is not easily replicated, and a distribution channel (WhatsApp/Relay) that removes the adoption friction of app-based competitors.</w:t>
      </w:r>
    </w:p>
    <w:p>
      <w:pPr>
        <w:pStyle w:val="Heading1"/>
        <w:pBdr>
          <w:bottom w:val="single" w:color="0E7C7B" w:sz="8" w:space="4"/>
        </w:pBdr>
        <w:spacing w:after="200" w:before="420"/>
      </w:pPr>
      <w:r>
        <w:rPr>
          <w:rFonts w:ascii="Calibri" w:cs="Calibri" w:eastAsia="Calibri" w:hAnsi="Calibri"/>
          <w:b/>
          <w:bCs/>
          <w:color w:val="0B2545"/>
          <w:sz w:val="30"/>
          <w:szCs w:val="30"/>
        </w:rPr>
        <w:t xml:space="preserve">11. Team</w:t>
      </w:r>
    </w:p>
    <w:p>
      <w:pPr>
        <w:pStyle w:val="Heading2"/>
        <w:spacing w:after="140" w:before="280"/>
      </w:pPr>
      <w:r>
        <w:rPr>
          <w:rFonts w:ascii="Calibri" w:cs="Calibri" w:eastAsia="Calibri" w:hAnsi="Calibri"/>
          <w:b/>
          <w:bCs/>
          <w:color w:val="0E7C7B"/>
          <w:sz w:val="24"/>
          <w:szCs w:val="24"/>
        </w:rPr>
        <w:t xml:space="preserve">Charles — Founder &amp; Technical Lead</w:t>
      </w:r>
    </w:p>
    <w:p>
      <w:pPr>
        <w:spacing w:after="160" w:line="276"/>
      </w:pPr>
      <w:r>
        <w:rPr>
          <w:rFonts w:ascii="Calibri" w:cs="Calibri" w:eastAsia="Calibri" w:hAnsi="Calibri"/>
          <w:color w:val="1C2530"/>
          <w:sz w:val="21"/>
          <w:szCs w:val="21"/>
        </w:rPr>
        <w:t xml:space="preserve">PhD in climate/oceanography with extensive experience leading technical development, applied ML, and generative-AI systems. His prior startup experience as co-founder of Kultrip spanned complex product engineering, AI-leveraged operational workflows, and marketing. At PredSea, Charles serves as Technical Lead, designing and building our proprietary high-resolution regional coupled models, data pipelines, and API stack, while drawing on his prior co-founding experience at Kultrip where he scaled product engineering and AI-leveraged operational workflows.</w:t>
      </w:r>
    </w:p>
    <w:p>
      <w:pPr>
        <w:pStyle w:val="Heading2"/>
        <w:spacing w:after="140" w:before="280"/>
      </w:pPr>
      <w:r>
        <w:rPr>
          <w:rFonts w:ascii="Calibri" w:cs="Calibri" w:eastAsia="Calibri" w:hAnsi="Calibri"/>
          <w:b/>
          <w:bCs/>
          <w:color w:val="0E7C7B"/>
          <w:sz w:val="24"/>
          <w:szCs w:val="24"/>
        </w:rPr>
        <w:t xml:space="preserve">Graham Wilkinson — Maritime Advisor</w:t>
      </w:r>
    </w:p>
    <w:p>
      <w:pPr>
        <w:spacing w:after="160" w:line="276"/>
      </w:pPr>
      <w:r>
        <w:rPr>
          <w:rFonts w:ascii="Calibri" w:cs="Calibri" w:eastAsia="Calibri" w:hAnsi="Calibri"/>
          <w:color w:val="1C2530"/>
          <w:sz w:val="21"/>
          <w:szCs w:val="21"/>
        </w:rPr>
        <w:t xml:space="preserve">25-plus years as a professional yacht captain. Serves as maritime advisor and social-proof anchor for the platform, and is a key relationship-holder into the charter-fleet and captain networks PredSea's go-to-market depends on.</w:t>
      </w:r>
    </w:p>
    <w:p>
      <w:pPr>
        <w:pStyle w:val="Heading2"/>
        <w:spacing w:after="140" w:before="280"/>
      </w:pPr>
      <w:r>
        <w:rPr>
          <w:rFonts w:ascii="Calibri" w:cs="Calibri" w:eastAsia="Calibri" w:hAnsi="Calibri"/>
          <w:b/>
          <w:bCs/>
          <w:color w:val="0E7C7B"/>
          <w:sz w:val="24"/>
          <w:szCs w:val="24"/>
        </w:rPr>
        <w:t xml:space="preserve">Matt Bullamore — Product &amp; AI Marketing Lead</w:t>
      </w:r>
    </w:p>
    <w:p>
      <w:pPr>
        <w:spacing w:after="160" w:line="276"/>
      </w:pPr>
      <w:r>
        <w:rPr>
          <w:rFonts w:ascii="Calibri" w:cs="Calibri" w:eastAsia="Calibri" w:hAnsi="Calibri"/>
          <w:color w:val="1C2530"/>
          <w:sz w:val="21"/>
          <w:szCs w:val="21"/>
        </w:rPr>
        <w:t xml:space="preserve">Leads product development and builds the Relay platform — the conversational infrastructure that powers PredSea's WhatsApp interface. Matt brings a deep, proven background in running AI-leveraged automated marketing workflows, which he will deploy to scale low-cost, high-velocity B2B customer acquisition efficiently alongside his core product responsibilities.</w:t>
      </w:r>
    </w:p>
    <w:p>
      <w:pPr>
        <w:pStyle w:val="Heading2"/>
        <w:spacing w:after="140" w:before="280"/>
      </w:pPr>
      <w:r>
        <w:rPr>
          <w:rFonts w:ascii="Calibri" w:cs="Calibri" w:eastAsia="Calibri" w:hAnsi="Calibri"/>
          <w:b/>
          <w:bCs/>
          <w:color w:val="0E7C7B"/>
          <w:sz w:val="24"/>
          <w:szCs w:val="24"/>
        </w:rPr>
        <w:t xml:space="preserve">Kobe — Developer</w:t>
      </w:r>
    </w:p>
    <w:p>
      <w:pPr>
        <w:spacing w:after="160" w:line="276"/>
      </w:pPr>
      <w:r>
        <w:rPr>
          <w:rFonts w:ascii="Calibri" w:cs="Calibri" w:eastAsia="Calibri" w:hAnsi="Calibri"/>
          <w:color w:val="1C2530"/>
          <w:sz w:val="21"/>
          <w:szCs w:val="21"/>
        </w:rPr>
        <w:t xml:space="preserve">Focused on the Relay conversational platform and its integration with PredSea's forecast and routing APIs.</w:t>
      </w:r>
    </w:p>
    <w:p>
      <w:pPr>
        <w:pStyle w:val="Heading2"/>
        <w:spacing w:after="140" w:before="280"/>
      </w:pPr>
      <w:r>
        <w:rPr>
          <w:rFonts w:ascii="Calibri" w:cs="Calibri" w:eastAsia="Calibri" w:hAnsi="Calibri"/>
          <w:b/>
          <w:bCs/>
          <w:color w:val="0E7C7B"/>
          <w:sz w:val="24"/>
          <w:szCs w:val="24"/>
        </w:rPr>
        <w:t xml:space="preserve">Institutional &amp; Ecosystem Partnerships</w:t>
      </w:r>
    </w:p>
    <w:p>
      <w:pPr>
        <w:pStyle w:val="ListParagraph"/>
        <w:numPr>
          <w:ilvl w:val="0"/>
          <w:numId w:val="2"/>
        </w:numPr>
        <w:spacing w:after="90" w:line="264"/>
      </w:pPr>
      <w:r>
        <w:rPr>
          <w:rFonts w:ascii="Calibri" w:cs="Calibri" w:eastAsia="Calibri" w:hAnsi="Calibri"/>
          <w:b/>
          <w:bCs/>
          <w:color w:val="1C2530"/>
          <w:sz w:val="21"/>
          <w:szCs w:val="21"/>
        </w:rPr>
        <w:t xml:space="preserve">SOCIB (Balearic Islands Coastal Observing System): Institutional data partnership providing access to deep-sea buoy, coastal radar, glider telemetry, and local oceanographic research.</w:t>
      </w:r>
    </w:p>
    <w:p>
      <w:pPr>
        <w:pStyle w:val="ListParagraph"/>
        <w:numPr>
          <w:ilvl w:val="0"/>
          <w:numId w:val="2"/>
        </w:numPr>
        <w:spacing w:after="90" w:line="264"/>
      </w:pPr>
      <w:r>
        <w:rPr>
          <w:rFonts w:ascii="Calibri" w:cs="Calibri" w:eastAsia="Calibri" w:hAnsi="Calibri"/>
          <w:b/>
          <w:bCs/>
          <w:color w:val="1C2530"/>
          <w:sz w:val="21"/>
          <w:szCs w:val="21"/>
        </w:rPr>
        <w:t xml:space="preserve">Yachting Ventures: Premier ecosystem partner granting access to a global maritime startup community of 20,000+ industry professionals, captains, and potential B2B fleet buyers.</w:t>
      </w:r>
    </w:p>
    <w:p>
      <w:pPr>
        <w:pStyle w:val="Heading1"/>
        <w:pBdr>
          <w:bottom w:val="single" w:color="0E7C7B" w:sz="8" w:space="4"/>
        </w:pBdr>
        <w:spacing w:after="200" w:before="420"/>
      </w:pPr>
      <w:r>
        <w:rPr>
          <w:rFonts w:ascii="Calibri" w:cs="Calibri" w:eastAsia="Calibri" w:hAnsi="Calibri"/>
          <w:b/>
          <w:bCs/>
          <w:color w:val="0B2545"/>
          <w:sz w:val="30"/>
          <w:szCs w:val="30"/>
        </w:rPr>
        <w:t xml:space="preserve">12.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5450"/>
      </w:tblGrid>
      <w:tr>
        <w:trPr>
          <w:tblHeader/>
        </w:trPr>
        <w:tc>
          <w:tcPr>
            <w:tcW w:type="dxa" w:w="3900"/>
            <w:shd w:fill="0B2545"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Risk</w:t>
            </w:r>
          </w:p>
        </w:tc>
        <w:tc>
          <w:tcPr>
            <w:tcW w:type="dxa" w:w="5450"/>
            <w:shd w:fill="0B2545"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Mitigation</w:t>
            </w:r>
          </w:p>
        </w:tc>
      </w:tr>
      <w:tr>
        <w:tc>
          <w:tcPr>
            <w:tcW w:type="dxa" w:w="3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Model accuracy claims outpace independent validation against real buoy data</w:t>
            </w:r>
          </w:p>
        </w:tc>
        <w:tc>
          <w:tcPr>
            <w:tcW w:type="dxa" w:w="54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Ongoing evidence-row comparison against SOCIB/AEMET/Puertos observations; conservative, validated claims before wider marketing</w:t>
            </w:r>
          </w:p>
        </w:tc>
      </w:tr>
      <w:tr>
        <w:tc>
          <w:tcPr>
            <w:tcW w:type="dxa" w:w="3900"/>
            <w:shd w:fill="EAF0F1"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Dependence on third-party data feeds (AEMET, CMEMS, SOCIB, EMODnet)</w:t>
            </w:r>
          </w:p>
        </w:tc>
        <w:tc>
          <w:tcPr>
            <w:tcW w:type="dxa" w:w="545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Multi-source ingestion with redundancy; institutional partnership status with SOCIB rather than a purely commercial API dependency</w:t>
            </w:r>
          </w:p>
        </w:tc>
      </w:tr>
      <w:tr>
        <w:tc>
          <w:tcPr>
            <w:tcW w:type="dxa" w:w="3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Key-person dependency across a small founding team</w:t>
            </w:r>
          </w:p>
        </w:tc>
        <w:tc>
          <w:tcPr>
            <w:tcW w:type="dxa" w:w="54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Formalizing equity/compensation and role definition ahead of scaling; hiring plan funded by this round</w:t>
            </w:r>
          </w:p>
        </w:tc>
      </w:tr>
      <w:tr>
        <w:tc>
          <w:tcPr>
            <w:tcW w:type="dxa" w:w="3900"/>
            <w:shd w:fill="EAF0F1"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Weather-liability exposure for navigation-relevant advice</w:t>
            </w:r>
          </w:p>
        </w:tc>
        <w:tc>
          <w:tcPr>
            <w:tcW w:type="dxa" w:w="545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Clear terms of service and disclaimers consistent with industry-standard marine weather products; official alerts remain the authoritative safety layer</w:t>
            </w:r>
          </w:p>
        </w:tc>
      </w:tr>
      <w:tr>
        <w:tc>
          <w:tcPr>
            <w:tcW w:type="dxa" w:w="3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Seasonal revenue concentration (Mediterranean charter season)</w:t>
            </w:r>
          </w:p>
        </w:tc>
        <w:tc>
          <w:tcPr>
            <w:tcW w:type="dxa" w:w="54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Enterprise/Cargo and Developer API tiers target less seasonal, commercial demand; geographic expansion diversifies seasonality over time</w:t>
            </w:r>
          </w:p>
        </w:tc>
      </w:tr>
    </w:tbl>
    <w:p>
      <w:pPr>
        <w:pStyle w:val="Heading1"/>
        <w:pBdr>
          <w:bottom w:val="single" w:color="0E7C7B" w:sz="8" w:space="4"/>
        </w:pBdr>
        <w:spacing w:after="200" w:before="420"/>
      </w:pPr>
      <w:r>
        <w:rPr>
          <w:rFonts w:ascii="Calibri" w:cs="Calibri" w:eastAsia="Calibri" w:hAnsi="Calibri"/>
          <w:b/>
          <w:bCs/>
          <w:color w:val="0B2545"/>
          <w:sz w:val="30"/>
          <w:szCs w:val="30"/>
        </w:rPr>
        <w:t xml:space="preserve">13. Financial Projections &amp; Funding Roadmap</w:t>
      </w:r>
    </w:p>
    <w:p>
      <w:pPr>
        <w:spacing w:after="160" w:line="276"/>
      </w:pPr>
      <w:r>
        <w:rPr>
          <w:rFonts w:ascii="Calibri" w:cs="Calibri" w:eastAsia="Calibri" w:hAnsi="Calibri"/>
          <w:color w:val="1C2530"/>
          <w:sz w:val="21"/>
          <w:szCs w:val="21"/>
        </w:rPr>
        <w:t xml:space="preserve">This section outlines a venture-backed growth trajectory designed to scale PredSea into a high-value deep-tech acquisition target. By securing an initial seed round, we will prove core SaaS metrics in our Balearic beachhead before raising a major Series A to drive rapid multi-basin expansion and scale ARR to over €3.0M by Year 3.</w:t>
      </w:r>
    </w:p>
    <w:p>
      <w:pPr>
        <w:pStyle w:val="Heading2"/>
        <w:spacing w:after="140" w:before="280"/>
      </w:pPr>
      <w:r>
        <w:rPr>
          <w:rFonts w:ascii="Calibri" w:cs="Calibri" w:eastAsia="Calibri" w:hAnsi="Calibri"/>
          <w:b/>
          <w:bCs/>
          <w:color w:val="0E7C7B"/>
          <w:sz w:val="24"/>
          <w:szCs w:val="24"/>
        </w:rPr>
        <w:t xml:space="preserve">13.1 The Funding Roadmap</w:t>
      </w:r>
    </w:p>
    <w:p>
      <w:pPr>
        <w:pStyle w:val="ListParagraph"/>
        <w:numPr>
          <w:ilvl w:val="0"/>
          <w:numId w:val="2"/>
        </w:numPr>
        <w:spacing w:after="90" w:line="264"/>
      </w:pPr>
      <w:r>
        <w:rPr>
          <w:rFonts w:ascii="Calibri" w:cs="Calibri" w:eastAsia="Calibri" w:hAnsi="Calibri"/>
          <w:b/>
          <w:bCs/>
          <w:color w:val="1C2530"/>
          <w:sz w:val="21"/>
          <w:szCs w:val="21"/>
        </w:rPr>
        <w:t xml:space="preserve">Seed Round (€350,000 - Current Ask): Establishes a 12-month runway to complete the Balearic pilot, convert our initial fleet subscribers, and prove a highly repeatable B2B SaaS CAC-to-LTV model with zero-friction WhatsApp distribution.</w:t>
      </w:r>
    </w:p>
    <w:p>
      <w:pPr>
        <w:pStyle w:val="ListParagraph"/>
        <w:numPr>
          <w:ilvl w:val="0"/>
          <w:numId w:val="2"/>
        </w:numPr>
        <w:spacing w:after="90" w:line="264"/>
      </w:pPr>
      <w:r>
        <w:rPr>
          <w:rFonts w:ascii="Calibri" w:cs="Calibri" w:eastAsia="Calibri" w:hAnsi="Calibri"/>
          <w:b/>
          <w:bCs/>
          <w:color w:val="1C2530"/>
          <w:sz w:val="21"/>
          <w:szCs w:val="21"/>
        </w:rPr>
        <w:t xml:space="preserve">Series A Round (€3.0M–€4.0M - July 2027): Target raise in exactly 12 months to fund global domain simulation expansion, scale our proprietary machine learning/physics coupling engineering team, and build a dedicated international enterprise sales engine.</w:t>
      </w:r>
    </w:p>
    <w:p>
      <w:pPr>
        <w:pStyle w:val="Heading2"/>
        <w:spacing w:after="140" w:before="280"/>
      </w:pPr>
      <w:r>
        <w:rPr>
          <w:rFonts w:ascii="Calibri" w:cs="Calibri" w:eastAsia="Calibri" w:hAnsi="Calibri"/>
          <w:b/>
          <w:bCs/>
          <w:color w:val="0E7C7B"/>
          <w:sz w:val="24"/>
          <w:szCs w:val="24"/>
        </w:rPr>
        <w:t xml:space="preserve">13.2 Three-Year Financial &amp; Operational Projections</w:t>
      </w:r>
    </w:p>
    <w:p>
      <w:pPr>
        <w:spacing w:after="160" w:line="276"/>
      </w:pPr>
      <w:r>
        <w:rPr>
          <w:rFonts w:ascii="Calibri" w:cs="Calibri" w:eastAsia="Calibri" w:hAnsi="Calibri"/>
          <w:color w:val="1C2530"/>
          <w:sz w:val="21"/>
          <w:szCs w:val="21"/>
        </w:rPr>
        <w:t xml:space="preserve">To reflect the Series A capital acceleration, we have integrated rapid budget scaling (Year 2 burn at €2.1M, Year 3 burn at €3.2M) and hyper-aggressive revenue expansion. Hitting over €3M in Year 3 ARR at high SaaS gross margins positions the business perfectly for a high-value exit by Year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300"/>
        <w:gridCol w:w="2550"/>
      </w:tblGrid>
      <w:tr>
        <w:trPr>
          <w:tblHeader/>
        </w:trPr>
        <w:tc>
          <w:tcPr>
            <w:tcW w:type="dxa" w:w="2400"/>
            <w:shd w:fill="0B2545"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Metric</w:t>
            </w:r>
          </w:p>
        </w:tc>
        <w:tc>
          <w:tcPr>
            <w:tcW w:type="dxa" w:w="2100"/>
            <w:shd w:fill="0B2545"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Year 1 (Pilot/Seed)</w:t>
            </w:r>
          </w:p>
        </w:tc>
        <w:tc>
          <w:tcPr>
            <w:tcW w:type="dxa" w:w="2300"/>
            <w:shd w:fill="0B2545"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Year 2 (Series A Scale)</w:t>
            </w:r>
          </w:p>
        </w:tc>
        <w:tc>
          <w:tcPr>
            <w:tcW w:type="dxa" w:w="2550"/>
            <w:shd w:fill="0B2545"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Year 3 (Global Dominance)</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Active Contracted Vessels</w:t>
            </w:r>
          </w:p>
        </w:tc>
        <w:tc>
          <w:tcPr>
            <w:tcW w:type="dxa" w:w="21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100</w:t>
            </w:r>
          </w:p>
        </w:tc>
        <w:tc>
          <w:tcPr>
            <w:tcW w:type="dxa" w:w="23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1,050</w:t>
            </w:r>
          </w:p>
        </w:tc>
        <w:tc>
          <w:tcPr>
            <w:tcW w:type="dxa" w:w="25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5,200</w:t>
            </w:r>
          </w:p>
        </w:tc>
      </w:tr>
      <w:tr>
        <w:tc>
          <w:tcPr>
            <w:tcW w:type="dxa" w:w="2400"/>
            <w:shd w:fill="EAF0F1"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Average SaaS Price / Vessel</w:t>
            </w:r>
          </w:p>
        </w:tc>
        <w:tc>
          <w:tcPr>
            <w:tcW w:type="dxa" w:w="210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€49 / month</w:t>
            </w:r>
          </w:p>
        </w:tc>
        <w:tc>
          <w:tcPr>
            <w:tcW w:type="dxa" w:w="230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€49 / month</w:t>
            </w:r>
          </w:p>
        </w:tc>
        <w:tc>
          <w:tcPr>
            <w:tcW w:type="dxa" w:w="255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€49 / month</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Annual Recurring Revenue (ARR)</w:t>
            </w:r>
          </w:p>
        </w:tc>
        <w:tc>
          <w:tcPr>
            <w:tcW w:type="dxa" w:w="21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€58,800</w:t>
            </w:r>
          </w:p>
        </w:tc>
        <w:tc>
          <w:tcPr>
            <w:tcW w:type="dxa" w:w="23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€617,400</w:t>
            </w:r>
          </w:p>
        </w:tc>
        <w:tc>
          <w:tcPr>
            <w:tcW w:type="dxa" w:w="25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€3,057,600</w:t>
            </w:r>
          </w:p>
        </w:tc>
      </w:tr>
      <w:tr>
        <w:tc>
          <w:tcPr>
            <w:tcW w:type="dxa" w:w="2400"/>
            <w:shd w:fill="EAF0F1"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Annual Personnel &amp; Ops (Burn)</w:t>
            </w:r>
          </w:p>
        </w:tc>
        <w:tc>
          <w:tcPr>
            <w:tcW w:type="dxa" w:w="210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€350,000</w:t>
            </w:r>
          </w:p>
        </w:tc>
        <w:tc>
          <w:tcPr>
            <w:tcW w:type="dxa" w:w="230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€2,100,000</w:t>
            </w:r>
          </w:p>
        </w:tc>
        <w:tc>
          <w:tcPr>
            <w:tcW w:type="dxa" w:w="255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€3,200,000</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Strategic Focus</w:t>
            </w:r>
          </w:p>
        </w:tc>
        <w:tc>
          <w:tcPr>
            <w:tcW w:type="dxa" w:w="21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Prove Beachhead &amp; SaaS Metrics</w:t>
            </w:r>
          </w:p>
        </w:tc>
        <w:tc>
          <w:tcPr>
            <w:tcW w:type="dxa" w:w="23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Scale Fleet SaaS &amp; Marketing</w:t>
            </w:r>
          </w:p>
        </w:tc>
        <w:tc>
          <w:tcPr>
            <w:tcW w:type="dxa" w:w="25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Multi-Basin Domain Dominance</w:t>
            </w:r>
          </w:p>
        </w:tc>
      </w:tr>
    </w:tbl>
    <w:p>
      <w:pPr>
        <w:spacing w:after="120"/>
      </w:pPr>
    </w:p>
    <w:p>
      <w:pPr>
        <w:spacing w:after="160" w:line="276"/>
      </w:pPr>
      <w:r>
        <w:rPr>
          <w:rFonts w:ascii="Calibri" w:cs="Calibri" w:eastAsia="Calibri" w:hAnsi="Calibri"/>
          <w:color w:val="1C2530"/>
          <w:sz w:val="21"/>
          <w:szCs w:val="21"/>
        </w:rPr>
        <w:t xml:space="preserve">With high B2B SaaS margins (85%+) and proprietary regional coupled-simulation forecasting IP, achieving over €3.0M in Year 3 ARR positions PredSea for a premium deep-tech multiple (15x–20x ARR), targeting a €45M–€50M+ valuation exit by Year 4.</w:t>
      </w:r>
    </w:p>
    <w:p>
      <w:pPr>
        <w:pStyle w:val="Heading2"/>
        <w:spacing w:after="140" w:before="280"/>
      </w:pPr>
      <w:r>
        <w:rPr>
          <w:rFonts w:ascii="Calibri" w:cs="Calibri" w:eastAsia="Calibri" w:hAnsi="Calibri"/>
          <w:b/>
          <w:bCs/>
          <w:color w:val="0E7C7B"/>
          <w:sz w:val="24"/>
          <w:szCs w:val="24"/>
        </w:rPr>
        <w:t xml:space="preserve">13.3 Seed Round Use of Funds (€350,000)</w:t>
      </w:r>
    </w:p>
    <w:p>
      <w:pPr>
        <w:spacing w:after="160" w:line="276"/>
      </w:pPr>
      <w:r>
        <w:rPr>
          <w:rFonts w:ascii="Calibri" w:cs="Calibri" w:eastAsia="Calibri" w:hAnsi="Calibri"/>
          <w:color w:val="1C2530"/>
          <w:sz w:val="21"/>
          <w:szCs w:val="21"/>
        </w:rPr>
        <w:t xml:space="preserve">The €350,000 seed round is structured transparently across personnel, cloud compute, and enterprise go-to-market to secure Series A readiness: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50"/>
      </w:tblGrid>
      <w:tr>
        <w:trPr>
          <w:tblHeader/>
        </w:trPr>
        <w:tc>
          <w:tcPr>
            <w:tcW w:type="dxa" w:w="2500"/>
            <w:shd w:fill="0B2545"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Category</w:t>
            </w:r>
          </w:p>
        </w:tc>
        <w:tc>
          <w:tcPr>
            <w:tcW w:type="dxa" w:w="2200"/>
            <w:shd w:fill="0B2545"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Annual Allocation (€)</w:t>
            </w:r>
          </w:p>
        </w:tc>
        <w:tc>
          <w:tcPr>
            <w:tcW w:type="dxa" w:w="4650"/>
            <w:shd w:fill="0B2545"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Strategic Detail &amp; Transparency</w:t>
            </w:r>
          </w:p>
        </w:tc>
      </w:tr>
      <w:tr>
        <w:tc>
          <w:tcPr>
            <w:tcW w:type="dxa" w:w="2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Personnel - Charles</w:t>
            </w:r>
          </w:p>
        </w:tc>
        <w:tc>
          <w:tcPr>
            <w:tcW w:type="dxa" w:w="22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65,000</w:t>
            </w:r>
          </w:p>
        </w:tc>
        <w:tc>
          <w:tcPr>
            <w:tcW w:type="dxa" w:w="46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Founder &amp; Technical Lead (modeling, data fusion, and API stack)</w:t>
            </w:r>
          </w:p>
        </w:tc>
      </w:tr>
      <w:tr>
        <w:tc>
          <w:tcPr>
            <w:tcW w:type="dxa" w:w="2500"/>
            <w:shd w:fill="EAF0F1"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Personnel - Graham Wilkinson</w:t>
            </w:r>
          </w:p>
        </w:tc>
        <w:tc>
          <w:tcPr>
            <w:tcW w:type="dxa" w:w="220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65,000</w:t>
            </w:r>
          </w:p>
        </w:tc>
        <w:tc>
          <w:tcPr>
            <w:tcW w:type="dxa" w:w="465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Maritime Captain &amp; Advisor (charter networks, captain introductions)</w:t>
            </w:r>
          </w:p>
        </w:tc>
      </w:tr>
      <w:tr>
        <w:tc>
          <w:tcPr>
            <w:tcW w:type="dxa" w:w="2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Personnel - Matt Bullamore</w:t>
            </w:r>
          </w:p>
        </w:tc>
        <w:tc>
          <w:tcPr>
            <w:tcW w:type="dxa" w:w="22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65,000</w:t>
            </w:r>
          </w:p>
        </w:tc>
        <w:tc>
          <w:tcPr>
            <w:tcW w:type="dxa" w:w="46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Product &amp; AI Marketing (product development, AI-driven automated low-cost customer acquisition)</w:t>
            </w:r>
          </w:p>
        </w:tc>
      </w:tr>
      <w:tr>
        <w:tc>
          <w:tcPr>
            <w:tcW w:type="dxa" w:w="2500"/>
            <w:shd w:fill="EAF0F1"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Personnel - Kobe</w:t>
            </w:r>
          </w:p>
        </w:tc>
        <w:tc>
          <w:tcPr>
            <w:tcW w:type="dxa" w:w="220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65,000</w:t>
            </w:r>
          </w:p>
        </w:tc>
        <w:tc>
          <w:tcPr>
            <w:tcW w:type="dxa" w:w="465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Core Developer (Relay platform integration and conversational API routing)</w:t>
            </w:r>
          </w:p>
        </w:tc>
      </w:tr>
      <w:tr>
        <w:tc>
          <w:tcPr>
            <w:tcW w:type="dxa" w:w="2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Infrastructure &amp; Compute</w:t>
            </w:r>
          </w:p>
        </w:tc>
        <w:tc>
          <w:tcPr>
            <w:tcW w:type="dxa" w:w="22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35,000</w:t>
            </w:r>
          </w:p>
        </w:tc>
        <w:tc>
          <w:tcPr>
            <w:tcW w:type="dxa" w:w="46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Google for Startups Cloud Program partner ($2k active credit tier in use; a larger credit tier was discussed but not approved at this stage; this budget assumes no further non-dilutive credit)</w:t>
            </w:r>
          </w:p>
        </w:tc>
      </w:tr>
      <w:tr>
        <w:tc>
          <w:tcPr>
            <w:tcW w:type="dxa" w:w="2500"/>
            <w:shd w:fill="EAF0F1"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Marketing &amp; Sales</w:t>
            </w:r>
          </w:p>
        </w:tc>
        <w:tc>
          <w:tcPr>
            <w:tcW w:type="dxa" w:w="220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35,000</w:t>
            </w:r>
          </w:p>
        </w:tc>
        <w:tc>
          <w:tcPr>
            <w:tcW w:type="dxa" w:w="4650"/>
            <w:shd w:fill="EAF0F1"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5 European/US boat shows (Monaco, Barcelona, Netherlands, Genoa, Fort Lauderdale) &amp; lead-gen</w:t>
            </w:r>
          </w:p>
        </w:tc>
      </w:tr>
      <w:tr>
        <w:tc>
          <w:tcPr>
            <w:tcW w:type="dxa" w:w="2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C2530"/>
                <w:sz w:val="20"/>
                <w:szCs w:val="20"/>
              </w:rPr>
              <w:t xml:space="preserve">Working Capital / Contingency</w:t>
            </w:r>
          </w:p>
        </w:tc>
        <w:tc>
          <w:tcPr>
            <w:tcW w:type="dxa" w:w="220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20,000</w:t>
            </w:r>
          </w:p>
        </w:tc>
        <w:tc>
          <w:tcPr>
            <w:tcW w:type="dxa" w:w="4650"/>
            <w:shd w:fill="FFFFFF" w:val="clear"/>
            <w:tcMar>
              <w:top w:type="dxa" w:w="90"/>
              <w:left w:type="dxa" w:w="120"/>
              <w:bottom w:type="dxa" w:w="90"/>
              <w:right w:type="dxa" w:w="120"/>
            </w:tcMar>
            <w:vAlign w:val="center"/>
          </w:tcPr>
          <w:p>
            <w:pPr>
              <w:jc w:val="center"/>
            </w:pPr>
            <w:r>
              <w:rPr>
                <w:rFonts w:ascii="Calibri" w:cs="Calibri" w:eastAsia="Calibri" w:hAnsi="Calibri"/>
                <w:b w:val="false"/>
                <w:bCs w:val="false"/>
                <w:color w:val="1C2530"/>
                <w:sz w:val="20"/>
                <w:szCs w:val="20"/>
              </w:rPr>
              <w:t xml:space="preserve">Strategic operational runway buffer for conversion timeline and pricing risk</w:t>
            </w:r>
          </w:p>
        </w:tc>
      </w:tr>
    </w:tbl>
    <w:p>
      <w:pPr>
        <w:spacing w:after="80"/>
      </w:pPr>
    </w:p>
    <w:p>
      <w:pPr>
        <w:pStyle w:val="Heading2"/>
        <w:spacing w:after="140" w:before="280"/>
      </w:pPr>
      <w:r>
        <w:rPr>
          <w:rFonts w:ascii="Calibri" w:cs="Calibri" w:eastAsia="Calibri" w:hAnsi="Calibri"/>
          <w:b/>
          <w:bCs/>
          <w:color w:val="0E7C7B"/>
          <w:sz w:val="24"/>
          <w:szCs w:val="24"/>
        </w:rPr>
        <w:t xml:space="preserve">13.4 Singular 12-Month Milestone</w:t>
      </w:r>
    </w:p>
    <w:p>
      <w:pPr>
        <w:spacing w:after="160" w:line="276"/>
      </w:pPr>
      <w:r>
        <w:rPr>
          <w:rFonts w:ascii="Calibri" w:cs="Calibri" w:eastAsia="Calibri" w:hAnsi="Calibri"/>
          <w:color w:val="1C2530"/>
          <w:sz w:val="21"/>
          <w:szCs w:val="21"/>
        </w:rPr>
        <w:t xml:space="preserve">Every Euro deployed during this seed runway is aligned to a single, high-impact business milestone: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7B" w:sz="4"/>
              <w:left w:val="single" w:color="0E7C7B" w:sz="24"/>
              <w:bottom w:val="single" w:color="0E7C7B" w:sz="4"/>
              <w:right w:val="single" w:color="0E7C7B" w:sz="4"/>
            </w:tcBorders>
            <w:shd w:fill="EAF0F1" w:val="clear"/>
            <w:tcMar>
              <w:top w:type="dxa" w:w="180"/>
              <w:left w:type="dxa" w:w="220"/>
              <w:bottom w:type="dxa" w:w="180"/>
              <w:right w:type="dxa" w:w="220"/>
            </w:tcMar>
          </w:tcPr>
          <w:p>
            <w:pPr>
              <w:spacing w:after="100"/>
            </w:pPr>
            <w:r>
              <w:rPr>
                <w:rFonts w:ascii="Calibri" w:cs="Calibri" w:eastAsia="Calibri" w:hAnsi="Calibri"/>
                <w:b/>
                <w:bCs/>
                <w:color w:val="0B2545"/>
                <w:sz w:val="21"/>
                <w:szCs w:val="21"/>
              </w:rPr>
              <w:t xml:space="preserve">Core 12-Month Milestone</w:t>
            </w:r>
          </w:p>
          <w:p>
            <w:pPr>
              <w:spacing w:after="60"/>
            </w:pPr>
            <w:r>
              <w:rPr>
                <w:rFonts w:ascii="Calibri" w:cs="Calibri" w:eastAsia="Calibri" w:hAnsi="Calibri"/>
                <w:color w:val="1C2530"/>
                <w:sz w:val="20"/>
                <w:szCs w:val="20"/>
              </w:rPr>
              <w:t xml:space="preserve">Achieve predictable, regional B2B SaaS ARR by converting the Balearic pilot fleet and locking in new charter management contracts across the 5 European boat shows, proving a repeatable CAC-to-LTV ratio that unlocks Series A readiness.</w:t>
            </w:r>
          </w:p>
        </w:tc>
      </w:tr>
    </w:tbl>
    <w:p>
      <w:pPr>
        <w:pStyle w:val="Heading1"/>
        <w:pBdr>
          <w:bottom w:val="single" w:color="0E7C7B" w:sz="8" w:space="4"/>
        </w:pBdr>
        <w:spacing w:after="200" w:before="420"/>
      </w:pPr>
      <w:r>
        <w:rPr>
          <w:rFonts w:ascii="Calibri" w:cs="Calibri" w:eastAsia="Calibri" w:hAnsi="Calibri"/>
          <w:b/>
          <w:bCs/>
          <w:color w:val="0B2545"/>
          <w:sz w:val="30"/>
          <w:szCs w:val="30"/>
        </w:rPr>
        <w:t xml:space="preserve">14. The Ask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E7C7B" w:sz="4"/>
              <w:left w:val="single" w:color="0E7C7B" w:sz="24"/>
              <w:bottom w:val="single" w:color="0E7C7B" w:sz="4"/>
              <w:right w:val="single" w:color="0E7C7B" w:sz="4"/>
            </w:tcBorders>
            <w:shd w:fill="EAF0F1" w:val="clear"/>
            <w:tcMar>
              <w:top w:type="dxa" w:w="180"/>
              <w:left w:type="dxa" w:w="220"/>
              <w:bottom w:type="dxa" w:w="180"/>
              <w:right w:type="dxa" w:w="220"/>
            </w:tcMar>
          </w:tcPr>
          <w:p>
            <w:pPr>
              <w:spacing w:after="100"/>
            </w:pPr>
            <w:r>
              <w:rPr>
                <w:rFonts w:ascii="Calibri" w:cs="Calibri" w:eastAsia="Calibri" w:hAnsi="Calibri"/>
                <w:b/>
                <w:bCs/>
                <w:color w:val="0B2545"/>
                <w:sz w:val="21"/>
                <w:szCs w:val="21"/>
              </w:rPr>
              <w:t xml:space="preserve">Investment Sought</w:t>
            </w:r>
          </w:p>
          <w:p>
            <w:pPr>
              <w:spacing w:after="60"/>
            </w:pPr>
            <w:r>
              <w:rPr>
                <w:rFonts w:ascii="Calibri" w:cs="Calibri" w:eastAsia="Calibri" w:hAnsi="Calibri"/>
                <w:color w:val="1C2530"/>
                <w:sz w:val="20"/>
                <w:szCs w:val="20"/>
              </w:rPr>
              <w:t xml:space="preserve">Funding Required: €350,000 (100% equity / seed round, providing a full 12-month runway)</w:t>
            </w:r>
          </w:p>
          <w:p>
            <w:pPr>
              <w:spacing w:after="60"/>
            </w:pPr>
            <w:r>
              <w:rPr>
                <w:rFonts w:ascii="Calibri" w:cs="Calibri" w:eastAsia="Calibri" w:hAnsi="Calibri"/>
                <w:color w:val="1C2530"/>
                <w:sz w:val="20"/>
                <w:szCs w:val="20"/>
              </w:rPr>
              <w:t xml:space="preserve">Core Goal: Convert the live Balearic pilot fleet, scale B2B customer acquisition via 5 major boat shows, and establish highly predictable, regional B2B SaaS ARR</w:t>
            </w:r>
          </w:p>
          <w:p>
            <w:pPr>
              <w:spacing w:after="60"/>
            </w:pPr>
            <w:r>
              <w:rPr>
                <w:rFonts w:ascii="Calibri" w:cs="Calibri" w:eastAsia="Calibri" w:hAnsi="Calibri"/>
                <w:color w:val="1C2530"/>
                <w:sz w:val="20"/>
                <w:szCs w:val="20"/>
              </w:rPr>
              <w:t xml:space="preserve">Compensation Alignment: Equal, transparent €65,000/year salaries for the 4 core team members to guarantee complete execution focus</w:t>
            </w:r>
          </w:p>
        </w:tc>
      </w:tr>
    </w:tbl>
    <w:p>
      <w:pPr>
        <w:spacing w:after="120"/>
      </w:pPr>
    </w:p>
    <w:p>
      <w:pPr>
        <w:spacing w:after="160" w:line="276"/>
      </w:pPr>
      <w:r>
        <w:rPr>
          <w:rFonts w:ascii="Calibri" w:cs="Calibri" w:eastAsia="Calibri" w:hAnsi="Calibri"/>
          <w:color w:val="1C2530"/>
          <w:sz w:val="21"/>
          <w:szCs w:val="21"/>
        </w:rPr>
        <w:t xml:space="preserve">We are raising €350,000 to execute on our Year 1 beachhead goals and validate our core commercial metrics. This provides a clean launchpad for our Series A round in July 2027 and positions PredSea on an aggressive path toward a strategic exit.</w:t>
      </w:r>
    </w:p>
    <w:p>
      <w:pPr>
        <w:pStyle w:val="Heading1"/>
        <w:pBdr>
          <w:bottom w:val="single" w:color="0E7C7B" w:sz="8" w:space="4"/>
        </w:pBdr>
        <w:spacing w:after="200" w:before="420"/>
      </w:pPr>
      <w:r>
        <w:rPr>
          <w:rFonts w:ascii="Calibri" w:cs="Calibri" w:eastAsia="Calibri" w:hAnsi="Calibri"/>
          <w:b/>
          <w:bCs/>
          <w:color w:val="0B2545"/>
          <w:sz w:val="30"/>
          <w:szCs w:val="30"/>
        </w:rPr>
        <w:t xml:space="preserve">15. Exit Strategy</w:t>
      </w:r>
    </w:p>
    <w:p>
      <w:pPr>
        <w:spacing w:after="160" w:line="276"/>
      </w:pPr>
      <w:r>
        <w:rPr>
          <w:rFonts w:ascii="Calibri" w:cs="Calibri" w:eastAsia="Calibri" w:hAnsi="Calibri"/>
          <w:color w:val="1C2530"/>
          <w:sz w:val="21"/>
          <w:szCs w:val="21"/>
        </w:rPr>
        <w:t xml:space="preserve">PredSea is designed from day one as a high-value acquisition target. We expect to reach exit liquidity within 3.5 to 4 years (Year 4), targeting a €40M–€50M+ strategic transaction. Our proprietary, high-resolution forecasting and conversational routing layer represents immediate strategic value to two main classes of acquirers:</w:t>
      </w:r>
    </w:p>
    <w:p>
      <w:pPr>
        <w:pStyle w:val="Heading2"/>
        <w:spacing w:after="140" w:before="280"/>
      </w:pPr>
      <w:r>
        <w:rPr>
          <w:rFonts w:ascii="Calibri" w:cs="Calibri" w:eastAsia="Calibri" w:hAnsi="Calibri"/>
          <w:b/>
          <w:bCs/>
          <w:color w:val="0E7C7B"/>
          <w:sz w:val="24"/>
          <w:szCs w:val="24"/>
        </w:rPr>
        <w:t xml:space="preserve">15.1 Garmin / Navionics (Marine Hardware &amp; Electronics Leaders)</w:t>
      </w:r>
    </w:p>
    <w:p>
      <w:pPr>
        <w:spacing w:after="160" w:line="276"/>
      </w:pPr>
      <w:r>
        <w:rPr>
          <w:rFonts w:ascii="Calibri" w:cs="Calibri" w:eastAsia="Calibri" w:hAnsi="Calibri"/>
          <w:color w:val="1C2530"/>
          <w:sz w:val="21"/>
          <w:szCs w:val="21"/>
        </w:rPr>
        <w:t xml:space="preserve">For major marine electronics manufacturers, standard hardware (such as chartplotters and onboard displays) is rapidly commoditizing. To protect margins, they must acquire high-value software services:</w:t>
      </w:r>
    </w:p>
    <w:p>
      <w:pPr>
        <w:pStyle w:val="ListParagraph"/>
        <w:numPr>
          <w:ilvl w:val="0"/>
          <w:numId w:val="2"/>
        </w:numPr>
        <w:spacing w:after="90" w:line="264"/>
      </w:pPr>
      <w:r>
        <w:rPr>
          <w:rFonts w:ascii="Calibri" w:cs="Calibri" w:eastAsia="Calibri" w:hAnsi="Calibri"/>
          <w:b/>
          <w:bCs/>
          <w:color w:val="1C2530"/>
          <w:sz w:val="21"/>
          <w:szCs w:val="21"/>
        </w:rPr>
        <w:t xml:space="preserve">Conversational Navigation Stations: PredSea's conversational delivery layer (WhatsApp-native) is a turn-key, zero-friction solution that transforms static, commodity chartplotters into intelligent, conversational navigation stations.</w:t>
      </w:r>
    </w:p>
    <w:p>
      <w:pPr>
        <w:pStyle w:val="ListParagraph"/>
        <w:numPr>
          <w:ilvl w:val="0"/>
          <w:numId w:val="2"/>
        </w:numPr>
        <w:spacing w:after="90" w:line="264"/>
      </w:pPr>
      <w:r>
        <w:rPr>
          <w:rFonts w:ascii="Calibri" w:cs="Calibri" w:eastAsia="Calibri" w:hAnsi="Calibri"/>
          <w:b/>
          <w:bCs/>
          <w:color w:val="1C2530"/>
          <w:sz w:val="21"/>
          <w:szCs w:val="21"/>
        </w:rPr>
        <w:t xml:space="preserve">Proprietary Forecasting Advantage: Navionics currently repackages coarse global weather data. Integrating PredSea's proprietary Western Mediterranean (and subsequently expanded) regional coupled physics models gives them an exclusive, highly accurate sea-state advantage that global competitors cannot match.</w:t>
      </w:r>
    </w:p>
    <w:p>
      <w:pPr>
        <w:pStyle w:val="Heading2"/>
        <w:spacing w:after="140" w:before="280"/>
      </w:pPr>
      <w:r>
        <w:rPr>
          <w:rFonts w:ascii="Calibri" w:cs="Calibri" w:eastAsia="Calibri" w:hAnsi="Calibri"/>
          <w:b/>
          <w:bCs/>
          <w:color w:val="0E7C7B"/>
          <w:sz w:val="24"/>
          <w:szCs w:val="24"/>
        </w:rPr>
        <w:t xml:space="preserve">15.2 Google (Big Tech &amp; Climate-Tech Platforms)</w:t>
      </w:r>
    </w:p>
    <w:p>
      <w:pPr>
        <w:spacing w:after="160" w:line="276"/>
      </w:pPr>
      <w:r>
        <w:rPr>
          <w:rFonts w:ascii="Calibri" w:cs="Calibri" w:eastAsia="Calibri" w:hAnsi="Calibri"/>
          <w:color w:val="1C2530"/>
          <w:sz w:val="21"/>
          <w:szCs w:val="21"/>
        </w:rPr>
        <w:t xml:space="preserve">For tech giants, highly specialized environmental and climate-tech data is extremely difficult to assemble, run, and validate:</w:t>
      </w:r>
    </w:p>
    <w:p>
      <w:pPr>
        <w:pStyle w:val="ListParagraph"/>
        <w:numPr>
          <w:ilvl w:val="0"/>
          <w:numId w:val="2"/>
        </w:numPr>
        <w:spacing w:after="90" w:line="264"/>
      </w:pPr>
      <w:r>
        <w:rPr>
          <w:rFonts w:ascii="Calibri" w:cs="Calibri" w:eastAsia="Calibri" w:hAnsi="Calibri"/>
          <w:b/>
          <w:bCs/>
          <w:color w:val="1C2530"/>
          <w:sz w:val="21"/>
          <w:szCs w:val="21"/>
        </w:rPr>
        <w:t xml:space="preserve">GCP-Native Environmental Intelligence: PredSea runs entirely on Google Cloud Platform, using custom, optimized workflows (FastAPI, GCP Spot VMs, BigQuery) to couple oceanographic and atmospheric simulations.</w:t>
      </w:r>
    </w:p>
    <w:p>
      <w:pPr>
        <w:pStyle w:val="ListParagraph"/>
        <w:numPr>
          <w:ilvl w:val="0"/>
          <w:numId w:val="2"/>
        </w:numPr>
        <w:spacing w:after="90" w:line="264"/>
      </w:pPr>
      <w:r>
        <w:rPr>
          <w:rFonts w:ascii="Calibri" w:cs="Calibri" w:eastAsia="Calibri" w:hAnsi="Calibri"/>
          <w:b/>
          <w:bCs/>
          <w:color w:val="1C2530"/>
          <w:sz w:val="21"/>
          <w:szCs w:val="21"/>
        </w:rPr>
        <w:t xml:space="preserve">Enterprise API Data Feed: Acquiring PredSea gives Google a highly optimized, regional environmental intelligence network that effortlessly feeds into global climate-tech initiatives, enterprise ESG platforms, Google Earth, and Google Cloud data APIs.</w:t>
      </w:r>
    </w:p>
    <w:p>
      <w:pPr>
        <w:pStyle w:val="Heading2"/>
        <w:spacing w:after="140" w:before="280"/>
      </w:pPr>
      <w:r>
        <w:rPr>
          <w:rFonts w:ascii="Calibri" w:cs="Calibri" w:eastAsia="Calibri" w:hAnsi="Calibri"/>
          <w:b/>
          <w:bCs/>
          <w:color w:val="0E7C7B"/>
          <w:sz w:val="24"/>
          <w:szCs w:val="24"/>
        </w:rPr>
        <w:t xml:space="preserve">15.3 Secondary Acquirers</w:t>
      </w:r>
    </w:p>
    <w:p>
      <w:pPr>
        <w:spacing w:after="160" w:line="276"/>
      </w:pPr>
      <w:r>
        <w:rPr>
          <w:rFonts w:ascii="Calibri" w:cs="Calibri" w:eastAsia="Calibri" w:hAnsi="Calibri"/>
          <w:color w:val="1C2530"/>
          <w:sz w:val="21"/>
          <w:szCs w:val="21"/>
        </w:rPr>
        <w:t xml:space="preserve">Other potential buyers include commercial shipping consolidators (Brunswick, Windy, PredictWind) looking to integrate proprietary, high-resolution regional coastal wave and current models directly into their fleet management platforms.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6"/>
        <w:szCs w:val="16"/>
      </w:rPr>
      <w:t xml:space="preserve">Confidential · </w:t>
    </w:r>
    <w:r>
      <w:rPr>
        <w:rFonts w:ascii="Calibri" w:cs="Calibri" w:eastAsia="Calibri" w:hAnsi="Calibri"/>
        <w:color w:val="4454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E3E4" w:sz="4" w:space="4"/>
      </w:pBdr>
      <w:jc w:val="right"/>
    </w:pPr>
    <w:r>
      <w:rPr>
        <w:rFonts w:ascii="Calibri" w:cs="Calibri" w:eastAsia="Calibri" w:hAnsi="Calibri"/>
        <w:color w:val="44546A"/>
        <w:sz w:val="16"/>
        <w:szCs w:val="16"/>
      </w:rPr>
      <w:t xml:space="preserve">PredSea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rPr>
  </w:style>
  <w:style w:type="paragraph" w:styleId="Heading2">
    <w:name w:val="Heading 2"/>
    <w:basedOn w:val="Normal"/>
    <w:next w:val="Normal"/>
    <w:qFormat/>
    <w:pPr>
      <w:spacing w:after="140" w:before="260"/>
    </w:pPr>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2026-07-01T20:29:30.922Z</dcterms:created>
  <dcterms:modified xsi:type="dcterms:W3CDTF">2026-07-01T20:29:30.923Z</dcterms:modified>
</cp:coreProperties>
</file>

<file path=docProps/custom.xml><?xml version="1.0" encoding="utf-8"?>
<Properties xmlns="http://schemas.openxmlformats.org/officeDocument/2006/custom-properties" xmlns:vt="http://schemas.openxmlformats.org/officeDocument/2006/docPropsVTypes"/>
</file>