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D504E"/>
          <w:spacing w:val="20"/>
          <w:sz w:val="18"/>
          <w:szCs w:val="18"/>
        </w:rPr>
        <w:t xml:space="preserve">TALENT ACQUISITION · ANALYTICS PROJECT</w:t>
      </w:r>
    </w:p>
    <w:p>
      <w:pPr>
        <w:spacing w:after="100"/>
      </w:pPr>
      <w:r>
        <w:rPr>
          <w:b/>
          <w:bCs/>
          <w:color w:val="151C28"/>
          <w:sz w:val="44"/>
          <w:szCs w:val="44"/>
        </w:rPr>
        <w:t xml:space="preserve">Candidate Interview Scorecard</w:t>
      </w:r>
    </w:p>
    <w:p>
      <w:pPr>
        <w:spacing w:after="300"/>
      </w:pPr>
      <w:r>
        <w:rPr>
          <w:color w:val="5E6773"/>
          <w:sz w:val="20"/>
          <w:szCs w:val="20"/>
        </w:rPr>
        <w:t xml:space="preserve">A structured, competency-based evaluation template for interviewers — designed for mid-to-high volume hiring pipelines typical of Indian IT/BPM services organizations (bulk &amp; campus hiring, notice-period sensitive roles, BGV-dependent offers).</w:t>
      </w:r>
    </w:p>
    <w:p>
      <w:pPr>
        <w:pBdr>
          <w:bottom w:val="single" w:color="1D504E" w:sz="8" w:space="4"/>
        </w:pBdr>
        <w:spacing w:after="120" w:before="320"/>
      </w:pPr>
      <w:r>
        <w:rPr>
          <w:b/>
          <w:bCs/>
          <w:color w:val="1D504E"/>
          <w:sz w:val="24"/>
          <w:szCs w:val="24"/>
        </w:rPr>
        <w:t xml:space="preserve">Candidate &amp; Role Details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2350"/>
        <w:gridCol w:w="2350"/>
        <w:gridCol w:w="2350"/>
      </w:tblGrid>
      <w:tr>
        <w:tc>
          <w:tcPr>
            <w:tcW w:type="dxa" w:w="2350"/>
            <w:shd w:fill="F5F6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51C28"/>
                <w:sz w:val="20"/>
                <w:szCs w:val="20"/>
              </w:rPr>
              <w:t xml:space="preserve">Candidate Name:</w:t>
            </w:r>
          </w:p>
        </w:tc>
        <w:tc>
          <w:tcPr>
            <w:tcW w:type="dxa" w:w="2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51C28"/>
                <w:sz w:val="20"/>
                <w:szCs w:val="20"/>
              </w:rPr>
              <w:t xml:space="preserve"/>
            </w:r>
          </w:p>
        </w:tc>
        <w:tc>
          <w:tcPr>
            <w:tcW w:type="dxa" w:w="2350"/>
            <w:shd w:fill="F5F6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51C28"/>
                <w:sz w:val="20"/>
                <w:szCs w:val="20"/>
              </w:rPr>
              <w:t xml:space="preserve">Role Applied For:</w:t>
            </w:r>
          </w:p>
        </w:tc>
        <w:tc>
          <w:tcPr>
            <w:tcW w:type="dxa" w:w="2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51C2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50"/>
            <w:shd w:fill="F5F6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51C28"/>
                <w:sz w:val="20"/>
                <w:szCs w:val="20"/>
              </w:rPr>
              <w:t xml:space="preserve">Interview Round:</w:t>
            </w:r>
          </w:p>
        </w:tc>
        <w:tc>
          <w:tcPr>
            <w:tcW w:type="dxa" w:w="2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51C28"/>
                <w:sz w:val="20"/>
                <w:szCs w:val="20"/>
              </w:rPr>
              <w:t xml:space="preserve"/>
            </w:r>
          </w:p>
        </w:tc>
        <w:tc>
          <w:tcPr>
            <w:tcW w:type="dxa" w:w="2350"/>
            <w:shd w:fill="F5F6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51C28"/>
                <w:sz w:val="20"/>
                <w:szCs w:val="20"/>
              </w:rPr>
              <w:t xml:space="preserve">Interviewer:</w:t>
            </w:r>
          </w:p>
        </w:tc>
        <w:tc>
          <w:tcPr>
            <w:tcW w:type="dxa" w:w="2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51C2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50"/>
            <w:shd w:fill="F5F6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51C28"/>
                <w:sz w:val="20"/>
                <w:szCs w:val="20"/>
              </w:rPr>
              <w:t xml:space="preserve">Source Channel:</w:t>
            </w:r>
          </w:p>
        </w:tc>
        <w:tc>
          <w:tcPr>
            <w:tcW w:type="dxa" w:w="2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51C28"/>
                <w:sz w:val="20"/>
                <w:szCs w:val="20"/>
              </w:rPr>
              <w:t xml:space="preserve"/>
            </w:r>
          </w:p>
        </w:tc>
        <w:tc>
          <w:tcPr>
            <w:tcW w:type="dxa" w:w="2350"/>
            <w:shd w:fill="F5F6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51C28"/>
                <w:sz w:val="20"/>
                <w:szCs w:val="20"/>
              </w:rPr>
              <w:t xml:space="preserve">Date:</w:t>
            </w:r>
          </w:p>
        </w:tc>
        <w:tc>
          <w:tcPr>
            <w:tcW w:type="dxa" w:w="2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51C28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1D504E" w:sz="8" w:space="4"/>
        </w:pBdr>
        <w:spacing w:after="120" w:before="320"/>
      </w:pPr>
      <w:r>
        <w:rPr>
          <w:b/>
          <w:bCs/>
          <w:color w:val="1D504E"/>
          <w:sz w:val="24"/>
          <w:szCs w:val="24"/>
        </w:rPr>
        <w:t xml:space="preserve">Competency Evaluation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3400"/>
      </w:tblGrid>
      <w:tr>
        <w:tc>
          <w:tcPr>
            <w:tcW w:type="dxa" w:w="4200"/>
            <w:shd w:fill="E1EE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D504E"/>
                <w:sz w:val="20"/>
                <w:szCs w:val="20"/>
              </w:rPr>
              <w:t xml:space="preserve">Competency</w:t>
            </w:r>
          </w:p>
        </w:tc>
        <w:tc>
          <w:tcPr>
            <w:tcW w:type="dxa" w:w="1800"/>
            <w:shd w:fill="E1EE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D504E"/>
                <w:sz w:val="20"/>
                <w:szCs w:val="20"/>
              </w:rPr>
              <w:t xml:space="preserve">Rating (1-5)</w:t>
            </w:r>
          </w:p>
        </w:tc>
        <w:tc>
          <w:tcPr>
            <w:tcW w:type="dxa" w:w="3400"/>
            <w:shd w:fill="E1EE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D504E"/>
                <w:sz w:val="20"/>
                <w:szCs w:val="20"/>
              </w:rPr>
              <w:t xml:space="preserve">Evidence / Notes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51C28"/>
                <w:sz w:val="20"/>
                <w:szCs w:val="20"/>
              </w:rPr>
              <w:t xml:space="preserve">Communication &amp; Clarity of Thought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51C28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51C2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51C28"/>
                <w:sz w:val="20"/>
                <w:szCs w:val="20"/>
              </w:rPr>
              <w:t xml:space="preserve">Role-relevant Technical / Functional Skill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51C28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51C2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51C28"/>
                <w:sz w:val="20"/>
                <w:szCs w:val="20"/>
              </w:rPr>
              <w:t xml:space="preserve">Problem-Solving Approach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51C28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51C2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51C28"/>
                <w:sz w:val="20"/>
                <w:szCs w:val="20"/>
              </w:rPr>
              <w:t xml:space="preserve">Ownership &amp; Accountability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51C28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51C2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51C28"/>
                <w:sz w:val="20"/>
                <w:szCs w:val="20"/>
              </w:rPr>
              <w:t xml:space="preserve">Cultural / Team Fit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51C28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51C2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51C28"/>
                <w:sz w:val="20"/>
                <w:szCs w:val="20"/>
              </w:rPr>
              <w:t xml:space="preserve">Stability &amp; Career Intent (notice period, reason for change)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51C28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51C28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1D504E" w:sz="8" w:space="4"/>
        </w:pBdr>
        <w:spacing w:after="120" w:before="320"/>
      </w:pPr>
      <w:r>
        <w:rPr>
          <w:b/>
          <w:bCs/>
          <w:color w:val="1D504E"/>
          <w:sz w:val="24"/>
          <w:szCs w:val="24"/>
        </w:rPr>
        <w:t xml:space="preserve">Logistics &amp; Offer Readiness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c>
          <w:tcPr>
            <w:tcW w:type="dxa" w:w="4700"/>
            <w:shd w:fill="F5F6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51C28"/>
                <w:sz w:val="20"/>
                <w:szCs w:val="20"/>
              </w:rPr>
              <w:t xml:space="preserve">Current Notice Period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51C28"/>
                <w:sz w:val="20"/>
                <w:szCs w:val="20"/>
              </w:rPr>
              <w:t xml:space="preserve">_______ days   |   Negotiable: Y / N</w:t>
            </w:r>
          </w:p>
        </w:tc>
      </w:tr>
      <w:tr>
        <w:tc>
          <w:tcPr>
            <w:tcW w:type="dxa" w:w="4700"/>
            <w:shd w:fill="F5F6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51C28"/>
                <w:sz w:val="20"/>
                <w:szCs w:val="20"/>
              </w:rPr>
              <w:t xml:space="preserve">Current CTC / Expected CTC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51C28"/>
                <w:sz w:val="20"/>
                <w:szCs w:val="20"/>
              </w:rPr>
              <w:t xml:space="preserve">₹ _______ / ₹ _______</w:t>
            </w:r>
          </w:p>
        </w:tc>
      </w:tr>
      <w:tr>
        <w:tc>
          <w:tcPr>
            <w:tcW w:type="dxa" w:w="4700"/>
            <w:shd w:fill="F5F6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51C28"/>
                <w:sz w:val="20"/>
                <w:szCs w:val="20"/>
              </w:rPr>
              <w:t xml:space="preserve">Relocation Required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51C28"/>
                <w:sz w:val="20"/>
                <w:szCs w:val="20"/>
              </w:rPr>
              <w:t xml:space="preserve">Y / N   —   Location: _______</w:t>
            </w:r>
          </w:p>
        </w:tc>
      </w:tr>
      <w:tr>
        <w:tc>
          <w:tcPr>
            <w:tcW w:type="dxa" w:w="4700"/>
            <w:shd w:fill="F5F6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51C28"/>
                <w:sz w:val="20"/>
                <w:szCs w:val="20"/>
              </w:rPr>
              <w:t xml:space="preserve">BGV Risk Flags (gaps, docs pending)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51C28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1D504E" w:sz="8" w:space="4"/>
        </w:pBdr>
        <w:spacing w:after="120" w:before="320"/>
      </w:pPr>
      <w:r>
        <w:rPr>
          <w:b/>
          <w:bCs/>
          <w:color w:val="1D504E"/>
          <w:sz w:val="24"/>
          <w:szCs w:val="24"/>
        </w:rPr>
        <w:t xml:space="preserve">Overall Recommendation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☐ Strong Hire     ☐ Hire     ☐ Hold / Needs Another Round     ☐ No Hire</w:t>
      </w:r>
    </w:p>
    <w:p>
      <w:pPr>
        <w:spacing w:after="60"/>
      </w:pPr>
      <w:r>
        <w:rPr>
          <w:b/>
          <w:bCs/>
          <w:color w:val="1D504E"/>
          <w:sz w:val="20"/>
          <w:szCs w:val="20"/>
        </w:rPr>
        <w:t xml:space="preserve">Summary Justification:</w:t>
      </w:r>
    </w:p>
    <w:p>
      <w:pPr>
        <w:pBdr>
          <w:bottom w:val="single" w:color="D7DCE2" w:sz="4" w:space="8"/>
        </w:pBdr>
        <w:spacing w:after="40"/>
      </w:pPr>
      <w:r>
        <w:rPr>
          <w:sz w:val="20"/>
          <w:szCs w:val="20"/>
        </w:rPr>
        <w:t xml:space="preserve"> </w:t>
      </w:r>
    </w:p>
    <w:p>
      <w:pPr>
        <w:pBdr>
          <w:bottom w:val="single" w:color="D7DCE2" w:sz="4" w:space="8"/>
        </w:pBdr>
        <w:spacing w:after="40"/>
      </w:pPr>
      <w:r>
        <w:rPr>
          <w:sz w:val="20"/>
          <w:szCs w:val="20"/>
        </w:rPr>
        <w:t xml:space="preserve"> </w:t>
      </w:r>
    </w:p>
    <w:p>
      <w:pPr>
        <w:pBdr>
          <w:bottom w:val="single" w:color="D7DCE2" w:sz="4" w:space="8"/>
        </w:pBdr>
        <w:spacing w:after="300"/>
      </w:pPr>
      <w:r>
        <w:rPr>
          <w:sz w:val="20"/>
          <w:szCs w:val="20"/>
        </w:rPr>
        <w:t xml:space="preserve"> </w:t>
      </w:r>
    </w:p>
    <w:p>
      <w:pPr>
        <w:pBdr>
          <w:top w:val="single" w:color="D7DCE2" w:sz="6" w:space="8"/>
        </w:pBdr>
        <w:spacing w:before="400"/>
      </w:pPr>
      <w:r>
        <w:rPr>
          <w:i/>
          <w:iCs/>
          <w:color w:val="5E6773"/>
          <w:sz w:val="16"/>
          <w:szCs w:val="16"/>
        </w:rPr>
        <w:t xml:space="preserve">Part of the Talent Acquisition Analytics Project — used alongside the recruitment funnel dashboard and SQL analysis to standardize interview evaluation and reduce hiring-decision bias.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2026-07-05T04:25:11.459Z</dcterms:created>
  <dcterms:modified xsi:type="dcterms:W3CDTF">2026-07-05T04:25:11.459Z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