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84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7800" w:hRule="atLeast"/>
        </w:trPr>
        <w:tc>
          <w:tcPr>
            <w:tcW w:type="dxa" w:w="15840"/>
            <w:shd w:fill="1F3864" w:color="auto" w:val="clear"/>
            <w:tcMar>
              <w:top w:type="dxa" w:w="2200"/>
              <w:left w:type="dxa" w:w="1440"/>
              <w:bottom w:type="dxa" w:w="2200"/>
              <w:right w:type="dxa" w:w="1440"/>
            </w:tcMar>
            <w:vAlign w:val="center"/>
          </w:tcPr>
          <w:p>
            <w:pPr>
              <w:spacing w:after="240"/>
              <w:jc w:val="center"/>
            </w:pPr>
            <w:r>
              <w:rPr>
                <w:b/>
                <w:bCs/>
                <w:color w:val="9FB8D9"/>
                <w:sz w:val="22"/>
                <w:szCs w:val="22"/>
              </w:rPr>
              <w:t xml:space="preserve">APPENDIX TO THE REQUIREMENT GATHERING DOCUMENT (RGD v2.0)</w:t>
            </w:r>
          </w:p>
          <w:p>
            <w:pPr>
              <w:spacing w:after="500"/>
              <w:jc w:val="center"/>
            </w:pPr>
            <w:r>
              <w:rPr>
                <w:b/>
                <w:bCs/>
                <w:color w:val="F4B183"/>
                <w:sz w:val="20"/>
                <w:szCs w:val="20"/>
              </w:rPr>
              <w:t xml:space="preserve">GAP-03 REFINEMENT</w:t>
            </w:r>
          </w:p>
          <w:p>
            <w:pPr>
              <w:spacing w:after="100"/>
              <w:jc w:val="center"/>
            </w:pPr>
            <w:r>
              <w:rPr>
                <w:b/>
                <w:bCs/>
                <w:color w:val="DCE6F1"/>
                <w:sz w:val="30"/>
                <w:szCs w:val="30"/>
              </w:rPr>
              <w:t xml:space="preserve">Appendix-C  (Version 1.1)</w:t>
            </w:r>
          </w:p>
          <w:p>
            <w:pPr>
              <w:spacing w:after="200"/>
              <w:jc w:val="center"/>
            </w:pPr>
            <w:r>
              <w:rPr>
                <w:b/>
                <w:bCs/>
                <w:color w:val="FFFFFF"/>
                <w:sz w:val="44"/>
                <w:szCs w:val="44"/>
              </w:rPr>
              <w:t xml:space="preserve">Business Rule Catalogue</w:t>
            </w:r>
          </w:p>
          <w:p>
            <w:pPr>
              <w:spacing w:after="600"/>
              <w:jc w:val="center"/>
            </w:pPr>
            <w:r>
              <w:rPr>
                <w:b/>
                <w:bCs/>
                <w:color w:val="DCE6F1"/>
                <w:sz w:val="30"/>
                <w:szCs w:val="30"/>
              </w:rPr>
              <w:t xml:space="preserve">School ERP</w:t>
            </w:r>
          </w:p>
          <w:p>
            <w:pPr>
              <w:spacing w:after="100"/>
              <w:jc w:val="center"/>
            </w:pPr>
            <w:r>
              <w:rPr>
                <w:color w:val="DCE6F1"/>
                <w:sz w:val="20"/>
                <w:szCs w:val="20"/>
              </w:rPr>
              <w:t xml:space="preserve">Prepared by: Business Analyst Team</w:t>
            </w:r>
          </w:p>
          <w:p>
            <w:pPr>
              <w:spacing w:after="100"/>
              <w:jc w:val="center"/>
            </w:pPr>
            <w:r>
              <w:rPr>
                <w:color w:val="DCE6F1"/>
                <w:sz w:val="20"/>
                <w:szCs w:val="20"/>
              </w:rPr>
              <w:t xml:space="preserve">Document Version: 1.1</w:t>
            </w:r>
          </w:p>
          <w:p>
            <w:pPr>
              <w:spacing w:after="100"/>
              <w:jc w:val="center"/>
            </w:pPr>
            <w:r>
              <w:rPr>
                <w:color w:val="DCE6F1"/>
                <w:sz w:val="20"/>
                <w:szCs w:val="20"/>
              </w:rPr>
              <w:t xml:space="preserve">Date: 23 July 2026</w:t>
            </w:r>
          </w:p>
          <w:p>
            <w:pPr>
              <w:jc w:val="center"/>
            </w:pPr>
            <w:r>
              <w:rPr>
                <w:i/>
                <w:iCs/>
                <w:color w:val="B4C6E7"/>
                <w:sz w:val="17"/>
                <w:szCs w:val="17"/>
              </w:rPr>
              <w:t xml:space="preserve">Classification: Confidential — Client &amp; Project Team Only</w:t>
            </w:r>
          </w:p>
        </w:tc>
      </w:tr>
    </w:tbl>
    <w:p>
      <w:pPr>
        <w:sectPr>
          <w:pgSz w:w="15840" w:h="12240" w:orient="portrait"/>
          <w:pgMar w:top="0" w:right="0" w:bottom="0" w:left="0" w:header="708" w:footer="708" w:gutter="0"/>
          <w:pgNumType/>
          <w:docGrid w:linePitch="360"/>
        </w:sectPr>
      </w:pPr>
    </w:p>
    <w:p>
      <w:pPr>
        <w:pStyle w:val="Heading1"/>
        <w:outlineLvl w:val="0"/>
      </w:pPr>
      <w:r>
        <w:t xml:space="preserve">About This Appendix (v1.1)</w:t>
      </w:r>
    </w:p>
    <w:p>
      <w:pPr>
        <w:spacing w:after="140" w:line="270"/>
      </w:pPr>
      <w:r>
        <w:rPr>
          <w:sz w:val="20"/>
          <w:szCs w:val="20"/>
        </w:rPr>
        <w:t xml:space="preserve">This document is Appendix-C, Version 1.1, to the Requirement Gathering Document (RGD v2.0) for the School ERP System. It refines the Gap-03 Business Rule Catalogue (v1.0, approved) to enterprise-grade standard, per the identified review gaps. RGD v2.0, Appendix-A (BPMN), and Appendix-B (RTM) remain completely unmodified.</w:t>
      </w:r>
    </w:p>
    <w:p>
      <w:pPr>
        <w:spacing w:after="140" w:line="270"/>
      </w:pPr>
      <w:r>
        <w:rPr>
          <w:sz w:val="20"/>
          <w:szCs w:val="20"/>
        </w:rPr>
        <w:t xml:space="preserve">v1.1 changes are strictly additive: all 71 Business Rule IDs, statements, justifications, triggers, preconditions, post-conditions, and the original 18 fields from v1.0 are unchanged. Each rule record gains 7 new metadata fields (Rule Version, Rule Status, Effective From, Effective Until, Rule Category, Rule Source, Related Business Rule(s)). A formal Change Log now opens this appendix. Section 1 (Dependency Matrix) is expanded from one representative rule per module to full traceability for all 71 rules. Six new sections are added: Rule Lifecycle (5), Numbering Standard (6), Glossary (7), Rule Dependency Table (8), Final Enterprise Review (9), and a Final Validation Checklist (10). The four specific review observations (race condition, override inconsistency, Timetable BPMN gap, and consolidated configurable items) are explicitly documented in Section 3.</w:t>
      </w:r>
    </w:p>
    <w:p>
      <w:pPr>
        <w:spacing w:after="140" w:line="270"/>
      </w:pPr>
      <w:r>
        <w:rPr>
          <w:sz w:val="20"/>
          <w:szCs w:val="20"/>
        </w:rPr>
        <w:t xml:space="preserve">Total business rules catalogued: 71, across all 11 modules — unchanged from v1.0. Where a rule depends on a value not yet confirmed by the client, this remains marked "Client/Product Decision Required" within the relevant field rather than assumed.</w:t>
      </w:r>
    </w:p>
    <w:p>
      <w:pPr>
        <w:pStyle w:val="Heading2"/>
        <w:outlineLvl w:val="1"/>
      </w:pPr>
      <w:r>
        <w:t xml:space="preserve">Change Log</w:t>
      </w:r>
    </w:p>
    <w:p>
      <w:pPr>
        <w:spacing w:after="140" w:line="270"/>
      </w:pPr>
      <w:r>
        <w:rPr>
          <w:sz w:val="20"/>
          <w:szCs w:val="20"/>
        </w:rPr>
        <w:t xml:space="preserve">Formal change log for this appendix, per IEEE/PMI documentation control standards. No existing Business Rule text was modified in producing v1.1; all changes are additive.</w:t>
      </w:r>
    </w:p>
    <w:p>
      <w:pPr>
        <w:spacing w:after="12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800"/>
        <w:gridCol w:w="2200"/>
        <w:gridCol w:w="2200"/>
        <w:gridCol w:w="900"/>
        <w:gridCol w:w="900"/>
        <w:gridCol w:w="900"/>
        <w:gridCol w:w="1940"/>
      </w:tblGrid>
      <w:tr>
        <w:tc>
          <w:tcPr>
            <w:tcW w:type="dxa" w:w="900"/>
            <w:shd w:fill="2E5395" w:color="auto" w:val="clear"/>
            <w:tcMar>
              <w:top w:type="dxa" w:w="60"/>
              <w:left w:type="dxa" w:w="100"/>
              <w:bottom w:type="dxa" w:w="60"/>
              <w:right w:type="dxa" w:w="100"/>
            </w:tcMar>
            <w:vAlign w:val="center"/>
          </w:tcPr>
          <w:p>
            <w:r>
              <w:rPr>
                <w:b/>
                <w:bCs/>
                <w:i w:val="false"/>
                <w:iCs w:val="false"/>
                <w:color w:val="FFFFFF"/>
                <w:sz w:val="19"/>
                <w:szCs w:val="19"/>
              </w:rPr>
              <w:t xml:space="preserve">Version</w:t>
            </w:r>
          </w:p>
        </w:tc>
        <w:tc>
          <w:tcPr>
            <w:tcW w:type="dxa" w:w="1300"/>
            <w:shd w:fill="2E5395" w:color="auto" w:val="clear"/>
            <w:tcMar>
              <w:top w:type="dxa" w:w="60"/>
              <w:left w:type="dxa" w:w="100"/>
              <w:bottom w:type="dxa" w:w="60"/>
              <w:right w:type="dxa" w:w="100"/>
            </w:tcMar>
            <w:vAlign w:val="center"/>
          </w:tcPr>
          <w:p>
            <w:r>
              <w:rPr>
                <w:b/>
                <w:bCs/>
                <w:i w:val="false"/>
                <w:iCs w:val="false"/>
                <w:color w:val="FFFFFF"/>
                <w:sz w:val="19"/>
                <w:szCs w:val="19"/>
              </w:rPr>
              <w:t xml:space="preserve">Date</w:t>
            </w:r>
          </w:p>
        </w:tc>
        <w:tc>
          <w:tcPr>
            <w:tcW w:type="dxa" w:w="2800"/>
            <w:shd w:fill="2E5395" w:color="auto" w:val="clear"/>
            <w:tcMar>
              <w:top w:type="dxa" w:w="60"/>
              <w:left w:type="dxa" w:w="100"/>
              <w:bottom w:type="dxa" w:w="60"/>
              <w:right w:type="dxa" w:w="100"/>
            </w:tcMar>
            <w:vAlign w:val="center"/>
          </w:tcPr>
          <w:p>
            <w:r>
              <w:rPr>
                <w:b/>
                <w:bCs/>
                <w:i w:val="false"/>
                <w:iCs w:val="false"/>
                <w:color w:val="FFFFFF"/>
                <w:sz w:val="19"/>
                <w:szCs w:val="19"/>
              </w:rPr>
              <w:t xml:space="preserve">Reason for Change</w:t>
            </w:r>
          </w:p>
        </w:tc>
        <w:tc>
          <w:tcPr>
            <w:tcW w:type="dxa" w:w="2200"/>
            <w:shd w:fill="2E5395" w:color="auto" w:val="clear"/>
            <w:tcMar>
              <w:top w:type="dxa" w:w="60"/>
              <w:left w:type="dxa" w:w="100"/>
              <w:bottom w:type="dxa" w:w="60"/>
              <w:right w:type="dxa" w:w="100"/>
            </w:tcMar>
            <w:vAlign w:val="center"/>
          </w:tcPr>
          <w:p>
            <w:r>
              <w:rPr>
                <w:b/>
                <w:bCs/>
                <w:i w:val="false"/>
                <w:iCs w:val="false"/>
                <w:color w:val="FFFFFF"/>
                <w:sz w:val="19"/>
                <w:szCs w:val="19"/>
              </w:rPr>
              <w:t xml:space="preserve">Sections Added</w:t>
            </w:r>
          </w:p>
        </w:tc>
        <w:tc>
          <w:tcPr>
            <w:tcW w:type="dxa" w:w="2200"/>
            <w:shd w:fill="2E5395" w:color="auto" w:val="clear"/>
            <w:tcMar>
              <w:top w:type="dxa" w:w="60"/>
              <w:left w:type="dxa" w:w="100"/>
              <w:bottom w:type="dxa" w:w="60"/>
              <w:right w:type="dxa" w:w="100"/>
            </w:tcMar>
            <w:vAlign w:val="center"/>
          </w:tcPr>
          <w:p>
            <w:r>
              <w:rPr>
                <w:b/>
                <w:bCs/>
                <w:i w:val="false"/>
                <w:iCs w:val="false"/>
                <w:color w:val="FFFFFF"/>
                <w:sz w:val="19"/>
                <w:szCs w:val="19"/>
              </w:rPr>
              <w:t xml:space="preserve">Sections Modified</w:t>
            </w:r>
          </w:p>
        </w:tc>
        <w:tc>
          <w:tcPr>
            <w:tcW w:type="dxa" w:w="900"/>
            <w:shd w:fill="2E5395" w:color="auto" w:val="clear"/>
            <w:tcMar>
              <w:top w:type="dxa" w:w="60"/>
              <w:left w:type="dxa" w:w="100"/>
              <w:bottom w:type="dxa" w:w="60"/>
              <w:right w:type="dxa" w:w="100"/>
            </w:tcMar>
            <w:vAlign w:val="center"/>
          </w:tcPr>
          <w:p>
            <w:r>
              <w:rPr>
                <w:b/>
                <w:bCs/>
                <w:i w:val="false"/>
                <w:iCs w:val="false"/>
                <w:color w:val="FFFFFF"/>
                <w:sz w:val="19"/>
                <w:szCs w:val="19"/>
              </w:rPr>
              <w:t xml:space="preserve">Rules Added</w:t>
            </w:r>
          </w:p>
        </w:tc>
        <w:tc>
          <w:tcPr>
            <w:tcW w:type="dxa" w:w="900"/>
            <w:shd w:fill="2E5395" w:color="auto" w:val="clear"/>
            <w:tcMar>
              <w:top w:type="dxa" w:w="60"/>
              <w:left w:type="dxa" w:w="100"/>
              <w:bottom w:type="dxa" w:w="60"/>
              <w:right w:type="dxa" w:w="100"/>
            </w:tcMar>
            <w:vAlign w:val="center"/>
          </w:tcPr>
          <w:p>
            <w:r>
              <w:rPr>
                <w:b/>
                <w:bCs/>
                <w:i w:val="false"/>
                <w:iCs w:val="false"/>
                <w:color w:val="FFFFFF"/>
                <w:sz w:val="19"/>
                <w:szCs w:val="19"/>
              </w:rPr>
              <w:t xml:space="preserve">Rules Modified</w:t>
            </w:r>
          </w:p>
        </w:tc>
        <w:tc>
          <w:tcPr>
            <w:tcW w:type="dxa" w:w="900"/>
            <w:shd w:fill="2E5395" w:color="auto" w:val="clear"/>
            <w:tcMar>
              <w:top w:type="dxa" w:w="60"/>
              <w:left w:type="dxa" w:w="100"/>
              <w:bottom w:type="dxa" w:w="60"/>
              <w:right w:type="dxa" w:w="100"/>
            </w:tcMar>
            <w:vAlign w:val="center"/>
          </w:tcPr>
          <w:p>
            <w:r>
              <w:rPr>
                <w:b/>
                <w:bCs/>
                <w:i w:val="false"/>
                <w:iCs w:val="false"/>
                <w:color w:val="FFFFFF"/>
                <w:sz w:val="19"/>
                <w:szCs w:val="19"/>
              </w:rPr>
              <w:t xml:space="preserve">Rules Deleted</w:t>
            </w:r>
          </w:p>
        </w:tc>
        <w:tc>
          <w:tcPr>
            <w:tcW w:type="dxa" w:w="1940"/>
            <w:shd w:fill="2E5395" w:color="auto" w:val="clear"/>
            <w:tcMar>
              <w:top w:type="dxa" w:w="60"/>
              <w:left w:type="dxa" w:w="100"/>
              <w:bottom w:type="dxa" w:w="60"/>
              <w:right w:type="dxa" w:w="100"/>
            </w:tcMar>
            <w:vAlign w:val="center"/>
          </w:tcPr>
          <w:p>
            <w:r>
              <w:rPr>
                <w:b/>
                <w:bCs/>
                <w:i w:val="false"/>
                <w:iCs w:val="false"/>
                <w:color w:val="FFFFFF"/>
                <w:sz w:val="19"/>
                <w:szCs w:val="19"/>
              </w:rPr>
              <w:t xml:space="preserve">Expected Result</w:t>
            </w:r>
          </w:p>
        </w:tc>
      </w:tr>
      <w:tr>
        <w:tc>
          <w:tcPr>
            <w:tcW w:type="dxa" w:w="900"/>
            <w:tcMar>
              <w:top w:type="dxa" w:w="60"/>
              <w:left w:type="dxa" w:w="100"/>
              <w:bottom w:type="dxa" w:w="60"/>
              <w:right w:type="dxa" w:w="100"/>
            </w:tcMar>
            <w:vAlign w:val="center"/>
          </w:tcPr>
          <w:p>
            <w:r>
              <w:rPr>
                <w:b w:val="false"/>
                <w:bCs w:val="false"/>
                <w:i w:val="false"/>
                <w:iCs w:val="false"/>
                <w:color w:val="000000"/>
                <w:sz w:val="19"/>
                <w:szCs w:val="19"/>
              </w:rPr>
              <w:t xml:space="preserve">1.0</w:t>
            </w:r>
          </w:p>
        </w:tc>
        <w:tc>
          <w:tcPr>
            <w:tcW w:type="dxa" w:w="1300"/>
            <w:tcMar>
              <w:top w:type="dxa" w:w="60"/>
              <w:left w:type="dxa" w:w="100"/>
              <w:bottom w:type="dxa" w:w="60"/>
              <w:right w:type="dxa" w:w="100"/>
            </w:tcMar>
            <w:vAlign w:val="center"/>
          </w:tcPr>
          <w:p>
            <w:r>
              <w:rPr>
                <w:b w:val="false"/>
                <w:bCs w:val="false"/>
                <w:i w:val="false"/>
                <w:iCs w:val="false"/>
                <w:color w:val="000000"/>
                <w:sz w:val="19"/>
                <w:szCs w:val="19"/>
              </w:rPr>
              <w:t xml:space="preserve">23-Jul-2026</w:t>
            </w:r>
          </w:p>
        </w:tc>
        <w:tc>
          <w:tcPr>
            <w:tcW w:type="dxa" w:w="2800"/>
            <w:tcMar>
              <w:top w:type="dxa" w:w="60"/>
              <w:left w:type="dxa" w:w="100"/>
              <w:bottom w:type="dxa" w:w="60"/>
              <w:right w:type="dxa" w:w="100"/>
            </w:tcMar>
            <w:vAlign w:val="center"/>
          </w:tcPr>
          <w:p>
            <w:r>
              <w:rPr>
                <w:b w:val="false"/>
                <w:bCs w:val="false"/>
                <w:i w:val="false"/>
                <w:iCs w:val="false"/>
                <w:color w:val="000000"/>
                <w:sz w:val="19"/>
                <w:szCs w:val="19"/>
              </w:rPr>
              <w:t xml:space="preserve">Initial Business Rule Catalogue (Gap-03)</w:t>
            </w:r>
          </w:p>
        </w:tc>
        <w:tc>
          <w:tcPr>
            <w:tcW w:type="dxa" w:w="2200"/>
            <w:tcMar>
              <w:top w:type="dxa" w:w="60"/>
              <w:left w:type="dxa" w:w="100"/>
              <w:bottom w:type="dxa" w:w="60"/>
              <w:right w:type="dxa" w:w="100"/>
            </w:tcMar>
            <w:vAlign w:val="center"/>
          </w:tcPr>
          <w:p>
            <w:r>
              <w:rPr>
                <w:b w:val="false"/>
                <w:bCs w:val="false"/>
                <w:i w:val="false"/>
                <w:iCs w:val="false"/>
                <w:color w:val="000000"/>
                <w:sz w:val="19"/>
                <w:szCs w:val="19"/>
              </w:rPr>
              <w:t xml:space="preserve">Module-Wise Rules (all 11); Section 1 (Dependency Matrix, representative); Section 2 (Coverage Summary); Section 3 (Conflict Analysis); Section 4 (Recommendations)</w:t>
            </w:r>
          </w:p>
        </w:tc>
        <w:tc>
          <w:tcPr>
            <w:tcW w:type="dxa" w:w="2200"/>
            <w:tcMar>
              <w:top w:type="dxa" w:w="60"/>
              <w:left w:type="dxa" w:w="100"/>
              <w:bottom w:type="dxa" w:w="60"/>
              <w:right w:type="dxa" w:w="100"/>
            </w:tcMar>
            <w:vAlign w:val="center"/>
          </w:tcPr>
          <w:p>
            <w:r>
              <w:rPr>
                <w:b w:val="false"/>
                <w:bCs w:val="false"/>
                <w:i w:val="false"/>
                <w:iCs w:val="false"/>
                <w:color w:val="000000"/>
                <w:sz w:val="19"/>
                <w:szCs w:val="19"/>
              </w:rPr>
              <w:t xml:space="preserve">N/A — initial version</w:t>
            </w:r>
          </w:p>
        </w:tc>
        <w:tc>
          <w:tcPr>
            <w:tcW w:type="dxa" w:w="900"/>
            <w:tcMar>
              <w:top w:type="dxa" w:w="60"/>
              <w:left w:type="dxa" w:w="100"/>
              <w:bottom w:type="dxa" w:w="60"/>
              <w:right w:type="dxa" w:w="100"/>
            </w:tcMar>
            <w:vAlign w:val="center"/>
          </w:tcPr>
          <w:p>
            <w:r>
              <w:rPr>
                <w:b w:val="false"/>
                <w:bCs w:val="false"/>
                <w:i w:val="false"/>
                <w:iCs w:val="false"/>
                <w:color w:val="000000"/>
                <w:sz w:val="19"/>
                <w:szCs w:val="19"/>
              </w:rPr>
              <w:t xml:space="preserve">71</w:t>
            </w:r>
          </w:p>
        </w:tc>
        <w:tc>
          <w:tcPr>
            <w:tcW w:type="dxa" w:w="900"/>
            <w:tcMar>
              <w:top w:type="dxa" w:w="60"/>
              <w:left w:type="dxa" w:w="100"/>
              <w:bottom w:type="dxa" w:w="60"/>
              <w:right w:type="dxa" w:w="100"/>
            </w:tcMar>
            <w:vAlign w:val="center"/>
          </w:tcPr>
          <w:p>
            <w:r>
              <w:rPr>
                <w:b w:val="false"/>
                <w:bCs w:val="false"/>
                <w:i w:val="false"/>
                <w:iCs w:val="false"/>
                <w:color w:val="000000"/>
                <w:sz w:val="19"/>
                <w:szCs w:val="19"/>
              </w:rPr>
              <w:t xml:space="preserve">0</w:t>
            </w:r>
          </w:p>
        </w:tc>
        <w:tc>
          <w:tcPr>
            <w:tcW w:type="dxa" w:w="900"/>
            <w:tcMar>
              <w:top w:type="dxa" w:w="60"/>
              <w:left w:type="dxa" w:w="100"/>
              <w:bottom w:type="dxa" w:w="60"/>
              <w:right w:type="dxa" w:w="100"/>
            </w:tcMar>
            <w:vAlign w:val="center"/>
          </w:tcPr>
          <w:p>
            <w:r>
              <w:rPr>
                <w:b w:val="false"/>
                <w:bCs w:val="false"/>
                <w:i w:val="false"/>
                <w:iCs w:val="false"/>
                <w:color w:val="000000"/>
                <w:sz w:val="19"/>
                <w:szCs w:val="19"/>
              </w:rPr>
              <w:t xml:space="preserve">0</w:t>
            </w:r>
          </w:p>
        </w:tc>
        <w:tc>
          <w:tcPr>
            <w:tcW w:type="dxa" w:w="1940"/>
            <w:tcMar>
              <w:top w:type="dxa" w:w="60"/>
              <w:left w:type="dxa" w:w="100"/>
              <w:bottom w:type="dxa" w:w="60"/>
              <w:right w:type="dxa" w:w="100"/>
            </w:tcMar>
            <w:vAlign w:val="center"/>
          </w:tcPr>
          <w:p>
            <w:r>
              <w:rPr>
                <w:b w:val="false"/>
                <w:bCs w:val="false"/>
                <w:i w:val="false"/>
                <w:iCs w:val="false"/>
                <w:color w:val="000000"/>
                <w:sz w:val="19"/>
                <w:szCs w:val="19"/>
              </w:rPr>
              <w:t xml:space="preserve">Baseline enterprise business rule catalogue covering all 11 modules, conditionally approved for reference.</w:t>
            </w:r>
          </w:p>
        </w:tc>
      </w:tr>
      <w:tr>
        <w:tc>
          <w:tcPr>
            <w:tcW w:type="dxa" w:w="900"/>
            <w:tcMar>
              <w:top w:type="dxa" w:w="60"/>
              <w:left w:type="dxa" w:w="100"/>
              <w:bottom w:type="dxa" w:w="60"/>
              <w:right w:type="dxa" w:w="100"/>
            </w:tcMar>
            <w:vAlign w:val="center"/>
          </w:tcPr>
          <w:p>
            <w:r>
              <w:rPr>
                <w:b w:val="false"/>
                <w:bCs w:val="false"/>
                <w:i w:val="false"/>
                <w:iCs w:val="false"/>
                <w:color w:val="000000"/>
                <w:sz w:val="19"/>
                <w:szCs w:val="19"/>
              </w:rPr>
              <w:t xml:space="preserve">1.1</w:t>
            </w:r>
          </w:p>
        </w:tc>
        <w:tc>
          <w:tcPr>
            <w:tcW w:type="dxa" w:w="1300"/>
            <w:tcMar>
              <w:top w:type="dxa" w:w="60"/>
              <w:left w:type="dxa" w:w="100"/>
              <w:bottom w:type="dxa" w:w="60"/>
              <w:right w:type="dxa" w:w="100"/>
            </w:tcMar>
            <w:vAlign w:val="center"/>
          </w:tcPr>
          <w:p>
            <w:r>
              <w:rPr>
                <w:b w:val="false"/>
                <w:bCs w:val="false"/>
                <w:i w:val="false"/>
                <w:iCs w:val="false"/>
                <w:color w:val="000000"/>
                <w:sz w:val="19"/>
                <w:szCs w:val="19"/>
              </w:rPr>
              <w:t xml:space="preserve">23-Jul-2026</w:t>
            </w:r>
          </w:p>
        </w:tc>
        <w:tc>
          <w:tcPr>
            <w:tcW w:type="dxa" w:w="2800"/>
            <w:tcMar>
              <w:top w:type="dxa" w:w="60"/>
              <w:left w:type="dxa" w:w="100"/>
              <w:bottom w:type="dxa" w:w="60"/>
              <w:right w:type="dxa" w:w="100"/>
            </w:tcMar>
            <w:vAlign w:val="center"/>
          </w:tcPr>
          <w:p>
            <w:r>
              <w:rPr>
                <w:b w:val="false"/>
                <w:bCs w:val="false"/>
                <w:i w:val="false"/>
                <w:iCs w:val="false"/>
                <w:color w:val="000000"/>
                <w:sz w:val="19"/>
                <w:szCs w:val="19"/>
              </w:rPr>
              <w:t xml:space="preserve">Enterprise-grade refinement per client review observations (metadata depth, full traceability, lifecycle governance, glossary, consolidated configuration gaps)</w:t>
            </w:r>
          </w:p>
        </w:tc>
        <w:tc>
          <w:tcPr>
            <w:tcW w:type="dxa" w:w="2200"/>
            <w:tcMar>
              <w:top w:type="dxa" w:w="60"/>
              <w:left w:type="dxa" w:w="100"/>
              <w:bottom w:type="dxa" w:w="60"/>
              <w:right w:type="dxa" w:w="100"/>
            </w:tcMar>
            <w:vAlign w:val="center"/>
          </w:tcPr>
          <w:p>
            <w:r>
              <w:rPr>
                <w:b w:val="false"/>
                <w:bCs w:val="false"/>
                <w:i w:val="false"/>
                <w:iCs w:val="false"/>
                <w:color w:val="000000"/>
                <w:sz w:val="19"/>
                <w:szCs w:val="19"/>
              </w:rPr>
              <w:t xml:space="preserve">Change Log; Rule Metadata Fields 19-25 (all 71 rules); Section 5 Rule Lifecycle; Section 6 Numbering Standard; Section 7 Glossary; Section 8 Rule Dependency Table; Section 9 Final Enterprise Review; Section 3.5 Consolidated Configurable Items table</w:t>
            </w:r>
          </w:p>
        </w:tc>
        <w:tc>
          <w:tcPr>
            <w:tcW w:type="dxa" w:w="2200"/>
            <w:tcMar>
              <w:top w:type="dxa" w:w="60"/>
              <w:left w:type="dxa" w:w="100"/>
              <w:bottom w:type="dxa" w:w="60"/>
              <w:right w:type="dxa" w:w="100"/>
            </w:tcMar>
            <w:vAlign w:val="center"/>
          </w:tcPr>
          <w:p>
            <w:r>
              <w:rPr>
                <w:b w:val="false"/>
                <w:bCs w:val="false"/>
                <w:i w:val="false"/>
                <w:iCs w:val="false"/>
                <w:color w:val="000000"/>
                <w:sz w:val="19"/>
                <w:szCs w:val="19"/>
              </w:rPr>
              <w:t xml:space="preserve">Section 1 expanded from 11 representative rules to full 71-rule traceability table; Section 3 expanded with explicit race-condition, override-policy, and Timetable-BPMN-gap observations</w:t>
            </w:r>
          </w:p>
        </w:tc>
        <w:tc>
          <w:tcPr>
            <w:tcW w:type="dxa" w:w="900"/>
            <w:tcMar>
              <w:top w:type="dxa" w:w="60"/>
              <w:left w:type="dxa" w:w="100"/>
              <w:bottom w:type="dxa" w:w="60"/>
              <w:right w:type="dxa" w:w="100"/>
            </w:tcMar>
            <w:vAlign w:val="center"/>
          </w:tcPr>
          <w:p>
            <w:r>
              <w:rPr>
                <w:b w:val="false"/>
                <w:bCs w:val="false"/>
                <w:i w:val="false"/>
                <w:iCs w:val="false"/>
                <w:color w:val="000000"/>
                <w:sz w:val="19"/>
                <w:szCs w:val="19"/>
              </w:rPr>
              <w:t xml:space="preserve">0</w:t>
            </w:r>
          </w:p>
        </w:tc>
        <w:tc>
          <w:tcPr>
            <w:tcW w:type="dxa" w:w="900"/>
            <w:tcMar>
              <w:top w:type="dxa" w:w="60"/>
              <w:left w:type="dxa" w:w="100"/>
              <w:bottom w:type="dxa" w:w="60"/>
              <w:right w:type="dxa" w:w="100"/>
            </w:tcMar>
            <w:vAlign w:val="center"/>
          </w:tcPr>
          <w:p>
            <w:r>
              <w:rPr>
                <w:b w:val="false"/>
                <w:bCs w:val="false"/>
                <w:i w:val="false"/>
                <w:iCs w:val="false"/>
                <w:color w:val="000000"/>
                <w:sz w:val="19"/>
                <w:szCs w:val="19"/>
              </w:rPr>
              <w:t xml:space="preserve">0</w:t>
            </w:r>
          </w:p>
        </w:tc>
        <w:tc>
          <w:tcPr>
            <w:tcW w:type="dxa" w:w="900"/>
            <w:tcMar>
              <w:top w:type="dxa" w:w="60"/>
              <w:left w:type="dxa" w:w="100"/>
              <w:bottom w:type="dxa" w:w="60"/>
              <w:right w:type="dxa" w:w="100"/>
            </w:tcMar>
            <w:vAlign w:val="center"/>
          </w:tcPr>
          <w:p>
            <w:r>
              <w:rPr>
                <w:b w:val="false"/>
                <w:bCs w:val="false"/>
                <w:i w:val="false"/>
                <w:iCs w:val="false"/>
                <w:color w:val="000000"/>
                <w:sz w:val="19"/>
                <w:szCs w:val="19"/>
              </w:rPr>
              <w:t xml:space="preserve">0</w:t>
            </w:r>
          </w:p>
        </w:tc>
        <w:tc>
          <w:tcPr>
            <w:tcW w:type="dxa" w:w="1940"/>
            <w:tcMar>
              <w:top w:type="dxa" w:w="60"/>
              <w:left w:type="dxa" w:w="100"/>
              <w:bottom w:type="dxa" w:w="60"/>
              <w:right w:type="dxa" w:w="100"/>
            </w:tcMar>
            <w:vAlign w:val="center"/>
          </w:tcPr>
          <w:p>
            <w:r>
              <w:rPr>
                <w:b w:val="false"/>
                <w:bCs w:val="false"/>
                <w:i w:val="false"/>
                <w:iCs w:val="false"/>
                <w:color w:val="000000"/>
                <w:sz w:val="19"/>
                <w:szCs w:val="19"/>
              </w:rPr>
              <w:t xml:space="preserve">Enterprise production-quality catalogue, ready to support BRD phase, with zero change to any approved Business Rule ID or statement.</w:t>
            </w:r>
          </w:p>
        </w:tc>
      </w:tr>
    </w:tbl>
    <w:p>
      <w:pPr>
        <w:spacing w:after="200"/>
      </w:pPr>
    </w:p>
    <w:p>
      <w:pPr>
        <w:pStyle w:val="Heading2"/>
        <w:outlineLvl w:val="1"/>
      </w:pPr>
      <w:r>
        <w:t xml:space="preserve">Version History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0840"/>
      </w:tblGrid>
      <w:tr>
        <w:tc>
          <w:tcPr>
            <w:tcW w:type="dxa" w:w="1400"/>
            <w:shd w:fill="2E5395" w:color="auto" w:val="clear"/>
            <w:tcMar>
              <w:top w:type="dxa" w:w="60"/>
              <w:left w:type="dxa" w:w="100"/>
              <w:bottom w:type="dxa" w:w="60"/>
              <w:right w:type="dxa" w:w="100"/>
            </w:tcMar>
            <w:vAlign w:val="center"/>
          </w:tcPr>
          <w:p>
            <w:r>
              <w:rPr>
                <w:b/>
                <w:bCs/>
                <w:i w:val="false"/>
                <w:iCs w:val="false"/>
                <w:color w:val="FFFFFF"/>
                <w:sz w:val="19"/>
                <w:szCs w:val="19"/>
              </w:rPr>
              <w:t xml:space="preserve">Version</w:t>
            </w:r>
          </w:p>
        </w:tc>
        <w:tc>
          <w:tcPr>
            <w:tcW w:type="dxa" w:w="1800"/>
            <w:shd w:fill="2E5395" w:color="auto" w:val="clear"/>
            <w:tcMar>
              <w:top w:type="dxa" w:w="60"/>
              <w:left w:type="dxa" w:w="100"/>
              <w:bottom w:type="dxa" w:w="60"/>
              <w:right w:type="dxa" w:w="100"/>
            </w:tcMar>
            <w:vAlign w:val="center"/>
          </w:tcPr>
          <w:p>
            <w:r>
              <w:rPr>
                <w:b/>
                <w:bCs/>
                <w:i w:val="false"/>
                <w:iCs w:val="false"/>
                <w:color w:val="FFFFFF"/>
                <w:sz w:val="19"/>
                <w:szCs w:val="19"/>
              </w:rPr>
              <w:t xml:space="preserve">Date</w:t>
            </w:r>
          </w:p>
        </w:tc>
        <w:tc>
          <w:tcPr>
            <w:tcW w:type="dxa" w:w="10840"/>
            <w:shd w:fill="2E5395" w:color="auto" w:val="clear"/>
            <w:tcMar>
              <w:top w:type="dxa" w:w="60"/>
              <w:left w:type="dxa" w:w="100"/>
              <w:bottom w:type="dxa" w:w="60"/>
              <w:right w:type="dxa" w:w="100"/>
            </w:tcMar>
            <w:vAlign w:val="center"/>
          </w:tcPr>
          <w:p>
            <w:r>
              <w:rPr>
                <w:b/>
                <w:bCs/>
                <w:i w:val="false"/>
                <w:iCs w:val="false"/>
                <w:color w:val="FFFFFF"/>
                <w:sz w:val="19"/>
                <w:szCs w:val="19"/>
              </w:rPr>
              <w:t xml:space="preserve">Change Summary</w:t>
            </w:r>
          </w:p>
        </w:tc>
      </w:tr>
      <w:tr>
        <w:tc>
          <w:tcPr>
            <w:tcW w:type="dxa" w:w="1400"/>
            <w:tcMar>
              <w:top w:type="dxa" w:w="60"/>
              <w:left w:type="dxa" w:w="100"/>
              <w:bottom w:type="dxa" w:w="60"/>
              <w:right w:type="dxa" w:w="100"/>
            </w:tcMar>
            <w:vAlign w:val="center"/>
          </w:tcPr>
          <w:p>
            <w:r>
              <w:rPr>
                <w:b w:val="false"/>
                <w:bCs w:val="false"/>
                <w:i w:val="false"/>
                <w:iCs w:val="false"/>
                <w:color w:val="000000"/>
                <w:sz w:val="19"/>
                <w:szCs w:val="19"/>
              </w:rPr>
              <w:t xml:space="preserve">1.0</w:t>
            </w:r>
          </w:p>
        </w:tc>
        <w:tc>
          <w:tcPr>
            <w:tcW w:type="dxa" w:w="1800"/>
            <w:tcMar>
              <w:top w:type="dxa" w:w="60"/>
              <w:left w:type="dxa" w:w="100"/>
              <w:bottom w:type="dxa" w:w="60"/>
              <w:right w:type="dxa" w:w="100"/>
            </w:tcMar>
            <w:vAlign w:val="center"/>
          </w:tcPr>
          <w:p>
            <w:r>
              <w:rPr>
                <w:b w:val="false"/>
                <w:bCs w:val="false"/>
                <w:i w:val="false"/>
                <w:iCs w:val="false"/>
                <w:color w:val="000000"/>
                <w:sz w:val="19"/>
                <w:szCs w:val="19"/>
              </w:rPr>
              <w:t xml:space="preserve">23-Jul-2026</w:t>
            </w:r>
          </w:p>
        </w:tc>
        <w:tc>
          <w:tcPr>
            <w:tcW w:type="dxa" w:w="10840"/>
            <w:tcMar>
              <w:top w:type="dxa" w:w="60"/>
              <w:left w:type="dxa" w:w="100"/>
              <w:bottom w:type="dxa" w:w="60"/>
              <w:right w:type="dxa" w:w="100"/>
            </w:tcMar>
            <w:vAlign w:val="center"/>
          </w:tcPr>
          <w:p>
            <w:r>
              <w:rPr>
                <w:b w:val="false"/>
                <w:bCs w:val="false"/>
                <w:i w:val="false"/>
                <w:iCs w:val="false"/>
                <w:color w:val="000000"/>
                <w:sz w:val="19"/>
                <w:szCs w:val="19"/>
              </w:rPr>
              <w:t xml:space="preserve">Initial Business Rule Catalogue: 71 rules across 11 modules, 18-field records, Dependency Matrix, Coverage Summary, Conflict Analysis, Recommendations.</w:t>
            </w:r>
          </w:p>
        </w:tc>
      </w:tr>
      <w:tr>
        <w:tc>
          <w:tcPr>
            <w:tcW w:type="dxa" w:w="1400"/>
            <w:tcMar>
              <w:top w:type="dxa" w:w="60"/>
              <w:left w:type="dxa" w:w="100"/>
              <w:bottom w:type="dxa" w:w="60"/>
              <w:right w:type="dxa" w:w="100"/>
            </w:tcMar>
            <w:vAlign w:val="center"/>
          </w:tcPr>
          <w:p>
            <w:r>
              <w:rPr>
                <w:b w:val="false"/>
                <w:bCs w:val="false"/>
                <w:i w:val="false"/>
                <w:iCs w:val="false"/>
                <w:color w:val="000000"/>
                <w:sz w:val="19"/>
                <w:szCs w:val="19"/>
              </w:rPr>
              <w:t xml:space="preserve">1.1</w:t>
            </w:r>
          </w:p>
        </w:tc>
        <w:tc>
          <w:tcPr>
            <w:tcW w:type="dxa" w:w="1800"/>
            <w:tcMar>
              <w:top w:type="dxa" w:w="60"/>
              <w:left w:type="dxa" w:w="100"/>
              <w:bottom w:type="dxa" w:w="60"/>
              <w:right w:type="dxa" w:w="100"/>
            </w:tcMar>
            <w:vAlign w:val="center"/>
          </w:tcPr>
          <w:p>
            <w:r>
              <w:rPr>
                <w:b w:val="false"/>
                <w:bCs w:val="false"/>
                <w:i w:val="false"/>
                <w:iCs w:val="false"/>
                <w:color w:val="000000"/>
                <w:sz w:val="19"/>
                <w:szCs w:val="19"/>
              </w:rPr>
              <w:t xml:space="preserve">23-Jul-2026</w:t>
            </w:r>
          </w:p>
        </w:tc>
        <w:tc>
          <w:tcPr>
            <w:tcW w:type="dxa" w:w="10840"/>
            <w:tcMar>
              <w:top w:type="dxa" w:w="60"/>
              <w:left w:type="dxa" w:w="100"/>
              <w:bottom w:type="dxa" w:w="60"/>
              <w:right w:type="dxa" w:w="100"/>
            </w:tcMar>
            <w:vAlign w:val="center"/>
          </w:tcPr>
          <w:p>
            <w:r>
              <w:rPr>
                <w:b w:val="false"/>
                <w:bCs w:val="false"/>
                <w:i w:val="false"/>
                <w:iCs w:val="false"/>
                <w:color w:val="000000"/>
                <w:sz w:val="19"/>
                <w:szCs w:val="19"/>
              </w:rPr>
              <w:t xml:space="preserve">Enterprise refinement: added 7 metadata fields per rule (Version, Status, Effective From/Until, Category, Source, Related Rules); expanded Dependency Matrix to full 71-rule traceability; added Rule Lifecycle, Numbering Standard, Glossary, Rule Dependency Table, and Final Enterprise Review sections; consolidated the 24 configurable items into one table; explicitly documented the ADM-001/ADM-007 race condition, the four-rule override-authority inconsistency, and the Timetable BPMN traceability gap. No rule statement, ID, or existing field was altered.</w:t>
            </w:r>
          </w:p>
        </w:tc>
      </w:tr>
    </w:tbl>
    <w:p>
      <w:pPr>
        <w:pStyle w:val="Heading1"/>
        <w:outlineLvl w:val="0"/>
      </w:pPr>
      <w:r>
        <w:t xml:space="preserve">Module-Wise Business Rules</w:t>
      </w:r>
    </w:p>
    <w:p>
      <w:pPr>
        <w:pStyle w:val="Heading2"/>
        <w:pageBreakBefore/>
        <w:outlineLvl w:val="1"/>
      </w:pPr>
      <w:r>
        <w:t xml:space="preserve">Module: Admission &amp; Enrollment  (8 Rules)</w:t>
      </w:r>
    </w:p>
    <w:p>
      <w:pPr>
        <w:shd w:fill="DCE6F1" w:color="auto" w:val="clear"/>
        <w:spacing w:after="100" w:before="260"/>
      </w:pPr>
      <w:r>
        <w:rPr>
          <w:b/>
          <w:bCs/>
          <w:color w:val="1F3864"/>
          <w:sz w:val="21"/>
          <w:szCs w:val="21"/>
        </w:rPr>
        <w:t xml:space="preserve">BR-ADM-001  —  Seat Capacity Ceiling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Seat Capacity Ceiling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Total confirmed admissions for a class/section cannot exceed the configured seat capacity for that class/section and academic year.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overcrowding, protects the pupil-teacher ratio, and keeps the admission pipeline aligned with physical/regulatory capacity.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 attempts to confirm an admission.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Class/section seat capacity is configured for the academic year.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Seat count decremented by one; capacity check re-evaluated for subsequent applicants.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counts active admissions for the class/section and compares against configured capacity before allowing confirmation.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Confirmation is blocked with an on-screen error; applicant is offered the Waitlist workflow (BR-ADM-008).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Overbooked class, non-compliance with pupil-teacher ratio norms, operational and safety risk.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BR-ADM-007, BR-ADM-008</w:t>
            </w:r>
          </w:p>
        </w:tc>
      </w:tr>
    </w:tbl>
    <w:p>
      <w:pPr>
        <w:spacing w:after="200"/>
      </w:pPr>
    </w:p>
    <w:p>
      <w:pPr>
        <w:shd w:fill="DCE6F1" w:color="auto" w:val="clear"/>
        <w:spacing w:after="100" w:before="260"/>
      </w:pPr>
      <w:r>
        <w:rPr>
          <w:b/>
          <w:bCs/>
          <w:color w:val="1F3864"/>
          <w:sz w:val="21"/>
          <w:szCs w:val="21"/>
        </w:rPr>
        <w:t xml:space="preserve">BR-ADM-002  —  Single Admission Number per Student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Single Admission Number per Student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cannot be issued more than one active admission number within the same academic year.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duplicate identity records that would corrupt attendance, fee, and academic history downstream.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admission confirmation is initiated.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Applicant identity (Aadhaar/prior record) is checked against existing active students.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single, unique admission number exists for the student for the academic year.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DPDP Act, 2023 (identity data matching)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Aadhaar number and name/DOB combination against active student records before number generation.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Duplicate attempt is blocked and routed to Admin Staff for manual identity reconciliation.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Duplicate student records, fractured academic/fee history, reporting errors to UDISE+.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BR-SIS-002</w:t>
            </w:r>
          </w:p>
        </w:tc>
      </w:tr>
    </w:tbl>
    <w:p>
      <w:pPr>
        <w:spacing w:after="200"/>
      </w:pPr>
    </w:p>
    <w:p>
      <w:pPr>
        <w:shd w:fill="DCE6F1" w:color="auto" w:val="clear"/>
        <w:spacing w:after="100" w:before="260"/>
      </w:pPr>
      <w:r>
        <w:rPr>
          <w:b/>
          <w:bCs/>
          <w:color w:val="1F3864"/>
          <w:sz w:val="21"/>
          <w:szCs w:val="21"/>
        </w:rPr>
        <w:t xml:space="preserve">BR-ADM-003  —  RTE Quota Seat Ceiling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RTE Quota Seat Ceiling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RTE-quota admissions for a class cannot exceed the statutory percentage (25% per RTE Act, 2009) of total configured seats for that class.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statutory compliance with the Right to Education Act and accurate government reimbursement claims.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 RTE-quota application is being confirmed.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RTE quota seat count is configured per class per RTE Act, 2009.</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RTE quota seat count decremented; ceiling re-evaluated for subsequent RTE applicants.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FR-05b</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RTE Act, 2009</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tracks RTE-quota admissions separately from general-category admissions and blocks confirmation beyond the configured 25% ceiling.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Confirmation blocked; applicant routed to RTE waitlist per district allocation process.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Statutory non-compliance, risk of penalty or loss of reimbursement eligibility.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Compliance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Government Regulation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BR-ADM-004, BR-FEE-005</w:t>
            </w:r>
          </w:p>
        </w:tc>
      </w:tr>
    </w:tbl>
    <w:p>
      <w:pPr>
        <w:spacing w:after="200"/>
      </w:pPr>
    </w:p>
    <w:p>
      <w:pPr>
        <w:shd w:fill="DCE6F1" w:color="auto" w:val="clear"/>
        <w:spacing w:after="100" w:before="260"/>
      </w:pPr>
      <w:r>
        <w:rPr>
          <w:b/>
          <w:bCs/>
          <w:color w:val="1F3864"/>
          <w:sz w:val="21"/>
          <w:szCs w:val="21"/>
        </w:rPr>
        <w:t xml:space="preserve">BR-ADM-004  —  RTE Quota Reclassification Lock</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RTE Quota Reclassification Lock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seat allotted under the RTE Act 25% quota cannot be reclassified to the general category during the academic year.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Protects the integrity of statutory quota reporting and prevents circumvention of RTE obligations.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Any attempt to change a student's admission category.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Student's current admission category is RTE Quota.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Category change request is rejected and logged.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FR-05b</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RTE Act, 2009</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blocks any category-field update for students flagged RTE-quota; override requires elevated approval.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Change request rejected with audit log entry; escalated to Academic Head if repeated.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Statutory non-compliance; loss of legitimate general-category seat capacity tracking.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Carried forward from RGD v2.0 BRULE-03.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Compliance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Government Regulation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BR-ADM-003, BR-FEE-005</w:t>
            </w:r>
          </w:p>
        </w:tc>
      </w:tr>
    </w:tbl>
    <w:p>
      <w:pPr>
        <w:spacing w:after="200"/>
      </w:pPr>
    </w:p>
    <w:p>
      <w:pPr>
        <w:shd w:fill="DCE6F1" w:color="auto" w:val="clear"/>
        <w:spacing w:after="100" w:before="260"/>
      </w:pPr>
      <w:r>
        <w:rPr>
          <w:b/>
          <w:bCs/>
          <w:color w:val="1F3864"/>
          <w:sz w:val="21"/>
          <w:szCs w:val="21"/>
        </w:rPr>
        <w:t xml:space="preserve">BR-ADM-005  —  Mandatory Document Verification Before Confirmation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Mandatory Document Verification Before Confirmation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 application cannot move to "Admitted" status until all mandatory documents are marked verified by 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enrollment eligibility and statutory documentation (birth certificate, prior transfer certificate, etc.) is on file before commitment of a seat.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 attempts to change application status to Admitted.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All mandatory document types for the applicant category are uploaded.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Status change permitted only when verification is complete.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Manual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 manually marks each mandatory document as Verified; system checks all required types are marked before allowing status change.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Status change blocked with a list of outstanding documents shown to 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Enrollment of ineligible or undocumented students; downstream compliance risk.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BR-SIS-003</w:t>
            </w:r>
          </w:p>
        </w:tc>
      </w:tr>
    </w:tbl>
    <w:p>
      <w:pPr>
        <w:spacing w:after="200"/>
      </w:pPr>
    </w:p>
    <w:p>
      <w:pPr>
        <w:shd w:fill="DCE6F1" w:color="auto" w:val="clear"/>
        <w:spacing w:after="100" w:before="260"/>
      </w:pPr>
      <w:r>
        <w:rPr>
          <w:b/>
          <w:bCs/>
          <w:color w:val="1F3864"/>
          <w:sz w:val="21"/>
          <w:szCs w:val="21"/>
        </w:rPr>
        <w:t xml:space="preserve">BR-ADM-006  —  Duplicate Application Detection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Duplicate Application Detection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 application whose Aadhaar number or identity data matches an existing active or admitted student must be flagged and cannot be auto-approved.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fraudulent or accidental duplicate applications and protects data integrity.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application is submitted or reaches the verification stage.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Aadhaar/identity matching service is available.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Flagged application is routed to manual review; cannot proceed via automated approval path.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FR-05a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DPDP Act, 2023; UIDAI Norms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runs an identity-match check against active/admitted student records at submission and at verification.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Application held in "Flagged — Duplicate Review" status; Admin Staff manually resolves.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Duplicate enrollment, seat-count distortion, statutory reporting errors.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BR-SIS-002</w:t>
            </w:r>
          </w:p>
        </w:tc>
      </w:tr>
    </w:tbl>
    <w:p>
      <w:pPr>
        <w:spacing w:after="200"/>
      </w:pPr>
    </w:p>
    <w:p>
      <w:pPr>
        <w:shd w:fill="DCE6F1" w:color="auto" w:val="clear"/>
        <w:spacing w:after="100" w:before="260"/>
      </w:pPr>
      <w:r>
        <w:rPr>
          <w:b/>
          <w:bCs/>
          <w:color w:val="1F3864"/>
          <w:sz w:val="21"/>
          <w:szCs w:val="21"/>
        </w:rPr>
        <w:t xml:space="preserve">BR-ADM-007  —  Provisional Seat Hold Expiry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Provisional Seat Hold Expiry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seat held pending fee payment is automatically released back to available inventory after the configured hold period elapses.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seats being indefinitely blocked by applicants who do not complete payment, protecting genuine waitlisted applicants.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Provisional approval is granted, starting the hold timer.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Hold period duration is configured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Seat becomes available for waitlist offer; applicant notified.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Scheduled job checks provisional holds against the configured expiry duration and releases expired holds.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Applicant is notified of expiry and offered re-application; waitlisted applicants are notified of availability.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Seats unnecessarily blocked, reduced admission throughput, parent dissatisfaction on the waitlist.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BR-ADM-001, BR-ADM-008</w:t>
            </w:r>
          </w:p>
        </w:tc>
      </w:tr>
    </w:tbl>
    <w:p>
      <w:pPr>
        <w:spacing w:after="200"/>
      </w:pPr>
    </w:p>
    <w:p>
      <w:pPr>
        <w:shd w:fill="DCE6F1" w:color="auto" w:val="clear"/>
        <w:spacing w:after="100" w:before="260"/>
      </w:pPr>
      <w:r>
        <w:rPr>
          <w:b/>
          <w:bCs/>
          <w:color w:val="1F3864"/>
          <w:sz w:val="21"/>
          <w:szCs w:val="21"/>
        </w:rPr>
        <w:t xml:space="preserve">BR-ADM-008  —  Waitlist Ranking Order</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Waitlist Ranking Order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Waitlisted applicants must be offered a vacated seat strictly in the order defined by the configured ranking/priority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fairness and transparency in the admission process and avoids disputes.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seat becomes available (rejection, hold expiry, or capacity increase).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Waitlist ranking policy is configured (Client/Product Decision Required for exact ranking criteria, e.g., sibling/staff-ward priority).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Highest-ranked eligible waitlisted applicant is offered the seat.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selects the next applicant strictly by configured rank order; manual override requires logged justification.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Out-of-order offer is blocked unless an authorized override with justification is recorded.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Parent grievances, reputational risk, perceived unfairness in admissions.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BR-ADM-001, BR-ADM-007</w:t>
            </w:r>
          </w:p>
        </w:tc>
      </w:tr>
    </w:tbl>
    <w:p>
      <w:pPr>
        <w:spacing w:after="200"/>
      </w:pPr>
    </w:p>
    <w:p>
      <w:pPr>
        <w:pStyle w:val="Heading2"/>
        <w:pageBreakBefore/>
        <w:outlineLvl w:val="1"/>
      </w:pPr>
      <w:r>
        <w:t xml:space="preserve">Module: Student Information Management  (6 Rules)</w:t>
      </w:r>
    </w:p>
    <w:p>
      <w:pPr>
        <w:shd w:fill="DCE6F1" w:color="auto" w:val="clear"/>
        <w:spacing w:after="100" w:before="260"/>
      </w:pPr>
      <w:r>
        <w:rPr>
          <w:b/>
          <w:bCs/>
          <w:color w:val="1F3864"/>
          <w:sz w:val="21"/>
          <w:szCs w:val="21"/>
        </w:rPr>
        <w:t xml:space="preserve">BR-SIS-001  —  Academic and Fee Closure Before Promotion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and Fee Closure Before Promotion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cannot be promoted to the next academic year unless the current year's academic and fee records are marked closed.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students from advancing with unresolved academic or financial obligations, protecting data and revenue integrity.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year rollover / promotion process is initiated.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Current year's exam results and fee ledger status are available.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Promotion permitted only when both academic and fee closure conditions are met.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exam-result finalization status and fee-ledger balance/closure flag before allowing promotion.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Promotion blocked; student flagged for Academic Head review with reason (academic or fee).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Students advancing with incomplete records; downstream reporting and audit inconsistencies.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Carried forward from RGD v2.0 BRULE-05.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Derived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BR-EXM-001, BR-FEE-001</w:t>
            </w:r>
          </w:p>
        </w:tc>
      </w:tr>
    </w:tbl>
    <w:p>
      <w:pPr>
        <w:spacing w:after="200"/>
      </w:pPr>
    </w:p>
    <w:p>
      <w:pPr>
        <w:shd w:fill="DCE6F1" w:color="auto" w:val="clear"/>
        <w:spacing w:after="100" w:before="260"/>
      </w:pPr>
      <w:r>
        <w:rPr>
          <w:b/>
          <w:bCs/>
          <w:color w:val="1F3864"/>
          <w:sz w:val="21"/>
          <w:szCs w:val="21"/>
        </w:rPr>
        <w:t xml:space="preserve">BR-SIS-002  —  Unique Student Identity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Unique Student Identity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master record must have a unique combination of Admission Number and Aadhaar Number (where provided); duplicates are rejected.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Maintains a single, trustworthy system of record for every student across all consuming modules.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 record is created or updated.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Aadhaar/identity uniqueness check service is available.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Record saved only if uniqueness constraint is satisfied.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DPDP Act, 2023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enforces a uniqueness constraint at the database level on Admission Number and, where present, Aadhaar Number.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Save operation is rejected with an error identifying the conflicting record.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Data corruption across Attendance, Fee, Examination, and Transport modules.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BR-ADM-002, BR-ADM-006</w:t>
            </w:r>
          </w:p>
        </w:tc>
      </w:tr>
    </w:tbl>
    <w:p>
      <w:pPr>
        <w:spacing w:after="200"/>
      </w:pPr>
    </w:p>
    <w:p>
      <w:pPr>
        <w:shd w:fill="DCE6F1" w:color="auto" w:val="clear"/>
        <w:spacing w:after="100" w:before="260"/>
      </w:pPr>
      <w:r>
        <w:rPr>
          <w:b/>
          <w:bCs/>
          <w:color w:val="1F3864"/>
          <w:sz w:val="21"/>
          <w:szCs w:val="21"/>
        </w:rPr>
        <w:t xml:space="preserve">BR-SIS-003  —  Mandatory Field Completeness Before Activation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Mandatory Field Completeness Before Activation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record remains in "Draft" status and is withheld from all downstream modules until all mandatory fields are completed.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no module (Attendance, Fee, Examination) operates on incomplete or unreliable student data.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 record is created via manual entry or bulk import.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Mandatory field list is configured per RGD v2.0 FR-06.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Record status changes from Draft to Active once complete.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FR-06, FR-07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validates presence of all configured mandatory fields before permitting a status change from Draft to Active.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Record remains in Draft; Admin Staff is shown the list of outstanding fields.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Incomplete records silently propagating errors into Attendance, Fee, and Examination modules.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BR-ADM-005</w:t>
            </w:r>
          </w:p>
        </w:tc>
      </w:tr>
    </w:tbl>
    <w:p>
      <w:pPr>
        <w:spacing w:after="200"/>
      </w:pPr>
    </w:p>
    <w:p>
      <w:pPr>
        <w:shd w:fill="DCE6F1" w:color="auto" w:val="clear"/>
        <w:spacing w:after="100" w:before="260"/>
      </w:pPr>
      <w:r>
        <w:rPr>
          <w:b/>
          <w:bCs/>
          <w:color w:val="1F3864"/>
          <w:sz w:val="21"/>
          <w:szCs w:val="21"/>
        </w:rPr>
        <w:t xml:space="preserve">BR-SIS-004  —  Historical Record Immutability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Historical Record Immutability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records for a closed academic year cannot be edited; corrections require a logged administrative override.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Preserves the integrity of historical academic records for audit, transfer certificates, and statutory reporting.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Edit attempted on a record belonging to a closed academic year.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year is marked "Closed".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Edit is rejected unless an authorized override workflow is used.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Mixed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blocks direct edits to closed-year fields; an override workflow requires IT Admin or Academic Head authorization and is logged.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Direct edit attempt is blocked; user is redirected to the override request workflow.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Falsified or inconsistent historical records; loss of audit trail integrity.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Audit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BR-ATT-002, BR-EXM-003, BR-HR-007</w:t>
            </w:r>
          </w:p>
        </w:tc>
      </w:tr>
    </w:tbl>
    <w:p>
      <w:pPr>
        <w:spacing w:after="200"/>
      </w:pPr>
    </w:p>
    <w:p>
      <w:pPr>
        <w:shd w:fill="DCE6F1" w:color="auto" w:val="clear"/>
        <w:spacing w:after="100" w:before="260"/>
      </w:pPr>
      <w:r>
        <w:rPr>
          <w:b/>
          <w:bCs/>
          <w:color w:val="1F3864"/>
          <w:sz w:val="21"/>
          <w:szCs w:val="21"/>
        </w:rPr>
        <w:t xml:space="preserve">BR-SIS-005  —  Class/Section Capacity on Transfer</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Class/Section Capacity on Transfer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mid-year class/section transfer cannot be completed if it would breach the configured seat capacity of the destination section.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Maintains consistent capacity management across the academic year, not just at initial admission.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 initiates a class/section transfer for an existing student.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Destination section's configured capacity and current occupancy are known.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Transfer completed only if destination capacity is not breached.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destination-section occupancy against configured capacity before completing the transfer.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Transfer blocked with an error identifying the destination section's current occupancy.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Overcrowded sections, inconsistency with BR-ADM-001 intent applied only at admission time.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BR-ADM-001</w:t>
            </w:r>
          </w:p>
        </w:tc>
      </w:tr>
    </w:tbl>
    <w:p>
      <w:pPr>
        <w:spacing w:after="200"/>
      </w:pPr>
    </w:p>
    <w:p>
      <w:pPr>
        <w:shd w:fill="DCE6F1" w:color="auto" w:val="clear"/>
        <w:spacing w:after="100" w:before="260"/>
      </w:pPr>
      <w:r>
        <w:rPr>
          <w:b/>
          <w:bCs/>
          <w:color w:val="1F3864"/>
          <w:sz w:val="21"/>
          <w:szCs w:val="21"/>
        </w:rPr>
        <w:t xml:space="preserve">BR-SIS-006  —  Guardian-Student Linkage Mandatory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Guardian-Student Linkage Mandatory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Every active student record must have at least one linked parent/guardian contact record for communication and portal access.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the Communication and Portal modules always have a valid recipient/access-holder for every active student.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 record status changes to Active.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Guardian contact capture fields are available on the student profile.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Active status permitted only when at least one guardian contact exists.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validates at least one guardian contact record (name + mobile or email) exists before allowing Active status.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Activation blocked; Admin Staff prompted to complete guardian contact details.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Students without any parent-facing communication channel; portal access failure.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BR-ATT-004, BR-COM-001</w:t>
            </w:r>
          </w:p>
        </w:tc>
      </w:tr>
    </w:tbl>
    <w:p>
      <w:pPr>
        <w:spacing w:after="200"/>
      </w:pPr>
    </w:p>
    <w:p>
      <w:pPr>
        <w:pStyle w:val="Heading2"/>
        <w:pageBreakBefore/>
        <w:outlineLvl w:val="1"/>
      </w:pPr>
      <w:r>
        <w:t xml:space="preserve">Module: Attendance Management  (7 Rules)</w:t>
      </w:r>
    </w:p>
    <w:p>
      <w:pPr>
        <w:shd w:fill="DCE6F1" w:color="auto" w:val="clear"/>
        <w:spacing w:after="100" w:before="260"/>
      </w:pPr>
      <w:r>
        <w:rPr>
          <w:b/>
          <w:bCs/>
          <w:color w:val="1F3864"/>
          <w:sz w:val="21"/>
          <w:szCs w:val="21"/>
        </w:rPr>
        <w:t xml:space="preserve">BR-ATT-001  —  Single Attendance State per Period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Single Attendance State per Period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cannot be marked both present and absent for the same period on the same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Preserves data integrity for attendance percentage, examination eligibility, and reporting calculations.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is marked (manual, biometric, or RFID).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 attendance record for that student/period/date does not already exist with a conflicting state.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Exactly one attendance state exists per student per period per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for an existing record for the same student/period/date before saving; conflicting states are rejected.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Save is rejected with an error; Teacher is prompted to correct the existing entry instead.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Inaccurate attendance percentage, incorrect exam eligibility and payroll linkage decisions.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Carried forward from RGD v2.0 BRULE-01.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shd w:fill="DCE6F1" w:color="auto" w:val="clear"/>
        <w:spacing w:after="100" w:before="260"/>
      </w:pPr>
      <w:r>
        <w:rPr>
          <w:b/>
          <w:bCs/>
          <w:color w:val="1F3864"/>
          <w:sz w:val="21"/>
          <w:szCs w:val="21"/>
        </w:rPr>
        <w:t xml:space="preserve">BR-ATT-002  —  Attendance Lock After Approval</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Lock After Approval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marked and approved for a given day cannot be modified except through a logged correction workflow.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retroactive tampering with attendance records after they have been relied upon for notifications and reporting.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for a period/day is marked as approved/finalized.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Approval status flag is set for that period/day.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Direct edits are blocked; only the correction workflow can alter the record.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Mixed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blocks direct field-level edits on approved records; correction workflow requires reason code and Academic Head sign-off for edits beyond the edit window.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Direct edit blocked; user redirected to Correction Request workflow.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Falsified attendance records, compromised trust in reporting and payroll linkage.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Audit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BR-SIS-004, BR-EXM-003, BR-HR-007</w:t>
            </w:r>
          </w:p>
        </w:tc>
      </w:tr>
    </w:tbl>
    <w:p>
      <w:pPr>
        <w:spacing w:after="200"/>
      </w:pPr>
    </w:p>
    <w:p>
      <w:pPr>
        <w:shd w:fill="DCE6F1" w:color="auto" w:val="clear"/>
        <w:spacing w:after="100" w:before="260"/>
      </w:pPr>
      <w:r>
        <w:rPr>
          <w:b/>
          <w:bCs/>
          <w:color w:val="1F3864"/>
          <w:sz w:val="21"/>
          <w:szCs w:val="21"/>
        </w:rPr>
        <w:t xml:space="preserve">BR-ATT-003  —  Late Attendance Approval Requirement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Late Attendance Approval Requirement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 attendance correction submitted after the configured same-day edit window requires Academic Head approval before it is applied.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Balances operational flexibility for genuine corrections against the risk of retroactive manipulation.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Teacher submits an attendance correction outside the standard edit window.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Edit window duration is configured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Correction is applied only after Academic Head approval is recorded.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Mixed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detects submission time relative to the configured window and routes late corrections into an approval queue.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Correction held in "Pending Approval" status until Academic Head acts.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Unauthorized attendance changes going unnoticed; audit and compliance risk.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BR-ATT-002</w:t>
            </w:r>
          </w:p>
        </w:tc>
      </w:tr>
    </w:tbl>
    <w:p>
      <w:pPr>
        <w:spacing w:after="200"/>
      </w:pPr>
    </w:p>
    <w:p>
      <w:pPr>
        <w:shd w:fill="DCE6F1" w:color="auto" w:val="clear"/>
        <w:spacing w:after="100" w:before="260"/>
      </w:pPr>
      <w:r>
        <w:rPr>
          <w:b/>
          <w:bCs/>
          <w:color w:val="1F3864"/>
          <w:sz w:val="21"/>
          <w:szCs w:val="21"/>
        </w:rPr>
        <w:t xml:space="preserve">BR-ATT-004  —  Absence Notification Trigger</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Absence Notification Trigger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parent notification must be triggered automatically whenever a student is marked absent for any scheduled period.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Keeps parents informed in near real time, a core business objective of the ERP (RGD v2.0 Section 3, OBJ-03).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 attendance record is saved with state "Absent".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Parent/guardian contact and active notification channel exist (BR-SIS-006).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Notification is queued and dispatched via the Communication module.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raises an event to the Communication module immediately upon saving an "Absent" record.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no valid contact channel exists, the failure is logged and visible to Admin Staff, not silently dropped.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Parents uninformed of absence, safeguarding and trust risk.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Notification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BR-SIS-006, BR-COM-004</w:t>
            </w:r>
          </w:p>
        </w:tc>
      </w:tr>
    </w:tbl>
    <w:p>
      <w:pPr>
        <w:spacing w:after="200"/>
      </w:pPr>
    </w:p>
    <w:p>
      <w:pPr>
        <w:shd w:fill="DCE6F1" w:color="auto" w:val="clear"/>
        <w:spacing w:after="100" w:before="260"/>
      </w:pPr>
      <w:r>
        <w:rPr>
          <w:b/>
          <w:bCs/>
          <w:color w:val="1F3864"/>
          <w:sz w:val="21"/>
          <w:szCs w:val="21"/>
        </w:rPr>
        <w:t xml:space="preserve">BR-ATT-005  —  Staff Attendance-Leave Reconciliation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Staff Attendance-Leave Reconciliation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staff absence not linked to an approved leave record must be flagged as "Unauthorized" for HR review.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payroll (BR-HR-001) is based on accurate, reconciled attendance and leave data.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Staff attendance is captured showing an absence for the day.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Leave module data for that staff member and date is available.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Absence is either linked to an approved leave or flagged Unauthorized.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cross-checks each staff absence against approved leave records for the same date at end-of-day.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Unreconciled absence appears on HR's daily exception report.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Incorrect payroll deductions, disputes with staff over pay.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BR-HR-004</w:t>
            </w:r>
          </w:p>
        </w:tc>
      </w:tr>
    </w:tbl>
    <w:p>
      <w:pPr>
        <w:spacing w:after="200"/>
      </w:pPr>
    </w:p>
    <w:p>
      <w:pPr>
        <w:shd w:fill="DCE6F1" w:color="auto" w:val="clear"/>
        <w:spacing w:after="100" w:before="260"/>
      </w:pPr>
      <w:r>
        <w:rPr>
          <w:b/>
          <w:bCs/>
          <w:color w:val="1F3864"/>
          <w:sz w:val="21"/>
          <w:szCs w:val="21"/>
        </w:rPr>
        <w:t xml:space="preserve">BR-ATT-006  —  Attendance Eligibility for Examination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Eligibility for Examination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below the configured minimum attendance percentage is flagged "Exam Eligibility At Risk" ahead of the examination cycle.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Supports academic policy enforcement and gives Academic Head advance visibility before exams begin.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Examination cycle configuration/activation begins (per FR-17).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Minimum attendance percentage threshold is configured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At-risk students are flagged and visible to Academic Head before the exam window opens.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calculates each student's attendance percentage against the configured threshold at exam-cycle activation.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Flag is advisory; Academic Head decides whether to grant an exception (see BR-EXM-005).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Students sitting exams despite policy-disqualifying absenteeism, or being wrongly barred without review.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BR-EXM-005</w:t>
            </w:r>
          </w:p>
        </w:tc>
      </w:tr>
    </w:tbl>
    <w:p>
      <w:pPr>
        <w:spacing w:after="200"/>
      </w:pPr>
    </w:p>
    <w:p>
      <w:pPr>
        <w:shd w:fill="DCE6F1" w:color="auto" w:val="clear"/>
        <w:spacing w:after="100" w:before="260"/>
      </w:pPr>
      <w:r>
        <w:rPr>
          <w:b/>
          <w:bCs/>
          <w:color w:val="1F3864"/>
          <w:sz w:val="21"/>
          <w:szCs w:val="21"/>
        </w:rPr>
        <w:t xml:space="preserve">BR-ATT-007  —  Biometric/Manual Consistency Check</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Biometric/Manual Consistency Check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Where biometric capture is active for a class, a manual override entry for the same student/period must be logged with a reason code.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Maintains an audit trail distinguishing automated capture from manual intervention, supporting fraud detection.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Teacher manually marks attendance for a student/period where biometric capture is the configured default method.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Biometric capture is configured as active for that class/period.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Manual entry is saved along with a mandatory reason code.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Manual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detects a manual entry where biometric capture is expected and requires a reason code before saving.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Save blocked until a reason code is selected/entered.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Undetected attendance manipulation bypassing biometric controls.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Audit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BR-ATT-001</w:t>
            </w:r>
          </w:p>
        </w:tc>
      </w:tr>
    </w:tbl>
    <w:p>
      <w:pPr>
        <w:spacing w:after="200"/>
      </w:pPr>
    </w:p>
    <w:p>
      <w:pPr>
        <w:pStyle w:val="Heading2"/>
        <w:pageBreakBefore/>
        <w:outlineLvl w:val="1"/>
      </w:pPr>
      <w:r>
        <w:t xml:space="preserve">Module: Timetable &amp; Scheduling  (6 Rules)</w:t>
      </w:r>
    </w:p>
    <w:p>
      <w:pPr>
        <w:shd w:fill="DCE6F1" w:color="auto" w:val="clear"/>
        <w:spacing w:after="100" w:before="260"/>
      </w:pPr>
      <w:r>
        <w:rPr>
          <w:b/>
          <w:bCs/>
          <w:color w:val="1F3864"/>
          <w:sz w:val="21"/>
          <w:szCs w:val="21"/>
        </w:rPr>
        <w:t xml:space="preserve">BR-TT-001  —  No Teacher Double-Booking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BR-TT-001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 Teacher Double-Booking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teacher cannot be scheduled to teach two different classes/sections in the same period.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an operationally impossible schedule and protects instructional quality.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timetable entry is created or edited.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Teacher's existing schedule for that period is known.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entry is accepted only if no conflicting assignment exists for that teacher/period.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Not Covered in BPMN Appendix (Gap-01) — Recommended for future Appendix-A revision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the teacher's full weekly schedule for the target period before saving the new assignment.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Save is rejected with the conflicting class/section identified to the scheduler.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Unteachable timetable, classes left without an assigned teacher.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BR-TT-002</w:t>
            </w:r>
          </w:p>
        </w:tc>
      </w:tr>
    </w:tbl>
    <w:p>
      <w:pPr>
        <w:spacing w:after="200"/>
      </w:pPr>
    </w:p>
    <w:p>
      <w:pPr>
        <w:shd w:fill="DCE6F1" w:color="auto" w:val="clear"/>
        <w:spacing w:after="100" w:before="260"/>
      </w:pPr>
      <w:r>
        <w:rPr>
          <w:b/>
          <w:bCs/>
          <w:color w:val="1F3864"/>
          <w:sz w:val="21"/>
          <w:szCs w:val="21"/>
        </w:rPr>
        <w:t xml:space="preserve">BR-TT-002  —  No Room Double-Booking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BR-TT-002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 Room Double-Booking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room or lab cannot be allocated to two different classes/sections in the same period.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physically impossible scheduling and protects safety in specialized rooms (labs, sports halls).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timetable entry is created or edited with a room/lab assignment.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Room's existing schedule for that period is known.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entry is accepted only if no conflicting room booking exists for that period.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Not Covered in BPMN Appendix (Gap-01) — Recommended for future Appendix-A revision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the room's full weekly schedule for the target period before saving the new assignment.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Save is rejected with the conflicting booking identified to the scheduler.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Two classes assigned to the same physical space, safety and operational disruption.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BR-TT-001</w:t>
            </w:r>
          </w:p>
        </w:tc>
      </w:tr>
    </w:tbl>
    <w:p>
      <w:pPr>
        <w:spacing w:after="200"/>
      </w:pPr>
    </w:p>
    <w:p>
      <w:pPr>
        <w:shd w:fill="DCE6F1" w:color="auto" w:val="clear"/>
        <w:spacing w:after="100" w:before="260"/>
      </w:pPr>
      <w:r>
        <w:rPr>
          <w:b/>
          <w:bCs/>
          <w:color w:val="1F3864"/>
          <w:sz w:val="21"/>
          <w:szCs w:val="21"/>
        </w:rPr>
        <w:t xml:space="preserve">BR-TT-003  —  Practical/Lab Capacity Ceiling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BR-TT-003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Practical/Lab Capacity Ceiling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The number of students scheduled into a practical/lab session cannot exceed the configured room/equipment capacity.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Protects safety and quality of practical instruction, especially in science labs and computer labs.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practical/lab session is scheduled for a class/section exceeding the room's rated capacity.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Room/lab capacity is configured.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Session is split into batches or rejected if capacity would be exceeded.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Not Covered in BPMN Appendix (Gap-01) — Recommended for future Appendix-A revision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compares the class/section strength against configured lab capacity when scheduling practical periods.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Scheduler is prompted to split the class into batches or select an alternate room.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Overcrowded labs, safety incidents, degraded practical instruction quality.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shd w:fill="DCE6F1" w:color="auto" w:val="clear"/>
        <w:spacing w:after="100" w:before="260"/>
      </w:pPr>
      <w:r>
        <w:rPr>
          <w:b/>
          <w:bCs/>
          <w:color w:val="1F3864"/>
          <w:sz w:val="21"/>
          <w:szCs w:val="21"/>
        </w:rPr>
        <w:t xml:space="preserve">BR-TT-004  —  Substitution Eligibility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BR-TT-004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Substitution Eligibility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substitute teacher assigned to a vacant period must be qualified for the subject per the configured subject-teacher eligibility mapping.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instructional continuity and quality is maintained even during teacher absence.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teacher absence triggers the substitution workflow.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Subject-teacher eligibility mapping is configured (Client/Product Decision Required for the specific mapping/qualification source).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Substitute is assigned only if listed as eligible for that subject.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Not Covered in BPMN Appendix (Gap-01) — Recommended for future Appendix-A revision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Mixed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filters the available-substitute list to only those flagged eligible for the subject; Academic Head confirms the assignment.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Ineligible teachers are excluded from the selection list rather than blocked after selection.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Under-qualified instruction, parent/academic complaints.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BR-TT-001</w:t>
            </w:r>
          </w:p>
        </w:tc>
      </w:tr>
    </w:tbl>
    <w:p>
      <w:pPr>
        <w:spacing w:after="200"/>
      </w:pPr>
    </w:p>
    <w:p>
      <w:pPr>
        <w:shd w:fill="DCE6F1" w:color="auto" w:val="clear"/>
        <w:spacing w:after="100" w:before="260"/>
      </w:pPr>
      <w:r>
        <w:rPr>
          <w:b/>
          <w:bCs/>
          <w:color w:val="1F3864"/>
          <w:sz w:val="21"/>
          <w:szCs w:val="21"/>
        </w:rPr>
        <w:t xml:space="preserve">BR-TT-005  —  Timetable Publication Lock</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BR-TT-005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Timetable Publication Lock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published timetable cannot be silently altered; changes after publication must go through a versioned revision with notification to affected staff/students.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Maintains trust in the published schedule and ensures all stakeholders are aware of changes.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change is requested to an already-published timetable.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Timetable status is "Published".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Change is applied as a new version with notification dispatched via the Communication module.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Not Covered in BPMN Appendix (Gap-01) — Recommended for future Appendix-A revision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Mixed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blocks in-place edits to published timetables; all changes route through a revision workflow that increments a version number.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Direct edit attempt blocked; user redirected to the revision workflow.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Confusion from undocumented schedule changes, missed classes.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BR-TT-001, BR-TT-002</w:t>
            </w:r>
          </w:p>
        </w:tc>
      </w:tr>
    </w:tbl>
    <w:p>
      <w:pPr>
        <w:spacing w:after="200"/>
      </w:pPr>
    </w:p>
    <w:p>
      <w:pPr>
        <w:shd w:fill="DCE6F1" w:color="auto" w:val="clear"/>
        <w:spacing w:after="100" w:before="260"/>
      </w:pPr>
      <w:r>
        <w:rPr>
          <w:b/>
          <w:bCs/>
          <w:color w:val="1F3864"/>
          <w:sz w:val="21"/>
          <w:szCs w:val="21"/>
        </w:rPr>
        <w:t xml:space="preserve">BR-TT-006  —  Weekly Teaching Load Ceiling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BR-TT-006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Weekly Teaching Load Ceiling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teacher's total scheduled periods per week cannot exceed the configured maximum teaching load.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Protects staff workload policy compliance and instructional quality.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new period is assigned to a teacher's weekly schedule.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Maximum weekly load per teacher is configured (Client/Product Decision Required for the load ceiling value).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Assignment accepted only if it does not breach the configured ceiling.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Not Covered in BPMN Appendix (Gap-01) — Recommended for future Appendix-A revision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sums the teacher's currently assigned periods and checks against the configured ceiling before accepting a new assignment.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Assignment blocked; scheduler notified of the teacher's current load versus the ceiling.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Staff overload, burnout risk, potential labour-policy non-compliance.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pStyle w:val="Heading2"/>
        <w:pageBreakBefore/>
        <w:outlineLvl w:val="1"/>
      </w:pPr>
      <w:r>
        <w:t xml:space="preserve">Module: Examination &amp; Result Processing  (7 Rules)</w:t>
      </w:r>
    </w:p>
    <w:p>
      <w:pPr>
        <w:shd w:fill="DCE6F1" w:color="auto" w:val="clear"/>
        <w:spacing w:after="100" w:before="260"/>
      </w:pPr>
      <w:r>
        <w:rPr>
          <w:b/>
          <w:bCs/>
          <w:color w:val="1F3864"/>
          <w:sz w:val="21"/>
          <w:szCs w:val="21"/>
        </w:rPr>
        <w:t xml:space="preserve">BR-EXM-001  —  Report Card Publish Lock</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 Card Publish Lock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 cards cannot be published to the parent/student portal until all subject marks for that exam are entered and locked.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incomplete or inaccurate results reaching parents/students, protecting institutional credibility.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 initiates report card publication.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All configured subjects for the class/exam have locked marks.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Publication proceeds only when the completeness check passes.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FR-20, FR-21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Board Affiliation Bye-laws (CBSE/ICSE/State Board)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that every configured subject for the class/exam combination has a locked marks record before allowing publication.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Publication blocked; Academic Head shown the list of subjects with missing/unlocked marks.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Incomplete or incorrect results reaching parents; reputational and academic-integrity risk.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Carried forward from RGD v2.0 BRULE-06.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BR-EXM-003, BR-SIS-001</w:t>
            </w:r>
          </w:p>
        </w:tc>
      </w:tr>
    </w:tbl>
    <w:p>
      <w:pPr>
        <w:spacing w:after="200"/>
      </w:pPr>
    </w:p>
    <w:p>
      <w:pPr>
        <w:shd w:fill="DCE6F1" w:color="auto" w:val="clear"/>
        <w:spacing w:after="100" w:before="260"/>
      </w:pPr>
      <w:r>
        <w:rPr>
          <w:b/>
          <w:bCs/>
          <w:color w:val="1F3864"/>
          <w:sz w:val="21"/>
          <w:szCs w:val="21"/>
        </w:rPr>
        <w:t xml:space="preserve">BR-EXM-002  —  Marks Range Validation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Marks Range Validation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mark entered for a subject cannot exceed the configured maximum marks for that subject/exam.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data-entry errors from corrupting grade, rank, and GPA calculations.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Teacher enters or uploads a mark for a student/subject.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Maximum marks for the subject/exam is configured.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Entry is accepted only if within the valid 0-to-maximum range.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validates each entered mark against the configured subject maximum at the point of entry or upload.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Entry rejected with an inline error identifying the valid range.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Skewed grade/rank/GPA calculations, incorrect report cards.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shd w:fill="DCE6F1" w:color="auto" w:val="clear"/>
        <w:spacing w:after="100" w:before="260"/>
      </w:pPr>
      <w:r>
        <w:rPr>
          <w:b/>
          <w:bCs/>
          <w:color w:val="1F3864"/>
          <w:sz w:val="21"/>
          <w:szCs w:val="21"/>
        </w:rPr>
        <w:t xml:space="preserve">BR-EXM-003  —  Locked Marks Immutability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Locked Marks Immutability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Once a subject's marks are locked, they cannot be edited except through a logged re-evaluation workflow with Academic Head approval.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Preserves result integrity once grading is finalized, while still allowing legitimate re-evaluation.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 edit is attempted on a locked subject's marks.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Subject marks status is "Locked".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Edit is rejected unless performed via the re-evaluation workflow.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Mixed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blocks direct edits to locked-mark records; re-evaluation workflow requires Academic Head approval and logs the change with before/after values.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Direct edit blocked; user redirected to Re-evaluation Request workflow.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Falsified results, loss of academic-integrity audit trail.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Audit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BR-SIS-004, BR-ATT-002, BR-HR-007, BR-EXM-004</w:t>
            </w:r>
          </w:p>
        </w:tc>
      </w:tr>
    </w:tbl>
    <w:p>
      <w:pPr>
        <w:spacing w:after="200"/>
      </w:pPr>
    </w:p>
    <w:p>
      <w:pPr>
        <w:shd w:fill="DCE6F1" w:color="auto" w:val="clear"/>
        <w:spacing w:after="100" w:before="260"/>
      </w:pPr>
      <w:r>
        <w:rPr>
          <w:b/>
          <w:bCs/>
          <w:color w:val="1F3864"/>
          <w:sz w:val="21"/>
          <w:szCs w:val="21"/>
        </w:rPr>
        <w:t xml:space="preserve">BR-EXM-004  —  Grade/Rank Calculation Consistency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Grade/Rank Calculation Consistency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Grade, rank, and GPA must be recalculated automatically whenever any locked mark is amended through the re-evaluation workflow.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downstream figures (report cards, dashboards) never go stale relative to an approved mark correction.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re-evaluation workflow completes with an approved mark change.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Grading/ranking configuration for the class/exam is available.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Grade, rank, and GPA values are refreshed for the affected student(s) and, where rank is relative, the class.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FR-19</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triggers the grade/rank/GPA calculation engine automatically upon re-evaluation approval, scoped to the affected class.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recalculation fails, the report card remains unpublished/flagged Provisional until resolved.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Stale or inconsistent results appearing on report cards and dashboards.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Calculation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Derived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BR-EXM-003</w:t>
            </w:r>
          </w:p>
        </w:tc>
      </w:tr>
    </w:tbl>
    <w:p>
      <w:pPr>
        <w:spacing w:after="200"/>
      </w:pPr>
    </w:p>
    <w:p>
      <w:pPr>
        <w:shd w:fill="DCE6F1" w:color="auto" w:val="clear"/>
        <w:spacing w:after="100" w:before="260"/>
      </w:pPr>
      <w:r>
        <w:rPr>
          <w:b/>
          <w:bCs/>
          <w:color w:val="1F3864"/>
          <w:sz w:val="21"/>
          <w:szCs w:val="21"/>
        </w:rPr>
        <w:t xml:space="preserve">BR-EXM-005  —  Exam Eligibility Precondition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Exam Eligibility Precondition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flagged "Exam Eligibility At Risk" (BR-ATT-006) cannot be marked as having appeared for an exam without Academic Head override.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Enforces academic attendance policy consistently at the point of examination.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Teacher attempts to record exam attendance/marks for a flagged student.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 carries an active "Exam Eligibility At Risk" flag.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Marks entry proceeds only after a logged Academic Head override.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Mixed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the student's eligibility flag before allowing marks entry; blocks entry pending an override record.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Entry blocked; Academic Head prompted to approve or deny an eligibility exception.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Inconsistent enforcement of attendance policy, disputes over exam eligibility.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Derived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BR-ATT-006</w:t>
            </w:r>
          </w:p>
        </w:tc>
      </w:tr>
    </w:tbl>
    <w:p>
      <w:pPr>
        <w:spacing w:after="200"/>
      </w:pPr>
    </w:p>
    <w:p>
      <w:pPr>
        <w:shd w:fill="DCE6F1" w:color="auto" w:val="clear"/>
        <w:spacing w:after="100" w:before="260"/>
      </w:pPr>
      <w:r>
        <w:rPr>
          <w:b/>
          <w:bCs/>
          <w:color w:val="1F3864"/>
          <w:sz w:val="21"/>
          <w:szCs w:val="21"/>
        </w:rPr>
        <w:t xml:space="preserve">BR-EXM-006  —  Anomalous Mark Flagging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Anomalous Mark Flagging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mark that deviates significantly from a student's historical average must be flagged for mandatory review before locking.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Provides a data-quality safety net against transcription errors before results are finalized.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mark is entered or uploaded for a student with sufficient historical data.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Deviation threshold is configured (Client/Product Decision Required for the specific statistical threshold).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Flagged marks are held pending Academic Head review before the subject can be locked.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compares the new mark against the student's historical subject average and flags outliers beyond the configured threshold.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Subject lock is blocked until all flagged marks in that subject are reviewed and confirmed or corrected.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Transcription errors propagating into final, published results.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BR-EXM-002</w:t>
            </w:r>
          </w:p>
        </w:tc>
      </w:tr>
    </w:tbl>
    <w:p>
      <w:pPr>
        <w:spacing w:after="200"/>
      </w:pPr>
    </w:p>
    <w:p>
      <w:pPr>
        <w:shd w:fill="DCE6F1" w:color="auto" w:val="clear"/>
        <w:spacing w:after="100" w:before="260"/>
      </w:pPr>
      <w:r>
        <w:rPr>
          <w:b/>
          <w:bCs/>
          <w:color w:val="1F3864"/>
          <w:sz w:val="21"/>
          <w:szCs w:val="21"/>
        </w:rPr>
        <w:t xml:space="preserve">BR-EXM-007  —  Board-Aligned Grading Scheme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Board-Aligned Grading Scheme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The grading/marking scheme applied must match the school's board affiliation (CBSE/ICSE/State Board) configuration.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results are valid for board certification and transfer purposes.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Exam schedule and grading scheme are configured (FR-17).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School's board affiliation is confirmed (RGD v2.0 Document Control —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Grading scheme configuration is locked to the confirmed board's rules.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FR-17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Board Affiliation Bye-laws (CBSE/ICSE/State Board)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Manual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 selects and confirms the board-specific grading template; system prevents mixing templates within one exam cycle.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Mismatched template selection is flagged for Academic Head correction before schedule activation.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 cards inconsistent with the school's actual board affiliation; certification risk.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Compliance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Academic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pStyle w:val="Heading2"/>
        <w:pageBreakBefore/>
        <w:outlineLvl w:val="1"/>
      </w:pPr>
      <w:r>
        <w:t xml:space="preserve">Module: Fee Collection  (8 Rules)</w:t>
      </w:r>
    </w:p>
    <w:p>
      <w:pPr>
        <w:shd w:fill="DCE6F1" w:color="auto" w:val="clear"/>
        <w:spacing w:after="100" w:before="260"/>
      </w:pPr>
      <w:r>
        <w:rPr>
          <w:b/>
          <w:bCs/>
          <w:color w:val="1F3864"/>
          <w:sz w:val="21"/>
          <w:szCs w:val="21"/>
        </w:rPr>
        <w:t xml:space="preserve">BR-FEE-001  —  Paid Invoice Immutability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Paid Invoice Immutability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fee invoice cannot be edited once a payment has been recorded against it; corrections require a credit note.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Preserves financial audit integrity and prevents post-payment tampering with invoice amounts.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 edit is attempted on an invoice with a recorded payment.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Invoice has at least one payment record linked.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Edit is rejected; a credit note workflow is offered instead.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blocks field-level edits on any invoice with a non-zero paid amount; only the credit-note workflow can adjust the net payable.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Direct edit blocked; Finance Team redirected to Credit Note workflow.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Falsified financial records, audit failures, reconciliation errors.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Carried forward from RGD v2.0 BRULE-02.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Audit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BR-FEE-002, BR-SIS-004</w:t>
            </w:r>
          </w:p>
        </w:tc>
      </w:tr>
    </w:tbl>
    <w:p>
      <w:pPr>
        <w:spacing w:after="200"/>
      </w:pPr>
    </w:p>
    <w:p>
      <w:pPr>
        <w:shd w:fill="DCE6F1" w:color="auto" w:val="clear"/>
        <w:spacing w:after="100" w:before="260"/>
      </w:pPr>
      <w:r>
        <w:rPr>
          <w:b/>
          <w:bCs/>
          <w:color w:val="1F3864"/>
          <w:sz w:val="21"/>
          <w:szCs w:val="21"/>
        </w:rPr>
        <w:t xml:space="preserve">BR-FEE-002  —  Finance-Only Refund Authority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Finance-Only Refund Authority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Only the Finance Team role can issue refunds or void a payment transaction.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Segregates financial-control duties and reduces fraud risk.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refund or void request is initiated.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Requesting user's role is evaluated.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Action proceeds only if the user holds the Finance Team role.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the requesting user's role against the required permission before allowing a refund/void action.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Request blocked with an access-denied message; escalated to a Finance Team member.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Unauthorized refunds, financial leakage, fraud exposure.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Carried forward from RGD v2.0 BRULE-08.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Authorization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BR-FEE-001</w:t>
            </w:r>
          </w:p>
        </w:tc>
      </w:tr>
    </w:tbl>
    <w:p>
      <w:pPr>
        <w:spacing w:after="200"/>
      </w:pPr>
    </w:p>
    <w:p>
      <w:pPr>
        <w:shd w:fill="DCE6F1" w:color="auto" w:val="clear"/>
        <w:spacing w:after="100" w:before="260"/>
      </w:pPr>
      <w:r>
        <w:rPr>
          <w:b/>
          <w:bCs/>
          <w:color w:val="1F3864"/>
          <w:sz w:val="21"/>
          <w:szCs w:val="21"/>
        </w:rPr>
        <w:t xml:space="preserve">BR-FEE-003  —  Transport Fee Auto-Linkage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Fee Auto-Linkage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fee must be automatically added to a student's fee ledger upon confirmed transport allocation, and removed upon de-allocation.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Eliminates manual fee-entry errors and ensures transport revenue is captured consistently.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allocation is confirmed or removed (Transport module).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fee head and route-based amount are configured.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Fee ledger reflects the correct transport fee head, added or removed as applicable.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raises an event from the Transport module that automatically creates/removes the corresponding fee-ledger line item.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auto-linkage fails, an exception is logged and shown to Finance Team for manual entry.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Missed transport revenue or incorrect billing to students no longer using transport.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Calculation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Derived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BR-TRN-005</w:t>
            </w:r>
          </w:p>
        </w:tc>
      </w:tr>
    </w:tbl>
    <w:p>
      <w:pPr>
        <w:spacing w:after="200"/>
      </w:pPr>
    </w:p>
    <w:p>
      <w:pPr>
        <w:shd w:fill="DCE6F1" w:color="auto" w:val="clear"/>
        <w:spacing w:after="100" w:before="260"/>
      </w:pPr>
      <w:r>
        <w:rPr>
          <w:b/>
          <w:bCs/>
          <w:color w:val="1F3864"/>
          <w:sz w:val="21"/>
          <w:szCs w:val="21"/>
        </w:rPr>
        <w:t xml:space="preserve">BR-FEE-004  —  Automated Late Fee Calculation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Automated Late Fee Calculation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late fee must be calculated and applied automatically once an invoice passes its due date, per the configured late-fee formula.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consistent, non-discretionary application of late-fee policy and reduces manual reconciliation effort.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Scheduled overdue check runs (daily).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Late-fee formula/rate is configured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Late fee line item is added to the overdue invoice.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Scheduled job identifies invoices past due date without full payment and applies the configured late-fee formula.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the formula configuration is missing, no late fee is applied and the exception is logged for Finance Team.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Inconsistent late-fee application, parent disputes, revenue leakage.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Calculation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shd w:fill="DCE6F1" w:color="auto" w:val="clear"/>
        <w:spacing w:after="100" w:before="260"/>
      </w:pPr>
      <w:r>
        <w:rPr>
          <w:b/>
          <w:bCs/>
          <w:color w:val="1F3864"/>
          <w:sz w:val="21"/>
          <w:szCs w:val="21"/>
        </w:rPr>
        <w:t xml:space="preserve">BR-FEE-005  —  RTE-Quota Fee Waiver Application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RTE-Quota Fee Waiver Application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allotted under the RTE quota must have the applicable fee heads automatically waived per policy, without manual invoice editing.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statutory compliance with RTE Act fee-waiver obligations and consistent application across all RTE students.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Invoice is generated for a student flagged as RTE-quota (BR-ADM-003/004).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Waived fee-head list for RTE students is configured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Applicable fee heads are excluded/waived on the generated invoice automatically.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FR-26b</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RTE Act, 2009</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the student's admission-category flag at invoice generation and excludes configured fee heads accordingly.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waiver configuration is incomplete, invoice generation is held and flagged for Finance Team review rather than charging incorrectly.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Statutory non-compliance, incorrect billing to RTE-quota families.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Compliance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Government Regulation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BR-ADM-003, BR-ADM-004</w:t>
            </w:r>
          </w:p>
        </w:tc>
      </w:tr>
    </w:tbl>
    <w:p>
      <w:pPr>
        <w:spacing w:after="200"/>
      </w:pPr>
    </w:p>
    <w:p>
      <w:pPr>
        <w:shd w:fill="DCE6F1" w:color="auto" w:val="clear"/>
        <w:spacing w:after="100" w:before="260"/>
      </w:pPr>
      <w:r>
        <w:rPr>
          <w:b/>
          <w:bCs/>
          <w:color w:val="1F3864"/>
          <w:sz w:val="21"/>
          <w:szCs w:val="21"/>
        </w:rPr>
        <w:t xml:space="preserve">BR-FEE-006  —  Duplicate Payment Prevention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Duplicate Payment Prevention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payment gateway transaction reference cannot be applied to more than one invoice.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double-counting of revenue and gateway reconciliation errors.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payment is recorded against an invoice, online or offline.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Transaction reference/ID is provided (for online payments).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Payment is accepted only if the transaction reference is not already linked to another invoice.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enforces a uniqueness constraint on payment gateway transaction references before recording a payment.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Duplicate reference is rejected; flagged to Finance Team for manual reconciliation.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Revenue double-counting, gateway reconciliation failures, potential fraud.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BR-FEE-001</w:t>
            </w:r>
          </w:p>
        </w:tc>
      </w:tr>
    </w:tbl>
    <w:p>
      <w:pPr>
        <w:spacing w:after="200"/>
      </w:pPr>
    </w:p>
    <w:p>
      <w:pPr>
        <w:shd w:fill="DCE6F1" w:color="auto" w:val="clear"/>
        <w:spacing w:after="100" w:before="260"/>
      </w:pPr>
      <w:r>
        <w:rPr>
          <w:b/>
          <w:bCs/>
          <w:color w:val="1F3864"/>
          <w:sz w:val="21"/>
          <w:szCs w:val="21"/>
        </w:rPr>
        <w:t xml:space="preserve">BR-FEE-007  —  GST Applicability Determination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GST Applicability Determination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GST must be applied on a fee receipt only for fee heads configured as taxable services.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correct statutory tax treatment and avoids over- or under-charging GST.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fee receipt is generated.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Taxable fee-head list is configured (Client/Product Decision Required for the specific list and applicable GST rate).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Receipt correctly itemizes GST only for taxable fee heads.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FR-26a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GST; PAN/TAN Regulations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each fee-head's taxable flag at receipt generation and applies the configured GST rate only where flagged.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tax configuration is missing for a fee head, GST is not applied and the receipt is flagged for Finance/compliance review.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Incorrect tax filing, statutory penalty risk.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Compliance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Government Regulation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shd w:fill="DCE6F1" w:color="auto" w:val="clear"/>
        <w:spacing w:after="100" w:before="260"/>
      </w:pPr>
      <w:r>
        <w:rPr>
          <w:b/>
          <w:bCs/>
          <w:color w:val="1F3864"/>
          <w:sz w:val="21"/>
          <w:szCs w:val="21"/>
        </w:rPr>
        <w:t xml:space="preserve">BR-FEE-008  —  Defaulter Escalation Trigger</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Defaulter Escalation Trigger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 account crossing the configured overdue threshold must be automatically flagged as a defaulter and enter the reminder escalation sequence.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Drives consistent, timely follow-up on outstanding dues without relying on manual tracking.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Scheduled overdue check runs (daily).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Overdue threshold and escalation schedule are configured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Account status changes to "Defaulter"; first escalation reminder is queued.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Scheduled job evaluates each account's outstanding balance and days-overdue against the configured threshold.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contact information is invalid, escalation is logged as failed and surfaced to Finance Team rather than silently dropped.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Delayed dues follow-up, cash-flow impact, defaulter list becoming unreliable.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pStyle w:val="Heading2"/>
        <w:pageBreakBefore/>
        <w:outlineLvl w:val="1"/>
      </w:pPr>
      <w:r>
        <w:t xml:space="preserve">Module: Library Management  (6 Rules)</w:t>
      </w:r>
    </w:p>
    <w:p>
      <w:pPr>
        <w:shd w:fill="DCE6F1" w:color="auto" w:val="clear"/>
        <w:spacing w:after="100" w:before="260"/>
      </w:pPr>
      <w:r>
        <w:rPr>
          <w:b/>
          <w:bCs/>
          <w:color w:val="1F3864"/>
          <w:sz w:val="21"/>
          <w:szCs w:val="21"/>
        </w:rPr>
        <w:t xml:space="preserve">BR-LIB-001  —  Maximum Books Per Student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BR-LIB-001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Maximum Books Per Student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cannot have more than the configured maximum number of books issued simultaneously.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fair access to shared library resources across the student body.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book issue is requested.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Maximum books per student is configured (Client/Product Decision Required for the exact limit).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Issue is permitted only if the student's current issued-count is below the configured maximum.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6: Library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counts the student's currently issued (not yet returned) books and compares to the configured ceiling before allowing a new issue.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Issue blocked with a message showing the student's current issued count.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Resource hoarding, reduced access for other students.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Librarian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BR-LIB-005</w:t>
            </w:r>
          </w:p>
        </w:tc>
      </w:tr>
    </w:tbl>
    <w:p>
      <w:pPr>
        <w:spacing w:after="200"/>
      </w:pPr>
    </w:p>
    <w:p>
      <w:pPr>
        <w:shd w:fill="DCE6F1" w:color="auto" w:val="clear"/>
        <w:spacing w:after="100" w:before="260"/>
      </w:pPr>
      <w:r>
        <w:rPr>
          <w:b/>
          <w:bCs/>
          <w:color w:val="1F3864"/>
          <w:sz w:val="21"/>
          <w:szCs w:val="21"/>
        </w:rPr>
        <w:t xml:space="preserve">BR-LIB-002  —  Overdue Fine Calculation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BR-LIB-002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Overdue Fine Calculation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fine must be calculated automatically per overdue day at the configured per-day rate, starting the day after the due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Encourages timely returns and ensures consistent, non-discretionary fine application.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Scheduled overdue check runs, or a book is returned late.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Per-day fine rate is configured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Fine amount is calculated and posted to the student's fee ledger.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6: Library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calculates days overdue from due date to return date (or current date if not yet returned) and multiplies by the configured rate.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the rate is not configured, no fine is calculated and the gap is logged for Librarian/Finance review.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Inconsistent fine application, revenue leakage, no incentive for timely return.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Librarian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Calculation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BR-LIB-005</w:t>
            </w:r>
          </w:p>
        </w:tc>
      </w:tr>
    </w:tbl>
    <w:p>
      <w:pPr>
        <w:spacing w:after="200"/>
      </w:pPr>
    </w:p>
    <w:p>
      <w:pPr>
        <w:shd w:fill="DCE6F1" w:color="auto" w:val="clear"/>
        <w:spacing w:after="100" w:before="260"/>
      </w:pPr>
      <w:r>
        <w:rPr>
          <w:b/>
          <w:bCs/>
          <w:color w:val="1F3864"/>
          <w:sz w:val="21"/>
          <w:szCs w:val="21"/>
        </w:rPr>
        <w:t xml:space="preserve">BR-LIB-003  —  Lost Book Replacement Charge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BR-LIB-003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Lost Book Replacement Charge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book reported lost must trigger a replacement-cost charge to the borrower's fee ledger per the configured replacement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Recovers the cost of lost institutional assets and maintains catalog value.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Librarian marks a book as "Lost" against a borrower.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Replacement cost basis is configured (Client/Product Decision Required — fixed fee vs. current book price).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Replacement charge is posted to the borrower's fee ledger; catalog entry is updated to reflect the loss.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6: Library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Mixed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Librarian records the loss; system calculates the charge per the configured policy and posts it automatically to Fee Collection.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cost basis is not configured, charge posting is held pending Librarian/Finance manual entry.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Uncompensated loss of library assets, catalog data inaccuracy.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Librarian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Calculation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shd w:fill="DCE6F1" w:color="auto" w:val="clear"/>
        <w:spacing w:after="100" w:before="260"/>
      </w:pPr>
      <w:r>
        <w:rPr>
          <w:b/>
          <w:bCs/>
          <w:color w:val="1F3864"/>
          <w:sz w:val="21"/>
          <w:szCs w:val="21"/>
        </w:rPr>
        <w:t xml:space="preserve">BR-LIB-004  —  Reference Book Non-Circulation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BR-LIB-004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Reference Book Non-Circulation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book classified as "Reference" cannot be issued for external/take-home borrowing under any circumstance.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Protects the availability of core reference materials for in-library use by all students.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book issue is requested for a title classified as Reference.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Book's catalog classification is set to "Reference".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Issue request is rejected; in-library use is permitted without a checkout record.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6: Library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the catalog classification field and blocks the issue transaction for any title flagged Reference.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Issue attempt blocked with a message indicating in-library-use-only status.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Reference materials unavailable to other students, defeating their institutional purpose.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Librarian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shd w:fill="DCE6F1" w:color="auto" w:val="clear"/>
        <w:spacing w:after="100" w:before="260"/>
      </w:pPr>
      <w:r>
        <w:rPr>
          <w:b/>
          <w:bCs/>
          <w:color w:val="1F3864"/>
          <w:sz w:val="21"/>
          <w:szCs w:val="21"/>
        </w:rPr>
        <w:t xml:space="preserve">BR-LIB-005  —  Issue Block on Outstanding Fine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BR-LIB-005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Issue Block on Outstanding Fine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with an unpaid library fine above the configured threshold cannot be issued additional books until the fine is cleared.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Creates an incentive to settle fines and protects the library's operating budget.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book issue is requested.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Outstanding-fine threshold is configured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Issue permitted only if the student's outstanding fine is below the configured threshold.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6: Library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the student's outstanding library-fine balance against the configured threshold before allowing an issue.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Issue blocked with the outstanding balance shown; student directed to Fee Collection to settle.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Fines going uncollected indefinitely, escalating unpaid balances.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Librarian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BR-LIB-001, BR-LIB-002</w:t>
            </w:r>
          </w:p>
        </w:tc>
      </w:tr>
    </w:tbl>
    <w:p>
      <w:pPr>
        <w:spacing w:after="200"/>
      </w:pPr>
    </w:p>
    <w:p>
      <w:pPr>
        <w:shd w:fill="DCE6F1" w:color="auto" w:val="clear"/>
        <w:spacing w:after="100" w:before="260"/>
      </w:pPr>
      <w:r>
        <w:rPr>
          <w:b/>
          <w:bCs/>
          <w:color w:val="1F3864"/>
          <w:sz w:val="21"/>
          <w:szCs w:val="21"/>
        </w:rPr>
        <w:t xml:space="preserve">BR-LIB-006  —  Reservation Queue Priority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BR-LIB-006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Reservation Queue Priority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returned/available book must be offered to the longest-waiting reservation holder before being available for general issue.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fairness for students who proactively reserved a high-demand title.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reserved book is returned or newly cataloged as available.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non-empty reservation queue exists for that title.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The longest-waiting reservation holder is notified and given priority to collect/issue the book.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FR-27, FR-28</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6: Library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the reservation queue (FIFO by request timestamp) before releasing the title to general availability.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If the notified holder does not respond within the configured window (Client/Product Decision Required), the next holder in queue is offered.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Reservation system perceived as unfair, reduced trust in the library module.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Librarian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pStyle w:val="Heading2"/>
        <w:pageBreakBefore/>
        <w:outlineLvl w:val="1"/>
      </w:pPr>
      <w:r>
        <w:t xml:space="preserve">Module: Transport Management  (6 Rules)</w:t>
      </w:r>
    </w:p>
    <w:p>
      <w:pPr>
        <w:shd w:fill="DCE6F1" w:color="auto" w:val="clear"/>
        <w:spacing w:after="100" w:before="260"/>
      </w:pPr>
      <w:r>
        <w:rPr>
          <w:b/>
          <w:bCs/>
          <w:color w:val="1F3864"/>
          <w:sz w:val="21"/>
          <w:szCs w:val="21"/>
        </w:rPr>
        <w:t xml:space="preserve">BR-TRN-001  —  Vehicle Capacity Ceiling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BR-TRN-001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Vehicle Capacity Ceiling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The number of students allocated to a vehicle/route cannot exceed its configured seating capacity.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Protects student safety and regulatory compliance for passenger vehicle occupancy.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transport allocation is requested.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Vehicle's configured seating capacity and current occupancy are known.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Allocation permitted only if it does not breach the configured capacity.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7: Transport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current route/vehicle occupancy against configured capacity before confirming allocation.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Allocation blocked; student routed to waitlist for that route or an alternate route is suggested.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Overcrowded vehicle, safety incident risk, regulatory non-compliance.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Coordinator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BR-TRN-002</w:t>
            </w:r>
          </w:p>
        </w:tc>
      </w:tr>
    </w:tbl>
    <w:p>
      <w:pPr>
        <w:spacing w:after="200"/>
      </w:pPr>
    </w:p>
    <w:p>
      <w:pPr>
        <w:shd w:fill="DCE6F1" w:color="auto" w:val="clear"/>
        <w:spacing w:after="100" w:before="260"/>
      </w:pPr>
      <w:r>
        <w:rPr>
          <w:b/>
          <w:bCs/>
          <w:color w:val="1F3864"/>
          <w:sz w:val="21"/>
          <w:szCs w:val="21"/>
        </w:rPr>
        <w:t xml:space="preserve">BR-TRN-002  —  Single Route Per Student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BR-TRN-002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Single Route Per Student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cannot be actively allocated to more than one transport route at the same time.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double-billing and scheduling confusion for pickup/drop.</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new route allocation is requested for a student.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Student's existing active allocation status is known.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allocation is only completed after the prior allocation is closed or the request is rejected.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7: Transport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for an existing active allocation for the student before confirming a new one.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Request blocked with the existing route shown; Admin Staff must de-allocate first if a change is intended.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Double transport-fee billing, pickup/drop confusion and safety risk.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Coordinator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BR-TRN-001</w:t>
            </w:r>
          </w:p>
        </w:tc>
      </w:tr>
    </w:tbl>
    <w:p>
      <w:pPr>
        <w:spacing w:after="200"/>
      </w:pPr>
    </w:p>
    <w:p>
      <w:pPr>
        <w:shd w:fill="DCE6F1" w:color="auto" w:val="clear"/>
        <w:spacing w:after="100" w:before="260"/>
      </w:pPr>
      <w:r>
        <w:rPr>
          <w:b/>
          <w:bCs/>
          <w:color w:val="1F3864"/>
          <w:sz w:val="21"/>
          <w:szCs w:val="21"/>
        </w:rPr>
        <w:t xml:space="preserve">BR-TRN-003  —  GPS Update Interval Compliance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BR-TRN-003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GPS Update Interval Compliance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The live tracking feed must refresh at no less than the configured minimum interval when the vehicle is on an active trip.</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the parent-facing live tracking feature (FR-31) provides meaningfully current location data.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trip is marked active/in-progress.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Minimum refresh interval is configured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Location feed updates at or better than the configured interval for the duration of the trip.</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7: Transport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(or GPS device firmware) is configured to push location updates at the defined interval; missed updates beyond a tolerance trigger a "signal lost" flag.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updates stop entirely, the portal shows last-known location with a stale-data indicator rather than a frozen live view.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Parents misled by stale location data presented as live.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Coordinator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shd w:fill="DCE6F1" w:color="auto" w:val="clear"/>
        <w:spacing w:after="100" w:before="260"/>
      </w:pPr>
      <w:r>
        <w:rPr>
          <w:b/>
          <w:bCs/>
          <w:color w:val="1F3864"/>
          <w:sz w:val="21"/>
          <w:szCs w:val="21"/>
        </w:rPr>
        <w:t xml:space="preserve">BR-TRN-004  —  Mandatory Emergency Contact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BR-TRN-004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Mandatory Emergency Contact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student cannot be allocated to a transport route without at least one emergency contact number on file.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a reachable contact exists in the event of a transport-related incident.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transport allocation is requested.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Student's emergency contact field(s) are checked.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Allocation permitted only if at least one emergency contact is on file.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7: Transport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validates presence of at least one emergency contact number in the student profile before confirming allocation.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Allocation blocked; Admin Staff prompted to capture the missing contact before proceeding.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 reachable contact during a transport emergency; safeguarding risk.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Coordinator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Security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shd w:fill="DCE6F1" w:color="auto" w:val="clear"/>
        <w:spacing w:after="100" w:before="260"/>
      </w:pPr>
      <w:r>
        <w:rPr>
          <w:b/>
          <w:bCs/>
          <w:color w:val="1F3864"/>
          <w:sz w:val="21"/>
          <w:szCs w:val="21"/>
        </w:rPr>
        <w:t xml:space="preserve">BR-TRN-005  —  Route Change Fee Recalculation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BR-TRN-005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Route Change Fee Recalculation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mid-year route change must trigger automatic recalculation of the transport fee for the remaining billing cycles.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billing accuracy reflects the student's actual route/distance-based fee tier.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route change is confirmed for a student (mid-year).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Route-based fee tiers are configured.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Future invoices reflect the new route's fee tier; already-issued invoices are unaffected (see BR-FEE-001).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7: Transport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recalculates the applicable fee tier for the new route and updates the fee-ledger configuration for future billing cycles only.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the new route's fee tier is not configured, recalculation is held and flagged to Finance Team.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Incorrect transport billing, parent disputes.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Coordinator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Calculation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Derived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BR-FEE-003</w:t>
            </w:r>
          </w:p>
        </w:tc>
      </w:tr>
    </w:tbl>
    <w:p>
      <w:pPr>
        <w:spacing w:after="200"/>
      </w:pPr>
    </w:p>
    <w:p>
      <w:pPr>
        <w:shd w:fill="DCE6F1" w:color="auto" w:val="clear"/>
        <w:spacing w:after="100" w:before="260"/>
      </w:pPr>
      <w:r>
        <w:rPr>
          <w:b/>
          <w:bCs/>
          <w:color w:val="1F3864"/>
          <w:sz w:val="21"/>
          <w:szCs w:val="21"/>
        </w:rPr>
        <w:t xml:space="preserve">BR-TRN-006  —  Driver/Vehicle Assignment Validity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BR-TRN-006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Driver/Vehicle Assignment Validity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trip cannot be logged as started unless both a valid driver and a currently licensed vehicle are assigned to that route.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Protects safety and regulatory compliance for student transportation.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trip start event is triggered (by driver app or scheduled time).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Driver and vehicle licensing/validity data are on file (Client/Product Decision Required for the licensing data source/integration).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Trip is logged as started only when both checks pass.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FR-30, FR-31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7: Transport Management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Mixed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driver and vehicle validity flags before allowing the trip-start event to be logged; Transport Coordinator resolves any flagged expiries in advance.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Trip-start blocked with the specific expired/missing credential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Unsafe or non-compliant vehicle operation, liability exposure.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Transport Coordinator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Security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pStyle w:val="Heading2"/>
        <w:pageBreakBefore/>
        <w:outlineLvl w:val="1"/>
      </w:pPr>
      <w:r>
        <w:t xml:space="preserve">Module: HR &amp; Payroll  (7 Rules)</w:t>
      </w:r>
    </w:p>
    <w:p>
      <w:pPr>
        <w:shd w:fill="DCE6F1" w:color="auto" w:val="clear"/>
        <w:spacing w:after="100" w:before="260"/>
      </w:pPr>
      <w:r>
        <w:rPr>
          <w:b/>
          <w:bCs/>
          <w:color w:val="1F3864"/>
          <w:sz w:val="21"/>
          <w:szCs w:val="21"/>
        </w:rPr>
        <w:t xml:space="preserve">BR-HR-001  —  Payroll Requires Attendance Closure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BR-HR-001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Payroll Requires Attendance Closure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Payroll for a given month cannot be finalized until staff attendance for that month is closed.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payroll calculations (working days, leave deductions) are based on complete, reconciled attendance data.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initiates the monthly payroll run.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Attendance module's month-close status for staff attendance is checked.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Payroll proceeds only when attendance is closed; otherwise held.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the staff-attendance month-close flag before allowing the payroll calculation step to proceed.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Payroll run blocked; HR is shown which staff/records remain unreconciled in Attendance.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Incorrect salary payments, statutory deduction errors, disputes with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Carried forward from RGD v2.0 BRULE-04.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Derived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BR-ATT-005</w:t>
            </w:r>
          </w:p>
        </w:tc>
      </w:tr>
    </w:tbl>
    <w:p>
      <w:pPr>
        <w:spacing w:after="200"/>
      </w:pPr>
    </w:p>
    <w:p>
      <w:pPr>
        <w:shd w:fill="DCE6F1" w:color="auto" w:val="clear"/>
        <w:spacing w:after="100" w:before="260"/>
      </w:pPr>
      <w:r>
        <w:rPr>
          <w:b/>
          <w:bCs/>
          <w:color w:val="1F3864"/>
          <w:sz w:val="21"/>
          <w:szCs w:val="21"/>
        </w:rPr>
        <w:t xml:space="preserve">BR-HR-002  —  Access Revocation on Exit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BR-HR-002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Access Revocation on Exit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user's system access must be immediately revoked upon staff exit, and reassigned only via IT Admin approval.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Protects system security and data integrity by removing access for individuals no longer employed.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Staff exit is recorded in the HR module.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Staff member's active system-user account exists.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User account is deactivated; any reassignment of duties requires a separate IT Admin-approved access grant.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DPDP Act, 2023 (access control)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deactivates the linked user account automatically upon the exit-date field being set/confirmed in the Staff Master.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If automatic deactivation fails, an exception is raised to IT Admin for manual action within a defined SLA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Former staff retaining system access; data breach and security risk.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Carried forward from RGD v2.0 BRULE-07.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Security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Security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BR-RPT-001</w:t>
            </w:r>
          </w:p>
        </w:tc>
      </w:tr>
    </w:tbl>
    <w:p>
      <w:pPr>
        <w:spacing w:after="200"/>
      </w:pPr>
    </w:p>
    <w:p>
      <w:pPr>
        <w:shd w:fill="DCE6F1" w:color="auto" w:val="clear"/>
        <w:spacing w:after="100" w:before="260"/>
      </w:pPr>
      <w:r>
        <w:rPr>
          <w:b/>
          <w:bCs/>
          <w:color w:val="1F3864"/>
          <w:sz w:val="21"/>
          <w:szCs w:val="21"/>
        </w:rPr>
        <w:t xml:space="preserve">BR-HR-003  —  No Duplicate Payroll Run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BR-HR-003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 Duplicate Payroll Run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Payroll for a given staff member and pay period cannot be processed more than once without first reversing the prior run.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duplicate salary disbursement and statutory over-reporting.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payroll run is initiated for a staff member/period.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Existing payroll run status for that staff member/period is checked.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Run proceeds only if no completed run already exists for that period, or the prior run is explicitly reversed first.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for an existing "Processed" payroll record for the same staff member and pay period before allowing a new run.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run blocked; HR is shown the existing record and offered the reversal workflow if a genuine correction is needed.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Duplicate salary payment, incorrect statutory filings, financial loss.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shd w:fill="DCE6F1" w:color="auto" w:val="clear"/>
        <w:spacing w:after="100" w:before="260"/>
      </w:pPr>
      <w:r>
        <w:rPr>
          <w:b/>
          <w:bCs/>
          <w:color w:val="1F3864"/>
          <w:sz w:val="21"/>
          <w:szCs w:val="21"/>
        </w:rPr>
        <w:t xml:space="preserve">BR-HR-004  —  Leave Balance Validation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BR-HR-004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Leave Balance Validation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leave request cannot be approved if it would take the staff member's leave balance below zero for that leave type.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Enforces the school's leave policy consistently and prevents unauthorized negative balances.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leave request is submitted for approval.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Staff member's current leave balance by type (CL/SL/EL) is known.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Approval is permitted only if the resulting balance remains at or above zero.</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calculates the projected balance after the requested leave and blocks approval if it would go negative.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Approver is shown the insufficient-balance warning; may still override per policy exception (Client/Product Decision Required for override authority).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Unauthorized negative leave balances, payroll deduction disputes.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BR-ATT-005</w:t>
            </w:r>
          </w:p>
        </w:tc>
      </w:tr>
    </w:tbl>
    <w:p>
      <w:pPr>
        <w:spacing w:after="200"/>
      </w:pPr>
    </w:p>
    <w:p>
      <w:pPr>
        <w:shd w:fill="DCE6F1" w:color="auto" w:val="clear"/>
        <w:spacing w:after="100" w:before="260"/>
      </w:pPr>
      <w:r>
        <w:rPr>
          <w:b/>
          <w:bCs/>
          <w:color w:val="1F3864"/>
          <w:sz w:val="21"/>
          <w:szCs w:val="21"/>
        </w:rPr>
        <w:t xml:space="preserve">BR-HR-005  —  Statutory Deduction Mandatory Application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BR-HR-005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Statutory Deduction Mandatory Application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PF, ESI, and Professional Tax deductions must be applied automatically wherever the staff member meets the statutory eligibility criteria.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statutory compliance and avoids manual omission of mandatory deductions.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payroll run calculates a staff member's gross pay.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Statutory eligibility thresholds (PF/ESI/PT) are configured (Client/Product Decision Required for current slabs).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Applicable deductions are applied automatically to eligible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EPF Act; ESI Act; Professional Tax Act (State)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evaluates each staff member's gross pay and category against configured statutory thresholds and applies deductions accordingly.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threshold configuration is missing/outdated, the payroll run is held and flagged for HR/Finance review rather than under-deducting silently.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Statutory non-compliance, penalties, incorrect employee take-home pay.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Compliance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Government Regulation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shd w:fill="DCE6F1" w:color="auto" w:val="clear"/>
        <w:spacing w:after="100" w:before="260"/>
      </w:pPr>
      <w:r>
        <w:rPr>
          <w:b/>
          <w:bCs/>
          <w:color w:val="1F3864"/>
          <w:sz w:val="21"/>
          <w:szCs w:val="21"/>
        </w:rPr>
        <w:t xml:space="preserve">BR-HR-006  —  Full &amp; Final Settlement Precondition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BR-HR-006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Full &amp; Final Settlement Precondition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staff exit record cannot be closed until full &amp; final settlement is completed and confirmed by HR/Finance.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departing staff are correctly compensated and all dues (loans, leave encashment) are settled before closure.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Staff exit process reaches the closure step.</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Full &amp; final settlement calculation is completed.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Exit record status changes to "Closed" only after settlement confirmation.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Mixed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blocks the exit-closure status change until the settlement record is marked complete by HR/Finance.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Closure blocked; exit record remains in "Pending Settlement" status.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Unresolved dues, potential legal/labour disputes with departed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BR-HR-002</w:t>
            </w:r>
          </w:p>
        </w:tc>
      </w:tr>
    </w:tbl>
    <w:p>
      <w:pPr>
        <w:spacing w:after="200"/>
      </w:pPr>
    </w:p>
    <w:p>
      <w:pPr>
        <w:shd w:fill="DCE6F1" w:color="auto" w:val="clear"/>
        <w:spacing w:after="100" w:before="260"/>
      </w:pPr>
      <w:r>
        <w:rPr>
          <w:b/>
          <w:bCs/>
          <w:color w:val="1F3864"/>
          <w:sz w:val="21"/>
          <w:szCs w:val="21"/>
        </w:rPr>
        <w:t xml:space="preserve">BR-HR-007  —  Payslip Immutability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BR-HR-007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Payslip Immutability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generated and issued payslip cannot be altered; corrections require a supplementary adjustment record in the following cycle.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Preserves payroll audit integrity once a payslip has been issued to a staff member.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 edit is attempted on an issued payslip.</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Payslip status is "Issued".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Edit is rejected; a supplementary adjustment record is created for the next cycle instead.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FR-36</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Income Tax Act (Form 16 consistency)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blocks direct edits to any payslip record flagged Issued; corrections are captured as a new linked adjustment record.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Direct edit blocked; HR redirected to the Adjustment Record workflow.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Inconsistent payslip history, statutory filing discrepancies (Form 16, PF/ESI returns).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Audit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HR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BR-SIS-004, BR-ATT-002, BR-EXM-003</w:t>
            </w:r>
          </w:p>
        </w:tc>
      </w:tr>
    </w:tbl>
    <w:p>
      <w:pPr>
        <w:spacing w:after="200"/>
      </w:pPr>
    </w:p>
    <w:p>
      <w:pPr>
        <w:pStyle w:val="Heading2"/>
        <w:pageBreakBefore/>
        <w:outlineLvl w:val="1"/>
      </w:pPr>
      <w:r>
        <w:t xml:space="preserve">Module: Communication &amp; Notifications  (5 Rules)</w:t>
      </w:r>
    </w:p>
    <w:p>
      <w:pPr>
        <w:shd w:fill="DCE6F1" w:color="auto" w:val="clear"/>
        <w:spacing w:after="100" w:before="260"/>
      </w:pPr>
      <w:r>
        <w:rPr>
          <w:b/>
          <w:bCs/>
          <w:color w:val="1F3864"/>
          <w:sz w:val="21"/>
          <w:szCs w:val="21"/>
        </w:rPr>
        <w:t xml:space="preserve">BR-COM-001  —  Relationship-Based Messaging Restriction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BR-COM-001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Relationship-Based Messaging Restriction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parent/guardian cannot initiate a direct message to a teacher who is not currently assigned to their linked student's class/subject.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Protects staff from unsolicited contact and maintains appropriate communication boundaries.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parent attempts to initiate a direct message to a teacher.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Current class/subject-teacher assignment for the parent's linked student(s) is known.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Message is permitted only to teachers currently assigned to the student.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FR-39</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9: Communication &amp; Notifications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the sender's linked-student roster against the recipient teacher's current class/subject assignments before allowing message initiation.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Message-send is blocked with a message directing the parent to Admin Staff for other inquiries.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Unsolicited/inappropriate contact with staff, safeguarding and workload concerns.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Authorization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Security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BR-SIS-006</w:t>
            </w:r>
          </w:p>
        </w:tc>
      </w:tr>
    </w:tbl>
    <w:p>
      <w:pPr>
        <w:spacing w:after="200"/>
      </w:pPr>
    </w:p>
    <w:p>
      <w:pPr>
        <w:shd w:fill="DCE6F1" w:color="auto" w:val="clear"/>
        <w:spacing w:after="100" w:before="260"/>
      </w:pPr>
      <w:r>
        <w:rPr>
          <w:b/>
          <w:bCs/>
          <w:color w:val="1F3864"/>
          <w:sz w:val="21"/>
          <w:szCs w:val="21"/>
        </w:rPr>
        <w:t xml:space="preserve">BR-COM-002  —  Bulk Messaging Authorization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BR-COM-002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Bulk Messaging Authorization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Bulk SMS/email/push communication to more than the configured recipient threshold requires Admin Staff (or higher) authorization before sending.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unauthorized mass communication and protects the school's communication channels from misuse.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user composes a message targeting more recipients than the configured threshold.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Recipient-count threshold is configured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Send proceeds only after Admin Staff (or higher) authorization is recorded.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9: Communication &amp; Notifications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Mixed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counts the intended audience size and routes the send action into an approval queue if it exceeds the configured threshold.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Send is held in "Pending Authorization" status; sender is notified once approved or rejected.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Unauthorized mass communication, reputational risk, channel misuse (e.g., SMS cost overrun).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Authorization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Security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BR-COM-003</w:t>
            </w:r>
          </w:p>
        </w:tc>
      </w:tr>
    </w:tbl>
    <w:p>
      <w:pPr>
        <w:spacing w:after="200"/>
      </w:pPr>
    </w:p>
    <w:p>
      <w:pPr>
        <w:shd w:fill="DCE6F1" w:color="auto" w:val="clear"/>
        <w:spacing w:after="100" w:before="260"/>
      </w:pPr>
      <w:r>
        <w:rPr>
          <w:b/>
          <w:bCs/>
          <w:color w:val="1F3864"/>
          <w:sz w:val="21"/>
          <w:szCs w:val="21"/>
        </w:rPr>
        <w:t xml:space="preserve">BR-COM-003  —  Emergency Alert Priority Override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BR-COM-003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Emergency Alert Priority Override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 emergency broadcast is exempt from standard message queueing and scheduling rules and must be delivered immediately across all configured channels.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critical safety communication reaches parents/staff without delay during an emergency.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 authorized user initiates an Emergency Alert message type.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User holds the role authorized to trigger Emergency Alerts (Client/Product Decision Required for exact role authorization).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Message is dispatched immediately across all configured channels, bypassing standard queue and scheduling logic.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9: Communication &amp; Notifications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recognizes the Emergency Alert message type and routes it through a priority dispatch path, bypassing the standard send queue.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a channel is unavailable, failure is logged and escalated immediately rather than silently retried on the standard schedule.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Delayed emergency communication during a safety incident.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BR-COM-002</w:t>
            </w:r>
          </w:p>
        </w:tc>
      </w:tr>
    </w:tbl>
    <w:p>
      <w:pPr>
        <w:spacing w:after="200"/>
      </w:pPr>
    </w:p>
    <w:p>
      <w:pPr>
        <w:shd w:fill="DCE6F1" w:color="auto" w:val="clear"/>
        <w:spacing w:after="100" w:before="260"/>
      </w:pPr>
      <w:r>
        <w:rPr>
          <w:b/>
          <w:bCs/>
          <w:color w:val="1F3864"/>
          <w:sz w:val="21"/>
          <w:szCs w:val="21"/>
        </w:rPr>
        <w:t xml:space="preserve">BR-COM-004  —  Delivery Failure Logging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BR-COM-004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Delivery Failure Logging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Every failed message delivery must be logged with a failure reason and made visible in the sender's delivery report.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Ensures communication failures are visible and actionable rather than silently lost.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message dispatch attempt fails at the channel/gateway level.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Channel/gateway returns a delivery status.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Failure is logged with reason code and surfaced in the sender's delivery report.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FR-37</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9: Communication &amp; Notifications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captures the gateway's failure response and writes a structured log entry linked to the original message and recipient.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 further automatic action beyond logging and reporting; retry behavior is governed separately (see Appendix-A, Module 9 exception flow).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Undetected communication gaps, e.g., parents never informed of an event.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Audit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BR-ATT-004</w:t>
            </w:r>
          </w:p>
        </w:tc>
      </w:tr>
    </w:tbl>
    <w:p>
      <w:pPr>
        <w:spacing w:after="200"/>
      </w:pPr>
    </w:p>
    <w:p>
      <w:pPr>
        <w:shd w:fill="DCE6F1" w:color="auto" w:val="clear"/>
        <w:spacing w:after="100" w:before="260"/>
      </w:pPr>
      <w:r>
        <w:rPr>
          <w:b/>
          <w:bCs/>
          <w:color w:val="1F3864"/>
          <w:sz w:val="21"/>
          <w:szCs w:val="21"/>
        </w:rPr>
        <w:t xml:space="preserve">BR-COM-005  —  Communication Retention Period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BR-COM-005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Communication Retention Period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Communication logs must be retained for a minimum configured period for audit purposes.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Supports dispute resolution, safeguarding investigations, and regulatory audit requests.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message is sent or received through the system.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iCs/>
                <w:color w:val="C00000"/>
                <w:sz w:val="19"/>
                <w:szCs w:val="19"/>
              </w:rPr>
              <w:t xml:space="preserve">Minimum retention period is configured (Client/Product Decision Required).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Log entry is retained and not purged until the configured period elapses.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FR-37, FR-38, FR-39</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9: Communication &amp; Notifications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DPDP Act, 2023 (data retention/minimization)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applies the configured retention period to communication log records and excludes them from any purge routine until it elapses.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retention configuration is missing, records default to indefinite retention pending configuration rather than being purged prematurely.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Loss of evidence for disputes/investigations; DPDP Act data-handling non-compliance.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Compliance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Government Regulation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pStyle w:val="Heading2"/>
        <w:pageBreakBefore/>
        <w:outlineLvl w:val="1"/>
      </w:pPr>
      <w:r>
        <w:t xml:space="preserve">Module: Reports &amp; Analytics  (5 Rules)</w:t>
      </w:r>
    </w:p>
    <w:p>
      <w:pPr>
        <w:shd w:fill="DCE6F1" w:color="auto" w:val="clear"/>
        <w:spacing w:after="100" w:before="260"/>
      </w:pPr>
      <w:r>
        <w:rPr>
          <w:b/>
          <w:bCs/>
          <w:color w:val="1F3864"/>
          <w:sz w:val="21"/>
          <w:szCs w:val="21"/>
        </w:rPr>
        <w:t xml:space="preserve">BR-RPT-001  —  Role-Based Export Authorization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BR-RPT-001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Role-Based Export Authorization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Only users whose role is explicitly authorized for a given report may export it to Excel/PDF.</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Protects sensitive operational, academic, and financial data from unauthorized extraction.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user attempts to export a report/dashboard.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Report's authorized-role list is configured.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Export proceeds only if the user's role is on the authorized list for that report.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FR-41</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10: Reports &amp; Analytics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the requesting user's role against the report's configured authorized-role list before generating the export file.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Export blocked with an access-denied message; request logged for IT Admin visibility.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Unauthorized data extraction, privacy and competitive-sensitivity risk.</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IT Admin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Authorization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Security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BR-RPT-002</w:t>
            </w:r>
          </w:p>
        </w:tc>
      </w:tr>
    </w:tbl>
    <w:p>
      <w:pPr>
        <w:spacing w:after="200"/>
      </w:pPr>
    </w:p>
    <w:p>
      <w:pPr>
        <w:shd w:fill="DCE6F1" w:color="auto" w:val="clear"/>
        <w:spacing w:after="100" w:before="260"/>
      </w:pPr>
      <w:r>
        <w:rPr>
          <w:b/>
          <w:bCs/>
          <w:color w:val="1F3864"/>
          <w:sz w:val="21"/>
          <w:szCs w:val="21"/>
        </w:rPr>
        <w:t xml:space="preserve">BR-RPT-002  —  Financial Report Read-Only Status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BR-RPT-002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Financial Report Read-Only Status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Financial reports and dashboards are read-only outputs and cannot be edited within the Reporting module; corrections must occur at the source (Fee Collection/HR &amp; Payroll).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reports from becoming an unauthorized secondary system of record that could diverge from source data.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user attempts to modify a value within a financial report/dashboard view.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 is classified as "Financial".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Edit attempt is rejected; user is directed to the source module for correction.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FR-40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10: Reports &amp; Analytics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renders financial reports as non-editable views with no write-back path to the underlying data.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Edit attempt is blocked at the UI/API level; no exception path exists by design.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Reports diverging from source-of-truth financial data, audit failures.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IT Admin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Security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Finance Policy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BR-FEE-001</w:t>
            </w:r>
          </w:p>
        </w:tc>
      </w:tr>
    </w:tbl>
    <w:p>
      <w:pPr>
        <w:spacing w:after="200"/>
      </w:pPr>
    </w:p>
    <w:p>
      <w:pPr>
        <w:shd w:fill="DCE6F1" w:color="auto" w:val="clear"/>
        <w:spacing w:after="100" w:before="260"/>
      </w:pPr>
      <w:r>
        <w:rPr>
          <w:b/>
          <w:bCs/>
          <w:color w:val="1F3864"/>
          <w:sz w:val="21"/>
          <w:szCs w:val="21"/>
        </w:rPr>
        <w:t xml:space="preserve">BR-RPT-003  —  Historical Report Immutability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BR-RPT-003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Historical Report Immutability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report generated and archived for a closed period cannot be regenerated to reflect later data changes; a new version must be created instead.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Preserves the integrity of point-in-time historical reporting for audit and year-over-year comparison.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user attempts to regenerate a report for a closed/archived period.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Report's period is marked "Closed/Archived".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Regeneration creates a new versioned report rather than overwriting the archived one.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FR-40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10: Reports &amp; Analytics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detects the target period's closed status and forces a new version number rather than allowing in-place regeneration.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Regeneration proceeds as a new version; the original archived report remains unchanged and retrievable.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Historical reports silently changing, undermining audit trust and trend analysis (FR-42).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IT Admin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Audit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BR-SIS-004</w:t>
            </w:r>
          </w:p>
        </w:tc>
      </w:tr>
    </w:tbl>
    <w:p>
      <w:pPr>
        <w:spacing w:after="200"/>
      </w:pPr>
    </w:p>
    <w:p>
      <w:pPr>
        <w:shd w:fill="DCE6F1" w:color="auto" w:val="clear"/>
        <w:spacing w:after="100" w:before="260"/>
      </w:pPr>
      <w:r>
        <w:rPr>
          <w:b/>
          <w:bCs/>
          <w:color w:val="1F3864"/>
          <w:sz w:val="21"/>
          <w:szCs w:val="21"/>
        </w:rPr>
        <w:t xml:space="preserve">BR-RPT-004  —  Provisional Data Labelling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BR-RPT-004</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Provisional Data Labelling</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Any report that includes data from a module in an unlocked/incomplete state must be visibly labelled "Provisional".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Prevents incomplete data (e.g., unlocked exam marks) from being mistaken for final, authoritative figures.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report/dashboard is rendered using data from a source module.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Source module's data-lock status for the relevant period is known.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 is labelled "Provisional" if any contributing data is not yet locked/finalized.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FR-40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10: Reports &amp; Analytics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checks the lock/finalization status of each contributing data source at render time and applies the Provisional label accordingly.</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 blocking occurs; the report still renders, but with a clearly visible Provisional indicator.</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Stakeholders making decisions based on incomplete data presented as final.</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IT Admin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Notification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BR-EXM-001</w:t>
            </w:r>
          </w:p>
        </w:tc>
      </w:tr>
    </w:tbl>
    <w:p>
      <w:pPr>
        <w:spacing w:after="200"/>
      </w:pPr>
    </w:p>
    <w:p>
      <w:pPr>
        <w:shd w:fill="DCE6F1" w:color="auto" w:val="clear"/>
        <w:spacing w:after="100" w:before="260"/>
      </w:pPr>
      <w:r>
        <w:rPr>
          <w:b/>
          <w:bCs/>
          <w:color w:val="1F3864"/>
          <w:sz w:val="21"/>
          <w:szCs w:val="21"/>
        </w:rPr>
        <w:t xml:space="preserve">BR-RPT-005  —  Data Refresh Currency Disclosure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00"/>
        <w:gridCol w:w="11140"/>
      </w:tblGrid>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 Business Rule ID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BR-RPT-005</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Rule Name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Data Refresh Currency Disclosure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4. Business Rule Statement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Every dashboard must display the timestamp of its last data refresh alongside the rendered figures.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5. Business Justification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Gives stakeholders the context needed to judge how current the displayed information is.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6. Trigger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 dashboard is rendered or refreshed.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Preconditions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Last-refresh timestamp is tracked by the system.</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8. Post Conditions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Timestamp is displayed prominently alongside the dashboard's figures.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Functional Requirement(s)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FR-40, FR-42</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Appendix-A, Module 10: Reports &amp; Analytics</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Related Regulatory Requirement</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Priority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Enforcement Type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Validation Logic</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stamps each data-aggregation job with a completion timestamp and surfaces it in the dashboard UI metadata.</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Exception Handling</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If refresh fails, the previous timestamp remains displayed with a stale-data indicator rather than a misleading current time.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Impact if Violated</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Stakeholders assuming real-time data when it may be stale.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Owner</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IT Admin</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Notes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New rule — not previously enumerated in RGD v2.0; introduced during Business Rule Catalogue elicitation (Gap-03).</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Rule Version</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Rule Status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Approved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21. Effective From</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23-Jul-2026 (Gap-03 Approval Date)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22. Effective Until</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Open-Ended — no expiry defined</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23. Rule Category</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Notification Rule</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24. Rule Source</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25. Related Business Rule(s)</w:t>
            </w:r>
          </w:p>
        </w:tc>
        <w:tc>
          <w:tcPr>
            <w:tcW w:type="dxa" w:w="11140"/>
            <w:tcMar>
              <w:top w:type="dxa" w:w="60"/>
              <w:left w:type="dxa" w:w="100"/>
              <w:bottom w:type="dxa" w:w="60"/>
              <w:right w:type="dxa" w:w="100"/>
            </w:tcMar>
            <w:vAlign w:val="center"/>
          </w:tcPr>
          <w:p>
            <w:r>
              <w:rPr>
                <w:b w:val="false"/>
                <w:bCs w:val="false"/>
                <w:i w:val="false"/>
                <w:iCs w:val="false"/>
                <w:color w:val="000000"/>
                <w:sz w:val="19"/>
                <w:szCs w:val="19"/>
              </w:rPr>
              <w:t xml:space="preserve">None Identified — standalone rule</w:t>
            </w:r>
          </w:p>
        </w:tc>
      </w:tr>
    </w:tbl>
    <w:p>
      <w:pPr>
        <w:spacing w:after="200"/>
      </w:pPr>
    </w:p>
    <w:p>
      <w:pPr>
        <w:pStyle w:val="Heading1"/>
        <w:pageBreakBefore/>
        <w:outlineLvl w:val="0"/>
      </w:pPr>
      <w:r>
        <w:t xml:space="preserve">Section 1 — Business Rule Dependency Matrix (Full Traceability)</w:t>
      </w:r>
    </w:p>
    <w:p>
      <w:pPr>
        <w:spacing w:after="140" w:line="270"/>
      </w:pPr>
      <w:r>
        <w:rPr>
          <w:sz w:val="20"/>
          <w:szCs w:val="20"/>
        </w:rPr>
        <w:t xml:space="preserve">v1.1 change: this section previously showed one illustrative rule per module. It now provides the complete Business Rule → Functional Requirement → BPMN Module → Future BRD Reference → Future SRS Reference → Future Test Case Reference chain for all 71 rules, presented as a structured table for practical readability (an equivalent ASCII tree per rule would run to over 700 lines with no additional traceability value).</w:t>
      </w:r>
    </w:p>
    <w:p>
      <w:pPr>
        <w:spacing w:after="12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200"/>
        <w:gridCol w:w="2380"/>
        <w:gridCol w:w="2380"/>
        <w:gridCol w:w="2380"/>
      </w:tblGrid>
      <w:tr>
        <w:tc>
          <w:tcPr>
            <w:tcW w:type="dxa" w:w="1700"/>
            <w:shd w:fill="2E5395" w:color="auto" w:val="clear"/>
            <w:tcMar>
              <w:top w:type="dxa" w:w="60"/>
              <w:left w:type="dxa" w:w="100"/>
              <w:bottom w:type="dxa" w:w="60"/>
              <w:right w:type="dxa" w:w="100"/>
            </w:tcMar>
            <w:vAlign w:val="center"/>
          </w:tcPr>
          <w:p>
            <w:r>
              <w:rPr>
                <w:b/>
                <w:bCs/>
                <w:i w:val="false"/>
                <w:iCs w:val="false"/>
                <w:color w:val="FFFFFF"/>
                <w:sz w:val="19"/>
                <w:szCs w:val="19"/>
              </w:rPr>
              <w:t xml:space="preserve">Business Rule</w:t>
            </w:r>
          </w:p>
        </w:tc>
        <w:tc>
          <w:tcPr>
            <w:tcW w:type="dxa" w:w="2000"/>
            <w:shd w:fill="2E5395" w:color="auto" w:val="clear"/>
            <w:tcMar>
              <w:top w:type="dxa" w:w="60"/>
              <w:left w:type="dxa" w:w="100"/>
              <w:bottom w:type="dxa" w:w="60"/>
              <w:right w:type="dxa" w:w="100"/>
            </w:tcMar>
            <w:vAlign w:val="center"/>
          </w:tcPr>
          <w:p>
            <w:r>
              <w:rPr>
                <w:b/>
                <w:bCs/>
                <w:i w:val="false"/>
                <w:iCs w:val="false"/>
                <w:color w:val="FFFFFF"/>
                <w:sz w:val="19"/>
                <w:szCs w:val="19"/>
              </w:rPr>
              <w:t xml:space="preserve">Functional Req.</w:t>
            </w:r>
          </w:p>
        </w:tc>
        <w:tc>
          <w:tcPr>
            <w:tcW w:type="dxa" w:w="3200"/>
            <w:shd w:fill="2E5395" w:color="auto" w:val="clear"/>
            <w:tcMar>
              <w:top w:type="dxa" w:w="60"/>
              <w:left w:type="dxa" w:w="100"/>
              <w:bottom w:type="dxa" w:w="60"/>
              <w:right w:type="dxa" w:w="100"/>
            </w:tcMar>
            <w:vAlign w:val="center"/>
          </w:tcPr>
          <w:p>
            <w:r>
              <w:rPr>
                <w:b/>
                <w:bCs/>
                <w:i w:val="false"/>
                <w:iCs w:val="false"/>
                <w:color w:val="FFFFFF"/>
                <w:sz w:val="19"/>
                <w:szCs w:val="19"/>
              </w:rPr>
              <w:t xml:space="preserve">BPMN Module</w:t>
            </w:r>
          </w:p>
        </w:tc>
        <w:tc>
          <w:tcPr>
            <w:tcW w:type="dxa" w:w="2380"/>
            <w:shd w:fill="2E5395" w:color="auto" w:val="clear"/>
            <w:tcMar>
              <w:top w:type="dxa" w:w="60"/>
              <w:left w:type="dxa" w:w="100"/>
              <w:bottom w:type="dxa" w:w="60"/>
              <w:right w:type="dxa" w:w="100"/>
            </w:tcMar>
            <w:vAlign w:val="center"/>
          </w:tcPr>
          <w:p>
            <w:r>
              <w:rPr>
                <w:b/>
                <w:bCs/>
                <w:i w:val="false"/>
                <w:iCs w:val="false"/>
                <w:color w:val="FFFFFF"/>
                <w:sz w:val="19"/>
                <w:szCs w:val="19"/>
              </w:rPr>
              <w:t xml:space="preserve">Future BRD Ref.</w:t>
            </w:r>
          </w:p>
        </w:tc>
        <w:tc>
          <w:tcPr>
            <w:tcW w:type="dxa" w:w="2380"/>
            <w:shd w:fill="2E5395" w:color="auto" w:val="clear"/>
            <w:tcMar>
              <w:top w:type="dxa" w:w="60"/>
              <w:left w:type="dxa" w:w="100"/>
              <w:bottom w:type="dxa" w:w="60"/>
              <w:right w:type="dxa" w:w="100"/>
            </w:tcMar>
            <w:vAlign w:val="center"/>
          </w:tcPr>
          <w:p>
            <w:r>
              <w:rPr>
                <w:b/>
                <w:bCs/>
                <w:i w:val="false"/>
                <w:iCs w:val="false"/>
                <w:color w:val="FFFFFF"/>
                <w:sz w:val="19"/>
                <w:szCs w:val="19"/>
              </w:rPr>
              <w:t xml:space="preserve">Future SRS Ref.</w:t>
            </w:r>
          </w:p>
        </w:tc>
        <w:tc>
          <w:tcPr>
            <w:tcW w:type="dxa" w:w="2380"/>
            <w:shd w:fill="2E5395" w:color="auto" w:val="clear"/>
            <w:tcMar>
              <w:top w:type="dxa" w:w="60"/>
              <w:left w:type="dxa" w:w="100"/>
              <w:bottom w:type="dxa" w:w="60"/>
              <w:right w:type="dxa" w:w="100"/>
            </w:tcMar>
            <w:vAlign w:val="center"/>
          </w:tcPr>
          <w:p>
            <w:r>
              <w:rPr>
                <w:b/>
                <w:bCs/>
                <w:i w:val="false"/>
                <w:iCs w:val="false"/>
                <w:color w:val="FFFFFF"/>
                <w:sz w:val="19"/>
                <w:szCs w:val="19"/>
              </w:rPr>
              <w:t xml:space="preserve">Future Test Case</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BR-ADM-001</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FR-04</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BRD-ADM-001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SRS-ADM-001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TC-ADM-001</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BR-ADM-002</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FR-02</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BRD-ADM-002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SRS-ADM-002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TC-ADM-002</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BR-ADM-003</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FR-05b</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BRD-ADM-003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SRS-ADM-003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TC-ADM-003</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BR-ADM-004</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FR-05b</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BRD-ADM-004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SRS-ADM-004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TC-ADM-004</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BR-ADM-005</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FR-01</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BRD-ADM-005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SRS-ADM-005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TC-ADM-005</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BR-ADM-006</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FR-05a</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BRD-ADM-006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SRS-ADM-006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TC-ADM-006</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BR-ADM-007</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FR-04</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BRD-ADM-007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SRS-ADM-007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TC-ADM-007</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BR-ADM-008</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FR-04</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BRD-ADM-008</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SRS-ADM-008</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TC-ADM-008</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BR-SIS-001</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FR-08</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BRD-SIS-001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SRS-SIS-001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TC-SIS-001</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BR-SIS-002</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FR-06</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BRD-SIS-002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SRS-SIS-002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TC-SIS-002</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BR-SIS-003</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FR-06, FR-07</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BRD-SIS-003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SRS-SIS-003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TC-SIS-003</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BR-SIS-004</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FR-08</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BRD-SIS-004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SRS-SIS-004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TC-SIS-004</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BR-SIS-005</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FR-06</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BRD-SIS-005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SRS-SIS-005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TC-SIS-005</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BR-SIS-006</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FR-06</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BRD-SIS-006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SRS-SIS-006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TC-SIS-006</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BR-ATT-001</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FR-10</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BRD-ATT-001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SRS-ATT-001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TC-ATT-001</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BR-ATT-002</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FR-10</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BRD-ATT-002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SRS-ATT-002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TC-ATT-002</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BR-ATT-003</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FR-10</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BRD-ATT-003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SRS-ATT-003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TC-ATT-003</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BR-ATT-004</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FR-11</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BRD-ATT-004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SRS-ATT-004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TC-ATT-004</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BR-ATT-005</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FR-12</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BRD-ATT-005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SRS-ATT-005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TC-ATT-005</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BR-ATT-006</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FR-13</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BRD-ATT-006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SRS-ATT-006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TC-ATT-006</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BR-ATT-007</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FR-10</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BRD-ATT-007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SRS-ATT-007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TC-ATT-007</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BR-TT-001</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FR-15</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Not Covered (Gap-01)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BRD-TT-001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SRS-TT-001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TC-TT-001</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BR-TT-002</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FR-15</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Not Covered (Gap-01)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BRD-TT-002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SRS-TT-002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TC-TT-002</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BR-TT-003</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FR-14</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Not Covered (Gap-01)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BRD-TT-003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SRS-TT-003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TC-TT-003</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BR-TT-004</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FR-16</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Not Covered (Gap-01)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BRD-TT-004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SRS-TT-004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TC-TT-004</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BR-TT-005</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FR-14</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Not Covered (Gap-01)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BRD-TT-005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SRS-TT-005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TC-TT-005</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BR-TT-006</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FR-14</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Not Covered (Gap-01)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BRD-TT-006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SRS-TT-006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TC-TT-006</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BR-EXM-001</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FR-20, FR-21</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BRD-EXM-001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SRS-EXM-001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TC-EXM-001</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BR-EXM-002</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FR-18</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BRD-EXM-002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SRS-EXM-002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TC-EXM-002</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BR-EXM-003</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FR-18</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BRD-EXM-003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SRS-EXM-003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TC-EXM-003</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BR-EXM-004</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FR-19</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BRD-EXM-004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SRS-EXM-004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TC-EXM-004</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BR-EXM-005</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FR-17</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BRD-EXM-005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SRS-EXM-005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TC-EXM-005</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BR-EXM-006</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FR-18</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BRD-EXM-006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SRS-EXM-006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TC-EXM-006</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BR-EXM-007</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FR-17</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BRD-EXM-007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SRS-EXM-007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TC-EXM-007</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BR-FEE-001</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FR-23</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BRD-FEE-001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SRS-FEE-001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TC-FEE-001</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BR-FEE-002</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FR-26</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BRD-FEE-002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SRS-FEE-002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TC-FEE-002</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BR-FEE-003</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FR-32</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BRD-FEE-003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SRS-FEE-003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TC-FEE-003</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BR-FEE-004</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FR-25</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BRD-FEE-004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SRS-FEE-004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TC-FEE-004</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BR-FEE-005</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FR-26b</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BRD-FEE-005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SRS-FEE-005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TC-FEE-005</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BR-FEE-006</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FR-24</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BRD-FEE-006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SRS-FEE-006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TC-FEE-006</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BR-FEE-007</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FR-26a</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BRD-FEE-007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SRS-FEE-007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TC-FEE-007</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BR-FEE-008</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FR-25</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BRD-FEE-008</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SRS-FEE-008</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TC-FEE-008</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BR-LIB-001</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FR-28</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BRD-LIB-001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SRS-LIB-001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TC-LIB-001</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BR-LIB-002</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FR-28</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BRD-LIB-002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SRS-LIB-002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TC-LIB-002</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BR-LIB-003</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FR-28</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BRD-LIB-003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SRS-LIB-003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TC-LIB-003</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BR-LIB-004</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FR-27</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BRD-LIB-004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SRS-LIB-004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TC-LIB-004</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BR-LIB-005</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FR-28</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BRD-LIB-005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SRS-LIB-005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TC-LIB-005</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BR-LIB-006</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FR-27, FR-28</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BRD-LIB-006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SRS-LIB-006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TC-LIB-006</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BR-TRN-001</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FR-30</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BRD-TRN-001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SRS-TRN-001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TC-TRN-001</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BR-TRN-002</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FR-30</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BRD-TRN-002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SRS-TRN-002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TC-TRN-002</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BR-TRN-003</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FR-31</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BRD-TRN-003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SRS-TRN-003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TC-TRN-003</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BR-TRN-004</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FR-30</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BRD-TRN-004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SRS-TRN-004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TC-TRN-004</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BR-TRN-005</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FR-32</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BRD-TRN-005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SRS-TRN-005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TC-TRN-005</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BR-TRN-006</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FR-30, FR-31</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BRD-TRN-006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SRS-TRN-006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TC-TRN-006</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BR-HR-001</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FR-34</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8</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BRD-HR-001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SRS-HR-001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TC-HR-001</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BR-HR-002</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FR-33</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8</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BRD-HR-002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SRS-HR-002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TC-HR-002</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BR-HR-003</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FR-34</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8</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BRD-HR-003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SRS-HR-003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TC-HR-003</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BR-HR-004</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FR-35</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8</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BRD-HR-004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SRS-HR-004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TC-HR-004</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BR-HR-005</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FR-34</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8</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BRD-HR-005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SRS-HR-005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TC-HR-005</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BR-HR-006</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FR-33</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8</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BRD-HR-006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SRS-HR-006</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TC-HR-006</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BR-HR-007</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FR-36</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8</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BRD-HR-007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SRS-HR-007</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TC-HR-007</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BR-COM-001</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FR-39</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9</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BRD-COM-001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SRS-COM-001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TC-COM-001</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BR-COM-002</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FR-37</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9</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BRD-COM-002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SRS-COM-002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TC-COM-002</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BR-COM-003</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FR-37</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9</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BRD-COM-003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SRS-COM-003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TC-COM-003</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BR-COM-004</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FR-37</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9</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BRD-COM-004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SRS-COM-004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TC-COM-004</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BR-COM-005</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FR-37, FR-38, FR-39</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9</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BRD-COM-005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SRS-COM-005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TC-COM-005</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BR-RPT-001</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FR-41</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10</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BRD-RPT-001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SRS-RPT-001</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TC-RPT-001</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BR-RPT-002</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FR-40</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10</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BRD-RPT-002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SRS-RPT-002</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TC-RPT-002</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BR-RPT-003</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FR-40</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10</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BRD-RPT-003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SRS-RPT-003</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TC-RPT-003</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BR-RPT-004</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FR-40</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10</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BRD-RPT-004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SRS-RPT-004</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TC-RPT-004</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BR-RPT-005</w:t>
            </w:r>
          </w:p>
        </w:tc>
        <w:tc>
          <w:tcPr>
            <w:tcW w:type="dxa" w:w="2000"/>
            <w:tcMar>
              <w:top w:type="dxa" w:w="60"/>
              <w:left w:type="dxa" w:w="100"/>
              <w:bottom w:type="dxa" w:w="60"/>
              <w:right w:type="dxa" w:w="100"/>
            </w:tcMar>
            <w:vAlign w:val="center"/>
          </w:tcPr>
          <w:p>
            <w:r>
              <w:rPr>
                <w:b w:val="false"/>
                <w:bCs w:val="false"/>
                <w:i w:val="false"/>
                <w:iCs w:val="false"/>
                <w:color w:val="000000"/>
                <w:sz w:val="19"/>
                <w:szCs w:val="19"/>
              </w:rPr>
              <w:t xml:space="preserve">FR-40, FR-42</w:t>
            </w:r>
          </w:p>
        </w:tc>
        <w:tc>
          <w:tcPr>
            <w:tcW w:type="dxa" w:w="3200"/>
            <w:tcMar>
              <w:top w:type="dxa" w:w="60"/>
              <w:left w:type="dxa" w:w="100"/>
              <w:bottom w:type="dxa" w:w="60"/>
              <w:right w:type="dxa" w:w="100"/>
            </w:tcMar>
            <w:vAlign w:val="center"/>
          </w:tcPr>
          <w:p>
            <w:r>
              <w:rPr>
                <w:b w:val="false"/>
                <w:bCs w:val="false"/>
                <w:i w:val="false"/>
                <w:iCs w:val="false"/>
                <w:color w:val="000000"/>
                <w:sz w:val="19"/>
                <w:szCs w:val="19"/>
              </w:rPr>
              <w:t xml:space="preserve">Appx-A Mod 10</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BRD-RPT-005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SRS-RPT-005</w:t>
            </w:r>
          </w:p>
        </w:tc>
        <w:tc>
          <w:tcPr>
            <w:tcW w:type="dxa" w:w="2380"/>
            <w:tcMar>
              <w:top w:type="dxa" w:w="60"/>
              <w:left w:type="dxa" w:w="100"/>
              <w:bottom w:type="dxa" w:w="60"/>
              <w:right w:type="dxa" w:w="100"/>
            </w:tcMar>
            <w:vAlign w:val="center"/>
          </w:tcPr>
          <w:p>
            <w:r>
              <w:rPr>
                <w:b w:val="false"/>
                <w:bCs w:val="false"/>
                <w:i w:val="false"/>
                <w:iCs w:val="false"/>
                <w:color w:val="000000"/>
                <w:sz w:val="19"/>
                <w:szCs w:val="19"/>
              </w:rPr>
              <w:t xml:space="preserve">TC-RPT-005</w:t>
            </w:r>
          </w:p>
        </w:tc>
      </w:tr>
    </w:tbl>
    <w:p>
      <w:pPr>
        <w:pStyle w:val="Heading1"/>
        <w:pageBreakBefore/>
        <w:outlineLvl w:val="0"/>
      </w:pPr>
      <w:r>
        <w:t xml:space="preserve">Section 2 — Business Rule Coverage Summary</w:t>
      </w:r>
    </w:p>
    <w:p>
      <w:pPr>
        <w:pStyle w:val="Heading2"/>
        <w:outlineLvl w:val="1"/>
      </w:pPr>
      <w:r>
        <w:t xml:space="preserve">2.1 Rules per Module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800"/>
        <w:gridCol w:w="3240"/>
      </w:tblGrid>
      <w:tr>
        <w:tc>
          <w:tcPr>
            <w:tcW w:type="dxa" w:w="10800"/>
            <w:shd w:fill="2E5395" w:color="auto" w:val="clear"/>
            <w:tcMar>
              <w:top w:type="dxa" w:w="60"/>
              <w:left w:type="dxa" w:w="100"/>
              <w:bottom w:type="dxa" w:w="60"/>
              <w:right w:type="dxa" w:w="100"/>
            </w:tcMar>
            <w:vAlign w:val="center"/>
          </w:tcPr>
          <w:p>
            <w:r>
              <w:rPr>
                <w:b/>
                <w:bCs/>
                <w:i w:val="false"/>
                <w:iCs w:val="false"/>
                <w:color w:val="FFFFFF"/>
                <w:sz w:val="19"/>
                <w:szCs w:val="19"/>
              </w:rPr>
              <w:t xml:space="preserve">Module</w:t>
            </w:r>
          </w:p>
        </w:tc>
        <w:tc>
          <w:tcPr>
            <w:tcW w:type="dxa" w:w="3240"/>
            <w:shd w:fill="2E5395" w:color="auto" w:val="clear"/>
            <w:tcMar>
              <w:top w:type="dxa" w:w="60"/>
              <w:left w:type="dxa" w:w="100"/>
              <w:bottom w:type="dxa" w:w="60"/>
              <w:right w:type="dxa" w:w="100"/>
            </w:tcMar>
            <w:vAlign w:val="center"/>
          </w:tcPr>
          <w:p>
            <w:r>
              <w:rPr>
                <w:b/>
                <w:bCs/>
                <w:i w:val="false"/>
                <w:iCs w:val="false"/>
                <w:color w:val="FFFFFF"/>
                <w:sz w:val="19"/>
                <w:szCs w:val="19"/>
              </w:rPr>
              <w:t xml:space="preserve">Rule Count</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8</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6</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7</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6</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7</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8</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6</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6</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7</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5</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5</w:t>
            </w:r>
          </w:p>
        </w:tc>
      </w:tr>
    </w:tbl>
    <w:p>
      <w:pPr>
        <w:spacing w:after="200"/>
      </w:pPr>
    </w:p>
    <w:p>
      <w:pPr>
        <w:pStyle w:val="Heading2"/>
        <w:outlineLvl w:val="1"/>
      </w:pPr>
      <w:r>
        <w:t xml:space="preserve">2.2 Rules by Priority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800"/>
        <w:gridCol w:w="3240"/>
      </w:tblGrid>
      <w:tr>
        <w:tc>
          <w:tcPr>
            <w:tcW w:type="dxa" w:w="10800"/>
            <w:shd w:fill="2E5395" w:color="auto" w:val="clear"/>
            <w:tcMar>
              <w:top w:type="dxa" w:w="60"/>
              <w:left w:type="dxa" w:w="100"/>
              <w:bottom w:type="dxa" w:w="60"/>
              <w:right w:type="dxa" w:w="100"/>
            </w:tcMar>
            <w:vAlign w:val="center"/>
          </w:tcPr>
          <w:p>
            <w:r>
              <w:rPr>
                <w:b/>
                <w:bCs/>
                <w:i w:val="false"/>
                <w:iCs w:val="false"/>
                <w:color w:val="FFFFFF"/>
                <w:sz w:val="19"/>
                <w:szCs w:val="19"/>
              </w:rPr>
              <w:t xml:space="preserve">Priority</w:t>
            </w:r>
          </w:p>
        </w:tc>
        <w:tc>
          <w:tcPr>
            <w:tcW w:type="dxa" w:w="3240"/>
            <w:shd w:fill="2E5395" w:color="auto" w:val="clear"/>
            <w:tcMar>
              <w:top w:type="dxa" w:w="60"/>
              <w:left w:type="dxa" w:w="100"/>
              <w:bottom w:type="dxa" w:w="60"/>
              <w:right w:type="dxa" w:w="100"/>
            </w:tcMar>
            <w:vAlign w:val="center"/>
          </w:tcPr>
          <w:p>
            <w:r>
              <w:rPr>
                <w:b/>
                <w:bCs/>
                <w:i w:val="false"/>
                <w:iCs w:val="false"/>
                <w:color w:val="FFFFFF"/>
                <w:sz w:val="19"/>
                <w:szCs w:val="19"/>
              </w:rPr>
              <w:t xml:space="preserve">Count</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Critical</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19</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High</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20</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Medium</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27</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Low</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5</w:t>
            </w:r>
          </w:p>
        </w:tc>
      </w:tr>
    </w:tbl>
    <w:p>
      <w:pPr>
        <w:spacing w:after="200"/>
      </w:pPr>
    </w:p>
    <w:p>
      <w:pPr>
        <w:pStyle w:val="Heading2"/>
        <w:outlineLvl w:val="1"/>
      </w:pPr>
      <w:r>
        <w:t xml:space="preserve">2.3 Rules by Enforcement Type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800"/>
        <w:gridCol w:w="3240"/>
      </w:tblGrid>
      <w:tr>
        <w:tc>
          <w:tcPr>
            <w:tcW w:type="dxa" w:w="10800"/>
            <w:shd w:fill="2E5395" w:color="auto" w:val="clear"/>
            <w:tcMar>
              <w:top w:type="dxa" w:w="60"/>
              <w:left w:type="dxa" w:w="100"/>
              <w:bottom w:type="dxa" w:w="60"/>
              <w:right w:type="dxa" w:w="100"/>
            </w:tcMar>
            <w:vAlign w:val="center"/>
          </w:tcPr>
          <w:p>
            <w:r>
              <w:rPr>
                <w:b/>
                <w:bCs/>
                <w:i w:val="false"/>
                <w:iCs w:val="false"/>
                <w:color w:val="FFFFFF"/>
                <w:sz w:val="19"/>
                <w:szCs w:val="19"/>
              </w:rPr>
              <w:t xml:space="preserve">Enforcement Type</w:t>
            </w:r>
          </w:p>
        </w:tc>
        <w:tc>
          <w:tcPr>
            <w:tcW w:type="dxa" w:w="3240"/>
            <w:shd w:fill="2E5395" w:color="auto" w:val="clear"/>
            <w:tcMar>
              <w:top w:type="dxa" w:w="60"/>
              <w:left w:type="dxa" w:w="100"/>
              <w:bottom w:type="dxa" w:w="60"/>
              <w:right w:type="dxa" w:w="100"/>
            </w:tcMar>
            <w:vAlign w:val="center"/>
          </w:tcPr>
          <w:p>
            <w:r>
              <w:rPr>
                <w:b/>
                <w:bCs/>
                <w:i w:val="false"/>
                <w:iCs w:val="false"/>
                <w:color w:val="FFFFFF"/>
                <w:sz w:val="19"/>
                <w:szCs w:val="19"/>
              </w:rPr>
              <w:t xml:space="preserve">Count</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Automatic</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57</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Manual</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3</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Mixed</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11</w:t>
            </w:r>
          </w:p>
        </w:tc>
      </w:tr>
    </w:tbl>
    <w:p>
      <w:pPr>
        <w:spacing w:after="200"/>
      </w:pPr>
    </w:p>
    <w:p>
      <w:pPr>
        <w:pStyle w:val="Heading2"/>
        <w:outlineLvl w:val="1"/>
      </w:pPr>
      <w:r>
        <w:t xml:space="preserve">2.4 Regulatory Rules</w:t>
      </w:r>
    </w:p>
    <w:p>
      <w:pPr>
        <w:spacing w:after="140" w:line="270"/>
      </w:pPr>
      <w:r>
        <w:rPr>
          <w:sz w:val="20"/>
          <w:szCs w:val="20"/>
        </w:rPr>
        <w:t xml:space="preserve">13 of 71 rules carry an explicit Related Regulatory Requirement mapping (RTE Act 2009, DPDP Act 2023, GST, EPF/ESI/Professional Tax/Income Tax Acts, UIDAI norms, or Board Affiliation Bye-laws).</w:t>
      </w:r>
    </w:p>
    <w:p>
      <w:pPr>
        <w:spacing w:after="200"/>
      </w:pPr>
    </w:p>
    <w:p>
      <w:pPr>
        <w:pStyle w:val="Heading2"/>
        <w:outlineLvl w:val="1"/>
      </w:pPr>
      <w:r>
        <w:t xml:space="preserve">2.5 Rules by Category (v1.1)</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800"/>
        <w:gridCol w:w="3240"/>
      </w:tblGrid>
      <w:tr>
        <w:tc>
          <w:tcPr>
            <w:tcW w:type="dxa" w:w="10800"/>
            <w:shd w:fill="2E5395" w:color="auto" w:val="clear"/>
            <w:tcMar>
              <w:top w:type="dxa" w:w="60"/>
              <w:left w:type="dxa" w:w="100"/>
              <w:bottom w:type="dxa" w:w="60"/>
              <w:right w:type="dxa" w:w="100"/>
            </w:tcMar>
            <w:vAlign w:val="center"/>
          </w:tcPr>
          <w:p>
            <w:r>
              <w:rPr>
                <w:b/>
                <w:bCs/>
                <w:i w:val="false"/>
                <w:iCs w:val="false"/>
                <w:color w:val="FFFFFF"/>
                <w:sz w:val="19"/>
                <w:szCs w:val="19"/>
              </w:rPr>
              <w:t xml:space="preserve">Category</w:t>
            </w:r>
          </w:p>
        </w:tc>
        <w:tc>
          <w:tcPr>
            <w:tcW w:type="dxa" w:w="3240"/>
            <w:shd w:fill="2E5395" w:color="auto" w:val="clear"/>
            <w:tcMar>
              <w:top w:type="dxa" w:w="60"/>
              <w:left w:type="dxa" w:w="100"/>
              <w:bottom w:type="dxa" w:w="60"/>
              <w:right w:type="dxa" w:w="100"/>
            </w:tcMar>
            <w:vAlign w:val="center"/>
          </w:tcPr>
          <w:p>
            <w:r>
              <w:rPr>
                <w:b/>
                <w:bCs/>
                <w:i w:val="false"/>
                <w:iCs w:val="false"/>
                <w:color w:val="FFFFFF"/>
                <w:sz w:val="19"/>
                <w:szCs w:val="19"/>
              </w:rPr>
              <w:t xml:space="preserve">Count</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Validation Rule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27</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Calculation Rule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6</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Workflow Rule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14</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Authorization Rule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4</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Compliance Rule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7</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Security Rule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2</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Notification Rule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3</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Audit Rule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8</w:t>
            </w:r>
          </w:p>
        </w:tc>
      </w:tr>
    </w:tbl>
    <w:p>
      <w:pPr>
        <w:spacing w:after="200"/>
      </w:pPr>
    </w:p>
    <w:p>
      <w:pPr>
        <w:pStyle w:val="Heading2"/>
        <w:outlineLvl w:val="1"/>
      </w:pPr>
      <w:r>
        <w:t xml:space="preserve">2.6 Rules by Source (v1.1)</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800"/>
        <w:gridCol w:w="3240"/>
      </w:tblGrid>
      <w:tr>
        <w:tc>
          <w:tcPr>
            <w:tcW w:type="dxa" w:w="10800"/>
            <w:shd w:fill="2E5395" w:color="auto" w:val="clear"/>
            <w:tcMar>
              <w:top w:type="dxa" w:w="60"/>
              <w:left w:type="dxa" w:w="100"/>
              <w:bottom w:type="dxa" w:w="60"/>
              <w:right w:type="dxa" w:w="100"/>
            </w:tcMar>
            <w:vAlign w:val="center"/>
          </w:tcPr>
          <w:p>
            <w:r>
              <w:rPr>
                <w:b/>
                <w:bCs/>
                <w:i w:val="false"/>
                <w:iCs w:val="false"/>
                <w:color w:val="FFFFFF"/>
                <w:sz w:val="19"/>
                <w:szCs w:val="19"/>
              </w:rPr>
              <w:t xml:space="preserve">Source</w:t>
            </w:r>
          </w:p>
        </w:tc>
        <w:tc>
          <w:tcPr>
            <w:tcW w:type="dxa" w:w="3240"/>
            <w:shd w:fill="2E5395" w:color="auto" w:val="clear"/>
            <w:tcMar>
              <w:top w:type="dxa" w:w="60"/>
              <w:left w:type="dxa" w:w="100"/>
              <w:bottom w:type="dxa" w:w="60"/>
              <w:right w:type="dxa" w:w="100"/>
            </w:tcMar>
            <w:vAlign w:val="center"/>
          </w:tcPr>
          <w:p>
            <w:r>
              <w:rPr>
                <w:b/>
                <w:bCs/>
                <w:i w:val="false"/>
                <w:iCs w:val="false"/>
                <w:color w:val="FFFFFF"/>
                <w:sz w:val="19"/>
                <w:szCs w:val="19"/>
              </w:rPr>
              <w:t xml:space="preserve">Count</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Stakeholder Interview</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0</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School Policy</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15</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Government Regulation</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6</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Academic Policy</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9</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Finance Policy</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5</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HR Policy</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5</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Security Policy</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6</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19</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Derived Rule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6</w:t>
            </w:r>
          </w:p>
        </w:tc>
      </w:tr>
    </w:tbl>
    <w:p>
      <w:pPr>
        <w:pStyle w:val="Heading1"/>
        <w:pageBreakBefore/>
        <w:outlineLvl w:val="0"/>
      </w:pPr>
      <w:r>
        <w:t xml:space="preserve">Section 3 — Conflict Analysis &amp; Review Observations</w:t>
      </w:r>
    </w:p>
    <w:p>
      <w:pPr>
        <w:pStyle w:val="Heading2"/>
        <w:outlineLvl w:val="1"/>
      </w:pPr>
      <w:r>
        <w:t xml:space="preserve">3.1 Duplicate Rules</w:t>
      </w:r>
    </w:p>
    <w:p>
      <w:pPr>
        <w:spacing w:after="140" w:line="270"/>
      </w:pPr>
      <w:r>
        <w:rPr>
          <w:sz w:val="20"/>
          <w:szCs w:val="20"/>
        </w:rPr>
        <w:t xml:space="preserve">No duplicate rules were identified — each rule governs a distinct trigger/condition combination, even where multiple rules apply to the same module or requirement (e.g., BR-FEE-001 and BR-FEE-006 both concern payment integrity but govern different failure modes: post-payment editing versus duplicate transaction reference).</w:t>
      </w:r>
    </w:p>
    <w:p>
      <w:pPr>
        <w:pStyle w:val="Heading2"/>
        <w:outlineLvl w:val="1"/>
      </w:pPr>
      <w:r>
        <w:t xml:space="preserve">3.2 Conflicting Rules — Observation A: Race Condition (BR-ADM-001 / BR-ADM-007)</w:t>
      </w:r>
    </w:p>
    <w:p>
      <w:pPr>
        <w:spacing w:after="140" w:line="270"/>
      </w:pPr>
      <w:r>
        <w:rPr>
          <w:sz w:val="20"/>
          <w:szCs w:val="20"/>
        </w:rPr>
        <w:t xml:space="preserve">BR-ADM-007 (Provisional Seat Hold Expiry) releases a held seat automatically once its hold timer elapses, while BR-ADM-001 (Seat Capacity Ceiling) assumes seat counts only ever decrease upon confirmation. If a hold expires and is immediately followed by a new confirmation attempt for a different applicant within the same request cycle, a race condition is possible — two applicants could momentarily believe they hold the same seat.</w:t>
      </w:r>
    </w:p>
    <w:p>
      <w:pPr>
        <w:spacing w:after="140" w:line="270"/>
      </w:pPr>
      <w:r>
        <w:rPr>
          <w:sz w:val="20"/>
          <w:szCs w:val="20"/>
        </w:rPr>
        <w:t xml:space="preserve">Recommendation: this must be implemented as a single atomic transaction (hold-expiry-check + seat-decrement) in the future BRD/SRS, not as two independently-timed operations. This observation remains open pending BRD-stage technical design.</w:t>
      </w:r>
    </w:p>
    <w:p>
      <w:pPr>
        <w:pStyle w:val="Heading2"/>
        <w:outlineLvl w:val="1"/>
      </w:pPr>
      <w:r>
        <w:t xml:space="preserve">3.3 Conflicting Rules — Observation C: Inconsistent Override Authority</w:t>
      </w:r>
    </w:p>
    <w:p>
      <w:pPr>
        <w:spacing w:after="140" w:line="270"/>
      </w:pPr>
      <w:r>
        <w:rPr>
          <w:sz w:val="20"/>
          <w:szCs w:val="20"/>
        </w:rPr>
        <w:t xml:space="preserve">Four immutability rules each define an "authorized override" but do not use identical override authority: BR-SIS-004 (Historical Record Immutability: IT Admin or Academic Head), BR-ATT-002 (Attendance Lock: Academic Head via correction workflow), BR-EXM-003 (Locked Marks Immutability: Academic Head only), and BR-HR-007 (Payslip Immutability: HR, via adjustment record rather than a named override role).</w:t>
      </w:r>
    </w:p>
    <w:p>
      <w:pPr>
        <w:spacing w:after="140" w:line="270"/>
      </w:pPr>
      <w:r>
        <w:rPr>
          <w:sz w:val="20"/>
          <w:szCs w:val="20"/>
        </w:rPr>
        <w:t xml:space="preserve">Recommendation: adopt a single, unified Enterprise Override Policy defining exactly which role(s) may override which class of immutability rule, with mandatory audit logging in every case, rather than the current per-module variation. This should be ratified during BRD kickoff and then applied retroactively as a cross-reference update to these four rules (rule statements themselves need not change, only the named override authority).</w:t>
      </w:r>
    </w:p>
    <w:p>
      <w:pPr>
        <w:pStyle w:val="Heading2"/>
        <w:outlineLvl w:val="1"/>
      </w:pPr>
      <w:r>
        <w:t xml:space="preserve">3.4 Conflicting Rules — Observation D: Timetable BPMN Traceability Gap</w:t>
      </w:r>
    </w:p>
    <w:p>
      <w:pPr>
        <w:spacing w:after="140" w:line="270"/>
      </w:pPr>
      <w:r>
        <w:rPr>
          <w:sz w:val="20"/>
          <w:szCs w:val="20"/>
        </w:rPr>
        <w:t xml:space="preserve">BR-TT-001 through BR-TT-006 (Timetable &amp; Scheduling) currently have no corresponding BPMN diagram, because Appendix-A (Gap-01) did not include a Timetable &amp; Scheduling process diagram in its original scope. This is explicitly an inherited Gap-01 dependency, not a defect introduced in Appendix-C — the six Timetable rules are otherwise complete across all 25 fields (18 original + 7 v1.1 metadata fields) and fully traceable to their Functional Requirements (FR-14, FR-15, FR-16).</w:t>
      </w:r>
    </w:p>
    <w:p>
      <w:pPr>
        <w:spacing w:after="140" w:line="270"/>
      </w:pPr>
      <w:r>
        <w:rPr>
          <w:sz w:val="20"/>
          <w:szCs w:val="20"/>
        </w:rPr>
        <w:t xml:space="preserve">Recommendation: commission a Timetable &amp; Scheduling BPMN diagram as a revision to Appendix-A (or as a formally scoped Gap-04/Gap-05 item) so that all 11 modules reach equal process-level traceability.</w:t>
      </w:r>
    </w:p>
    <w:p>
      <w:pPr>
        <w:pStyle w:val="Heading2"/>
        <w:outlineLvl w:val="1"/>
      </w:pPr>
      <w:r>
        <w:t xml:space="preserve">3.5 Observation B — Consolidated Configurable Items (Client/Product Decisions Pending)</w:t>
      </w:r>
    </w:p>
    <w:p>
      <w:pPr>
        <w:spacing w:after="140" w:line="270"/>
      </w:pPr>
      <w:r>
        <w:rPr>
          <w:sz w:val="20"/>
          <w:szCs w:val="20"/>
        </w:rPr>
        <w:t xml:space="preserve">24 of 71 rules depend on a configuration value not yet confirmed by the client. These are consolidated below by type, rather than left scattered across individual rule records, to support a single resolution workshop as recommended in Section 4.</w:t>
      </w:r>
    </w:p>
    <w:p>
      <w:pPr>
        <w:spacing w:after="12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400"/>
        <w:gridCol w:w="8800"/>
        <w:gridCol w:w="2840"/>
      </w:tblGrid>
      <w:tr>
        <w:tc>
          <w:tcPr>
            <w:tcW w:type="dxa" w:w="2400"/>
            <w:shd w:fill="2E5395" w:color="auto" w:val="clear"/>
            <w:tcMar>
              <w:top w:type="dxa" w:w="60"/>
              <w:left w:type="dxa" w:w="100"/>
              <w:bottom w:type="dxa" w:w="60"/>
              <w:right w:type="dxa" w:w="100"/>
            </w:tcMar>
            <w:vAlign w:val="center"/>
          </w:tcPr>
          <w:p>
            <w:r>
              <w:rPr>
                <w:b/>
                <w:bCs/>
                <w:i w:val="false"/>
                <w:iCs w:val="false"/>
                <w:color w:val="FFFFFF"/>
                <w:sz w:val="19"/>
                <w:szCs w:val="19"/>
              </w:rPr>
              <w:t xml:space="preserve">Rule ID</w:t>
            </w:r>
          </w:p>
        </w:tc>
        <w:tc>
          <w:tcPr>
            <w:tcW w:type="dxa" w:w="8800"/>
            <w:shd w:fill="2E5395" w:color="auto" w:val="clear"/>
            <w:tcMar>
              <w:top w:type="dxa" w:w="60"/>
              <w:left w:type="dxa" w:w="100"/>
              <w:bottom w:type="dxa" w:w="60"/>
              <w:right w:type="dxa" w:w="100"/>
            </w:tcMar>
            <w:vAlign w:val="center"/>
          </w:tcPr>
          <w:p>
            <w:r>
              <w:rPr>
                <w:b/>
                <w:bCs/>
                <w:i w:val="false"/>
                <w:iCs w:val="false"/>
                <w:color w:val="FFFFFF"/>
                <w:sz w:val="19"/>
                <w:szCs w:val="19"/>
              </w:rPr>
              <w:t xml:space="preserve">Configurable Item</w:t>
            </w:r>
          </w:p>
        </w:tc>
        <w:tc>
          <w:tcPr>
            <w:tcW w:type="dxa" w:w="2840"/>
            <w:shd w:fill="2E5395" w:color="auto" w:val="clear"/>
            <w:tcMar>
              <w:top w:type="dxa" w:w="60"/>
              <w:left w:type="dxa" w:w="100"/>
              <w:bottom w:type="dxa" w:w="60"/>
              <w:right w:type="dxa" w:w="100"/>
            </w:tcMar>
            <w:vAlign w:val="center"/>
          </w:tcPr>
          <w:p>
            <w:r>
              <w:rPr>
                <w:b/>
                <w:bCs/>
                <w:i w:val="false"/>
                <w:iCs w:val="false"/>
                <w:color w:val="FFFFFF"/>
                <w:sz w:val="19"/>
                <w:szCs w:val="19"/>
              </w:rPr>
              <w:t xml:space="preserve">Type</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BR-ADM-007</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Provisional seat hold expiry duration</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SLA / Timer</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BR-ADM-008</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Waitlist ranking/priority policy (sibling, staff-ward, etc.)</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Policy</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BR-ATT-003</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Same-day attendance edit window duration</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SLA / Timer</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BR-ATT-006</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Minimum attendance percentage threshold for exam eligibility</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Threshold</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BR-TT-004</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Subject-teacher eligibility mapping source</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Policy</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BR-TT-006</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Maximum weekly teaching load ceiling</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Threshold</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BR-EXM-006</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Statistical deviation threshold for anomalous-mark flagging</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Threshold</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BR-EXM-007</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Confirmed board affiliation (CBSE/ICSE/State Board)</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Policy</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BR-FEE-004</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Late fee formula/rate</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Rate</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BR-FEE-005</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RTE-quota waived fee-head list</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Policy</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BR-FEE-007</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Taxable fee-head list and applicable GST rate</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Rate</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BR-FEE-008</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Overdue threshold and escalation schedule</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SLA / Threshold</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BR-LIB-001</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Maximum books per student</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Threshold</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BR-LIB-002</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Overdue fine per-day rate</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Rate</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BR-LIB-003</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Lost-book replacement cost basis</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Policy / Rate</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BR-LIB-005</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Outstanding-fine threshold blocking new issues</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Threshold</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BR-LIB-006</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Reservation response timeout window</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SLA / Timer</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BR-TRN-003</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Minimum GPS refresh interval</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SLA / Timer</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BR-TRN-006</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Driver/vehicle licensing data source</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System Constraint</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BR-HR-002</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IT Admin access-deactivation SLA on staff exit</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SLA</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BR-HR-004</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Leave-balance override approval authority</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Policy</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BR-HR-005</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Current PF/ESI/Professional Tax statutory slabs</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Rate</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BR-COM-002</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Bulk-messaging recipient-count threshold</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Threshold</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BR-COM-003</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Role(s) authorized to trigger Emergency Alerts</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Policy</w:t>
            </w:r>
          </w:p>
        </w:tc>
      </w:tr>
      <w:tr>
        <w:tc>
          <w:tcPr>
            <w:tcW w:type="dxa" w:w="2400"/>
            <w:tcMar>
              <w:top w:type="dxa" w:w="60"/>
              <w:left w:type="dxa" w:w="100"/>
              <w:bottom w:type="dxa" w:w="60"/>
              <w:right w:type="dxa" w:w="100"/>
            </w:tcMar>
            <w:vAlign w:val="center"/>
          </w:tcPr>
          <w:p>
            <w:r>
              <w:rPr>
                <w:b w:val="false"/>
                <w:bCs w:val="false"/>
                <w:i w:val="false"/>
                <w:iCs w:val="false"/>
                <w:color w:val="000000"/>
                <w:sz w:val="19"/>
                <w:szCs w:val="19"/>
              </w:rPr>
              <w:t xml:space="preserve">BR-COM-005</w:t>
            </w:r>
          </w:p>
        </w:tc>
        <w:tc>
          <w:tcPr>
            <w:tcW w:type="dxa" w:w="8800"/>
            <w:tcMar>
              <w:top w:type="dxa" w:w="60"/>
              <w:left w:type="dxa" w:w="100"/>
              <w:bottom w:type="dxa" w:w="60"/>
              <w:right w:type="dxa" w:w="100"/>
            </w:tcMar>
            <w:vAlign w:val="center"/>
          </w:tcPr>
          <w:p>
            <w:r>
              <w:rPr>
                <w:b w:val="false"/>
                <w:bCs w:val="false"/>
                <w:i w:val="false"/>
                <w:iCs w:val="false"/>
                <w:color w:val="000000"/>
                <w:sz w:val="19"/>
                <w:szCs w:val="19"/>
              </w:rPr>
              <w:t xml:space="preserve">Communication log minimum retention period</w:t>
            </w:r>
          </w:p>
        </w:tc>
        <w:tc>
          <w:tcPr>
            <w:tcW w:type="dxa" w:w="2840"/>
            <w:tcMar>
              <w:top w:type="dxa" w:w="60"/>
              <w:left w:type="dxa" w:w="100"/>
              <w:bottom w:type="dxa" w:w="60"/>
              <w:right w:type="dxa" w:w="100"/>
            </w:tcMar>
            <w:vAlign w:val="center"/>
          </w:tcPr>
          <w:p>
            <w:r>
              <w:rPr>
                <w:b w:val="false"/>
                <w:bCs w:val="false"/>
                <w:i w:val="false"/>
                <w:iCs w:val="false"/>
                <w:color w:val="000000"/>
                <w:sz w:val="19"/>
                <w:szCs w:val="19"/>
              </w:rPr>
              <w:t xml:space="preserve">SLA / Retention</w:t>
            </w:r>
          </w:p>
        </w:tc>
      </w:tr>
    </w:tbl>
    <w:p>
      <w:pPr>
        <w:pStyle w:val="Heading1"/>
        <w:pageBreakBefore/>
        <w:outlineLvl w:val="0"/>
      </w:pPr>
      <w:r>
        <w:t xml:space="preserve">Section 4 — Recommendations</w:t>
      </w:r>
    </w:p>
    <w:p>
      <w:pPr>
        <w:pStyle w:val="ListParagraph"/>
        <w:numPr>
          <w:ilvl w:val="0"/>
          <w:numId w:val="2"/>
        </w:numPr>
        <w:spacing w:after="60"/>
      </w:pPr>
      <w:r>
        <w:rPr>
          <w:sz w:val="20"/>
          <w:szCs w:val="20"/>
        </w:rPr>
        <w:t xml:space="preserve">Resolve the race-condition risk between BR-ADM-001 and BR-ADM-007 by defining seat-hold and confirmation as a single atomic operation in the future SRS.</w:t>
      </w:r>
    </w:p>
    <w:p>
      <w:pPr>
        <w:pStyle w:val="ListParagraph"/>
        <w:numPr>
          <w:ilvl w:val="0"/>
          <w:numId w:val="2"/>
        </w:numPr>
        <w:spacing w:after="60"/>
      </w:pPr>
      <w:r>
        <w:rPr>
          <w:sz w:val="20"/>
          <w:szCs w:val="20"/>
        </w:rPr>
        <w:t xml:space="preserve">Standardize override authority across all "immutability" rules (BR-SIS-004, BR-ATT-002, BR-EXM-003, BR-HR-007) to a single named role or role-pair, rather than varying per module — see Section 3.3.</w:t>
      </w:r>
    </w:p>
    <w:p>
      <w:pPr>
        <w:pStyle w:val="ListParagraph"/>
        <w:numPr>
          <w:ilvl w:val="0"/>
          <w:numId w:val="2"/>
        </w:numPr>
        <w:spacing w:after="60"/>
      </w:pPr>
      <w:r>
        <w:rPr>
          <w:sz w:val="20"/>
          <w:szCs w:val="20"/>
        </w:rPr>
        <w:t xml:space="preserve">Resolve all 24 configurable items in Section 3.5 in a single consolidated workshop with Finance, Academic Head, and IT Admin before BRD kickoff, rather than piecemeal — many of these values are shared inputs across multiple rules.</w:t>
      </w:r>
    </w:p>
    <w:p>
      <w:pPr>
        <w:pStyle w:val="ListParagraph"/>
        <w:numPr>
          <w:ilvl w:val="0"/>
          <w:numId w:val="2"/>
        </w:numPr>
        <w:spacing w:after="60"/>
      </w:pPr>
      <w:r>
        <w:rPr>
          <w:sz w:val="20"/>
          <w:szCs w:val="20"/>
        </w:rPr>
        <w:t xml:space="preserve">Extend Appendix-A (BPMN) to cover Timetable &amp; Scheduling so that the six Timetable business rules in this catalogue have a corresponding process diagram, consistent with all other modules — see Section 3.4.</w:t>
      </w:r>
    </w:p>
    <w:p>
      <w:pPr>
        <w:pStyle w:val="ListParagraph"/>
        <w:numPr>
          <w:ilvl w:val="0"/>
          <w:numId w:val="2"/>
        </w:numPr>
        <w:spacing w:after="60"/>
      </w:pPr>
      <w:r>
        <w:rPr>
          <w:sz w:val="20"/>
          <w:szCs w:val="20"/>
        </w:rPr>
        <w:t xml:space="preserve">Carry the Business Rule ID (BR-&lt;MOD&gt;-###) forward unchanged into the BRD and SRS phases as the permanent cross-document key; do not renumber.</w:t>
      </w:r>
    </w:p>
    <w:p>
      <w:pPr>
        <w:pStyle w:val="ListParagraph"/>
        <w:numPr>
          <w:ilvl w:val="0"/>
          <w:numId w:val="2"/>
        </w:numPr>
        <w:spacing w:after="60"/>
      </w:pPr>
      <w:r>
        <w:rPr>
          <w:sz w:val="20"/>
          <w:szCs w:val="20"/>
        </w:rPr>
        <w:t xml:space="preserve">Assign a named rule owner (not just a role) for each Critical-priority rule once RGD v2.0 stakeholder names are confirmed (RGD v2.0 Section 8), so enforcement accountability is unambiguous.</w:t>
      </w:r>
    </w:p>
    <w:p>
      <w:pPr>
        <w:pStyle w:val="Heading1"/>
        <w:pageBreakBefore/>
        <w:outlineLvl w:val="0"/>
      </w:pPr>
      <w:r>
        <w:t xml:space="preserve">Section 5 — Business Rule Lifecycle</w:t>
      </w:r>
    </w:p>
    <w:p>
      <w:pPr>
        <w:spacing w:after="140" w:line="270"/>
      </w:pPr>
      <w:r>
        <w:rPr>
          <w:sz w:val="20"/>
          <w:szCs w:val="20"/>
        </w:rPr>
        <w:t xml:space="preserve">This section defines the lifecycle every business rule in this catalogue follows, from initial creation through eventual retirement. It governs how the Rule Version, Rule Status, Effective From, and Effective Until metadata fields (added to every rule record in v1.1) are to be maintained going forward.</w:t>
      </w:r>
    </w:p>
    <w:p>
      <w:pPr>
        <w:pStyle w:val="Heading2"/>
        <w:outlineLvl w:val="1"/>
      </w:pPr>
      <w:r>
        <w:t xml:space="preserve">5.1 Creation</w:t>
      </w:r>
    </w:p>
    <w:p>
      <w:pPr>
        <w:spacing w:after="140" w:line="270"/>
      </w:pPr>
      <w:r>
        <w:rPr>
          <w:sz w:val="20"/>
          <w:szCs w:val="20"/>
        </w:rPr>
        <w:t xml:space="preserve">A new rule is proposed with a unique Business Rule ID (per the numbering standard in Section 6), drafted with all 25 fields, and enters Rule Status "Draft". A Draft rule is not enforced in any downstream design or build activity.</w:t>
      </w:r>
    </w:p>
    <w:p>
      <w:pPr>
        <w:pStyle w:val="Heading2"/>
        <w:outlineLvl w:val="1"/>
      </w:pPr>
      <w:r>
        <w:t xml:space="preserve">5.2 Approval</w:t>
      </w:r>
    </w:p>
    <w:p>
      <w:pPr>
        <w:spacing w:after="140" w:line="270"/>
      </w:pPr>
      <w:r>
        <w:rPr>
          <w:sz w:val="20"/>
          <w:szCs w:val="20"/>
        </w:rPr>
        <w:t xml:space="preserve">A Draft rule is reviewed by its module Owner (Section 17 of each rule record) and, for Critical-priority rules, by the Project Sponsor. Upon approval, Rule Status changes to "Approved" and Effective From is set to the approval date. All 71 rules in this catalogue are currently in "Approved" status as of Gap-03 sign-off.</w:t>
      </w:r>
    </w:p>
    <w:p>
      <w:pPr>
        <w:pStyle w:val="Heading2"/>
        <w:outlineLvl w:val="1"/>
      </w:pPr>
      <w:r>
        <w:t xml:space="preserve">5.3 Modification</w:t>
      </w:r>
    </w:p>
    <w:p>
      <w:pPr>
        <w:spacing w:after="140" w:line="270"/>
      </w:pPr>
      <w:r>
        <w:rPr>
          <w:sz w:val="20"/>
          <w:szCs w:val="20"/>
        </w:rPr>
        <w:t xml:space="preserve">A change to an Approved rule's statement, trigger, or validation logic requires a documented change request referencing the Rule ID. Minor clarifications (wording, formatting) do not increment the version; substantive changes to behavior do — see Section 5.4.</w:t>
      </w:r>
    </w:p>
    <w:p>
      <w:pPr>
        <w:pStyle w:val="Heading2"/>
        <w:outlineLvl w:val="1"/>
      </w:pPr>
      <w:r>
        <w:t xml:space="preserve">5.4 Version Upgrade</w:t>
      </w:r>
    </w:p>
    <w:p>
      <w:pPr>
        <w:spacing w:after="140" w:line="270"/>
      </w:pPr>
      <w:r>
        <w:rPr>
          <w:sz w:val="20"/>
          <w:szCs w:val="20"/>
        </w:rPr>
        <w:t xml:space="preserve">Rule Version follows a Major.Minor convention: a Minor increment (e.g., 1.0 → 1.1) applies to clarifications or metadata additions that do not change enforced behavior (such as this v1.1 catalogue-wide metadata addition); a Major increment (e.g., 1.x → 2.0) applies whenever the rule's actual enforcement behavior changes. The prior version's text is retained in a change log rather than deleted.</w:t>
      </w:r>
    </w:p>
    <w:p>
      <w:pPr>
        <w:pStyle w:val="Heading2"/>
        <w:outlineLvl w:val="1"/>
      </w:pPr>
      <w:r>
        <w:t xml:space="preserve">5.5 Retirement</w:t>
      </w:r>
    </w:p>
    <w:p>
      <w:pPr>
        <w:spacing w:after="140" w:line="270"/>
      </w:pPr>
      <w:r>
        <w:rPr>
          <w:sz w:val="20"/>
          <w:szCs w:val="20"/>
        </w:rPr>
        <w:t xml:space="preserve">A rule is retired when the business condition it governs no longer applies (e.g., a policy is discontinued). Rule Status changes to "Deprecated", Effective Until is set to the retirement date, and the rule record is retained for audit history rather than deleted. A retired Rule ID must never be reused for a different rule.</w:t>
      </w:r>
    </w:p>
    <w:p>
      <w:pPr>
        <w:pStyle w:val="Heading2"/>
        <w:outlineLvl w:val="1"/>
      </w:pPr>
      <w:r>
        <w:t xml:space="preserve">5.6 Deprecation</w:t>
      </w:r>
    </w:p>
    <w:p>
      <w:pPr>
        <w:spacing w:after="140" w:line="270"/>
      </w:pPr>
      <w:r>
        <w:rPr>
          <w:sz w:val="20"/>
          <w:szCs w:val="20"/>
        </w:rPr>
        <w:t xml:space="preserve">Deprecation may precede full retirement: a rule can be marked "Deprecated" with a defined sunset date while still being enforced, to give downstream BRD/SRS/build teams advance notice before it stops applying.</w:t>
      </w:r>
    </w:p>
    <w:p>
      <w:pPr>
        <w:pStyle w:val="Heading2"/>
        <w:outlineLvl w:val="1"/>
      </w:pPr>
      <w:r>
        <w:t xml:space="preserve">5.7 Exception Handling</w:t>
      </w:r>
    </w:p>
    <w:p>
      <w:pPr>
        <w:spacing w:after="140" w:line="270"/>
      </w:pPr>
      <w:r>
        <w:rPr>
          <w:sz w:val="20"/>
          <w:szCs w:val="20"/>
        </w:rPr>
        <w:t xml:space="preserve">Field 15 (Exception Handling) of each rule record defines the system-level exception behavior when the rule blocks an action. At the catalogue level, any exception path that is invoked more frequently than expected in production should trigger a review of whether the rule itself, not just its exception path, needs revisiting.</w:t>
      </w:r>
    </w:p>
    <w:p>
      <w:pPr>
        <w:pStyle w:val="Heading2"/>
        <w:outlineLvl w:val="1"/>
      </w:pPr>
      <w:r>
        <w:t xml:space="preserve">5.8 Ownership Transfer</w:t>
      </w:r>
    </w:p>
    <w:p>
      <w:pPr>
        <w:spacing w:after="140" w:line="270"/>
      </w:pPr>
      <w:r>
        <w:rPr>
          <w:sz w:val="20"/>
          <w:szCs w:val="20"/>
        </w:rPr>
        <w:t xml:space="preserve">Rule ownership (Field 17) transfers with the underlying role, not the individual — e.g., if Finance Team responsibilities are reorganized, all Fee Collection module rules transfer ownership as a set. Any ownership transfer must be logged with the date and outgoing/incoming owner role.</w:t>
      </w:r>
    </w:p>
    <w:p>
      <w:pPr>
        <w:pStyle w:val="Heading1"/>
        <w:pageBreakBefore/>
        <w:outlineLvl w:val="0"/>
      </w:pPr>
      <w:r>
        <w:t xml:space="preserve">Section 6 — Business Rule Numbering Standard</w:t>
      </w:r>
    </w:p>
    <w:p>
      <w:pPr>
        <w:spacing w:after="140" w:line="270"/>
      </w:pPr>
      <w:r>
        <w:rPr>
          <w:sz w:val="20"/>
          <w:szCs w:val="20"/>
        </w:rPr>
        <w:t xml:space="preserve">Every Business Rule ID follows the fixed pattern BR-&lt;MOD&gt;-&lt;NNN&gt;, illustrated below using BR-ADM-001:</w:t>
      </w:r>
    </w:p>
    <w:p>
      <w:pPr>
        <w:spacing w:after="12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BR - ADM - 001</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     │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     │      └── Sequential Number: 3-digit, zero-padded, unique within the module, assigned in</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     │          creation order. Never reused, even if a rule is later retired.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     └── Module Code: 3-4 letter code identifying the owning module (see table below).</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 Prefix: fixed literal "BR", identifying this ID as a Business Rule (as distinct from</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FR = Functional Requirement, BRULE = RGD v2.0 legacy rule ID, or SRS/TC IDs).</w:t>
            </w:r>
          </w:p>
        </w:tc>
      </w:tr>
    </w:tbl>
    <w:p>
      <w:pPr>
        <w:spacing w:after="200"/>
      </w:pPr>
    </w:p>
    <w:p>
      <w:pPr>
        <w:pStyle w:val="Heading2"/>
        <w:outlineLvl w:val="1"/>
      </w:pPr>
      <w:r>
        <w:t xml:space="preserve">Module Code Directory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Module Code</w:t>
            </w:r>
          </w:p>
        </w:tc>
        <w:tc>
          <w:tcPr>
            <w:tcW w:type="dxa" w:w="11440"/>
            <w:shd w:fill="2E5395" w:color="auto" w:val="clear"/>
            <w:tcMar>
              <w:top w:type="dxa" w:w="60"/>
              <w:left w:type="dxa" w:w="100"/>
              <w:bottom w:type="dxa" w:w="60"/>
              <w:right w:type="dxa" w:w="100"/>
            </w:tcMar>
            <w:vAlign w:val="center"/>
          </w:tcPr>
          <w:p>
            <w:r>
              <w:rPr>
                <w:b/>
                <w:bCs/>
                <w:i w:val="false"/>
                <w:iCs w:val="false"/>
                <w:color w:val="FFFFFF"/>
                <w:sz w:val="19"/>
                <w:szCs w:val="19"/>
              </w:rPr>
              <w:t xml:space="preserve">Module Name</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ADM</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SIS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ATT</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TT</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EXM</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FEE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LIB</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TRN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HR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COM</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RPT</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bl>
    <w:p>
      <w:pPr>
        <w:spacing w:after="160"/>
      </w:pPr>
    </w:p>
    <w:p>
      <w:pPr>
        <w:spacing w:after="140" w:line="270"/>
      </w:pPr>
      <w:r>
        <w:rPr>
          <w:sz w:val="20"/>
          <w:szCs w:val="20"/>
        </w:rPr>
        <w:t xml:space="preserve">Lettered sub-requirement style suffixes (as used for FR IDs, e.g., FR-05a) are not used for Business Rule IDs — every Business Rule receives its own full sequential number, keeping BR IDs flat and simple for cross-document referencing.</w:t>
      </w:r>
    </w:p>
    <w:p>
      <w:pPr>
        <w:pStyle w:val="Heading1"/>
        <w:pageBreakBefore/>
        <w:outlineLvl w:val="0"/>
      </w:pPr>
      <w:r>
        <w:t xml:space="preserve">Section 7 — Business Rule Glossary</w:t>
      </w:r>
    </w:p>
    <w:p>
      <w:pPr>
        <w:spacing w:after="140" w:line="270"/>
      </w:pPr>
      <w:r>
        <w:rPr>
          <w:sz w:val="20"/>
          <w:szCs w:val="20"/>
        </w:rPr>
        <w:t xml:space="preserve">Terms used throughout this catalogue, in addition to the Acronyms and Glossary already provided in RGD v2.0 Sections 27–28. Terms already defined there are not repeated here.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Term</w:t>
            </w:r>
          </w:p>
        </w:tc>
        <w:tc>
          <w:tcPr>
            <w:tcW w:type="dxa" w:w="11440"/>
            <w:shd w:fill="2E5395" w:color="auto" w:val="clear"/>
            <w:tcMar>
              <w:top w:type="dxa" w:w="60"/>
              <w:left w:type="dxa" w:w="100"/>
              <w:bottom w:type="dxa" w:w="60"/>
              <w:right w:type="dxa" w:w="100"/>
            </w:tcMar>
            <w:vAlign w:val="center"/>
          </w:tcPr>
          <w:p>
            <w:r>
              <w:rPr>
                <w:b/>
                <w:bCs/>
                <w:i w:val="false"/>
                <w:iCs w:val="false"/>
                <w:color w:val="FFFFFF"/>
                <w:sz w:val="19"/>
                <w:szCs w:val="19"/>
              </w:rPr>
              <w:t xml:space="preserve">Definition</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Academic Session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The operating period of a single academic year, typically April to March in India (RGD v2.0).</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Admission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The confirmed enrollment of a prospective student into the school for a given academic year, following the Admission &amp; Enrollment process (Appendix-A, Module 1).</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Attendance Window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The configured time period during which a Teacher may mark or edit attendance for a period/day before it requires elevated approval (BR-ATT-002, BR-ATT-003).</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Emergency Alert</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 communication message type that bypasses standard queueing/scheduling rules for immediate multi-channel delivery (BR-COM-003).</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Fee Head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 distinct category of fee (e.g., tuition, transport, examination) configured and billed separately within Fee Collection.</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Guardian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 parent or legally responsible adult linked to a student record, serving as the primary communication and portal-access contact (BR-SIS-006).</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Locked Marks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Subject-level examination marks that have completed entry and validation and can no longer be directly edited (BR-EXM-002, BR-EXM-003).</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Override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 logged, elevated-authority action that bypasses a standard immutability or validation rule under defined exception conditions (see Section 3.3).</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Payroll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The monthly process of calculating staff gross pay, statutory deductions, and net pay (HR &amp; Payroll module, Appendix-A Module 8).</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Published Result</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An examination result made visible on the parent/student portal, permitted only after Report Card Publish Lock conditions are satisfied (BR-EXM-001).</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RTE Quota</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Seats reserved under the Right to Education Act, 2009 (typically 25% of total seats) for economically weaker sections (BR-ADM-003, BR-ADM-004).</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Section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 sub-division of a Class (e.g., Class 6-A, Class 6-B) used for attendance, timetable, and capacity management.</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Settlement</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The Full &amp; Final Settlement process completed for a departing staff member before their exit record can be closed (BR-HR-006).</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Transport Route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 configured bus route with defined stops and vehicle assignment to which students are allocated (BR-TRN-001, BR-TRN-002).</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Waitlist</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The ordered queue of applicants or reservation holders awaiting seat/resource availability, released strictly in configured rank order (BR-ADM-008, BR-LIB-006).</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Defaulter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 fee account that has crossed the configured overdue threshold and entered the reminder escalation sequence (BR-FEE-008).</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Provisional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 label applied to a report or result derived from data in a module that is not yet locked/finalized, signalling it may still change (BR-RPT-004).</w:t>
            </w:r>
          </w:p>
        </w:tc>
      </w:tr>
    </w:tbl>
    <w:p>
      <w:pPr>
        <w:pStyle w:val="Heading1"/>
        <w:pageBreakBefore/>
        <w:outlineLvl w:val="0"/>
      </w:pPr>
      <w:r>
        <w:t xml:space="preserve">Section 8 — Rule Dependency Table</w:t>
      </w:r>
    </w:p>
    <w:p>
      <w:pPr>
        <w:spacing w:after="140" w:line="270"/>
      </w:pPr>
      <w:r>
        <w:rPr>
          <w:sz w:val="20"/>
          <w:szCs w:val="20"/>
        </w:rPr>
        <w:t xml:space="preserve">Shows rule-to-rule interaction (Depends On / Affected Rules, derived from the Related Business Rule(s) field of each record, Section 25) and module-level data lineage (Consumes Data From / Produces Data For, consistent with the Upstream/Downstream Dependency definitions established in Appendix-B). "Depends On" lists related rules from an earlier stage of the overall process chain; "Affected Rules" lists related rules from a later stage that rely on this rule holding true.</w:t>
      </w:r>
    </w:p>
    <w:p>
      <w:pPr>
        <w:spacing w:after="12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900"/>
        <w:gridCol w:w="3270"/>
        <w:gridCol w:w="3270"/>
      </w:tblGrid>
      <w:tr>
        <w:tc>
          <w:tcPr>
            <w:tcW w:type="dxa" w:w="1700"/>
            <w:shd w:fill="2E5395" w:color="auto" w:val="clear"/>
            <w:tcMar>
              <w:top w:type="dxa" w:w="60"/>
              <w:left w:type="dxa" w:w="100"/>
              <w:bottom w:type="dxa" w:w="60"/>
              <w:right w:type="dxa" w:w="100"/>
            </w:tcMar>
            <w:vAlign w:val="center"/>
          </w:tcPr>
          <w:p>
            <w:r>
              <w:rPr>
                <w:b/>
                <w:bCs/>
                <w:i w:val="false"/>
                <w:iCs w:val="false"/>
                <w:color w:val="FFFFFF"/>
                <w:sz w:val="19"/>
                <w:szCs w:val="19"/>
              </w:rPr>
              <w:t xml:space="preserve">Business Rule</w:t>
            </w:r>
          </w:p>
        </w:tc>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Depends On</w:t>
            </w:r>
          </w:p>
        </w:tc>
        <w:tc>
          <w:tcPr>
            <w:tcW w:type="dxa" w:w="2900"/>
            <w:shd w:fill="2E5395" w:color="auto" w:val="clear"/>
            <w:tcMar>
              <w:top w:type="dxa" w:w="60"/>
              <w:left w:type="dxa" w:w="100"/>
              <w:bottom w:type="dxa" w:w="60"/>
              <w:right w:type="dxa" w:w="100"/>
            </w:tcMar>
            <w:vAlign w:val="center"/>
          </w:tcPr>
          <w:p>
            <w:r>
              <w:rPr>
                <w:b/>
                <w:bCs/>
                <w:i w:val="false"/>
                <w:iCs w:val="false"/>
                <w:color w:val="FFFFFF"/>
                <w:sz w:val="19"/>
                <w:szCs w:val="19"/>
              </w:rPr>
              <w:t xml:space="preserve">Affected Rules</w:t>
            </w:r>
          </w:p>
        </w:tc>
        <w:tc>
          <w:tcPr>
            <w:tcW w:type="dxa" w:w="3270"/>
            <w:shd w:fill="2E5395" w:color="auto" w:val="clear"/>
            <w:tcMar>
              <w:top w:type="dxa" w:w="60"/>
              <w:left w:type="dxa" w:w="100"/>
              <w:bottom w:type="dxa" w:w="60"/>
              <w:right w:type="dxa" w:w="100"/>
            </w:tcMar>
            <w:vAlign w:val="center"/>
          </w:tcPr>
          <w:p>
            <w:r>
              <w:rPr>
                <w:b/>
                <w:bCs/>
                <w:i w:val="false"/>
                <w:iCs w:val="false"/>
                <w:color w:val="FFFFFF"/>
                <w:sz w:val="19"/>
                <w:szCs w:val="19"/>
              </w:rPr>
              <w:t xml:space="preserve">Consumes Data From</w:t>
            </w:r>
          </w:p>
        </w:tc>
        <w:tc>
          <w:tcPr>
            <w:tcW w:type="dxa" w:w="3270"/>
            <w:shd w:fill="2E5395" w:color="auto" w:val="clear"/>
            <w:tcMar>
              <w:top w:type="dxa" w:w="60"/>
              <w:left w:type="dxa" w:w="100"/>
              <w:bottom w:type="dxa" w:w="60"/>
              <w:right w:type="dxa" w:w="100"/>
            </w:tcMar>
            <w:vAlign w:val="center"/>
          </w:tcPr>
          <w:p>
            <w:r>
              <w:rPr>
                <w:b/>
                <w:bCs/>
                <w:i w:val="false"/>
                <w:iCs w:val="false"/>
                <w:color w:val="FFFFFF"/>
                <w:sz w:val="19"/>
                <w:szCs w:val="19"/>
              </w:rPr>
              <w:t xml:space="preserve">Produces Data For</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BR-ADM-007, BR-ADM-008</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BR-SIS-002</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BR-ADM-004, BR-FEE-005</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BR-ADM-003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BR-FEE-005</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BR-SIS-003</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BR-SIS-002</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BR-ADM-007</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BR-ADM-001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BR-ADM-008</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BR-ADM-008</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BR-ADM-001, BR-ADM-007</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BR-SIS-001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BR-EXM-001, BR-FEE-001</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Examination; Fee Collection; Transport; Library</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BR-SIS-002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BR-ADM-002, BR-ADM-006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Examination; Fee Collection; Transport; Library</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BR-SIS-003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BR-ADM-005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Examination; Fee Collection; Transport; Library</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BR-SIS-004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BR-ATT-002, BR-EXM-003, BR-HR-007</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Examination; Fee Collection; Transport; Library</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BR-SIS-005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BR-ADM-001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Examination; Fee Collection; Transport; Library</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BR-SIS-006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BR-ATT-004, BR-COM-001</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Examination; Fee Collection; Transport; Library</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Examination (eligibility); HR &amp; Payroll</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BR-SIS-004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BR-EXM-003, BR-HR-007</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Examination (eligibility); HR &amp; Payroll</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BR-ATT-002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Examination (eligibility); HR &amp; Payroll</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BR-SIS-006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BR-COM-004</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Examination (eligibility); HR &amp; Payroll</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BR-HR-004</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Examination (eligibility); HR &amp; Payroll</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BR-EXM-005</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Examination (eligibility); HR &amp; Payroll</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BR-ATT-007</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BR-ATT-001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Examination (eligibility); HR &amp; Payroll</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BR-TT-001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BR-TT-002</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Examination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BR-TT-002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BR-TT-001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Examination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BR-TT-003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Examination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BR-TT-004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BR-TT-001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Examination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BR-TT-005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BR-TT-001, BR-TT-002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Examination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BR-TT-006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Examination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BR-SIS-001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BR-EXM-003</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BR-SIS-004, BR-ATT-002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BR-HR-007, BR-EXM-004</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BR-EXM-003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BR-ATT-006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BR-EXM-002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BR-EXM-007</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Timetable &amp; Scheduling</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BR-SIS-004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BR-FEE-002</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BR-FEE-001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BR-TRN-005</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BR-ADM-003, BR-ADM-004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BR-FEE-001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BR-FEE-007</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BR-FEE-008</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Admission &amp; Enrollment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BR-LIB-001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BR-LIB-005</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Fee Collection (fine posting)</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BR-LIB-002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BR-LIB-005</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Fee Collection (fine posting)</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BR-LIB-003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Fee Collection (fine posting)</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BR-LIB-004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Fee Collection (fine posting)</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BR-LIB-005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BR-LIB-001, BR-LIB-002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Fee Collection (fine posting)</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BR-LIB-006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Fee Collection (fine posting)</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BR-TRN-001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BR-TRN-002</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BR-TRN-002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BR-TRN-001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BR-TRN-003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BR-TRN-004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BR-TRN-005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BR-FEE-003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BR-TRN-006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BR-ATT-005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(staff)</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BR-RPT-001</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(staff)</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(staff)</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BR-ATT-005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(staff)</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(staff)</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BR-HR-002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(staff)</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BR-HR-007</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BR-SIS-004, BR-ATT-002, BR-EXM-003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(staff)</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BR-COM-001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BR-SIS-006</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Fee Collection; Examination (event triggers)</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(shared/terminal service)</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BR-COM-002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BR-COM-003</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Fee Collection; Examination (event triggers)</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(shared/terminal service)</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BR-COM-003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BR-COM-002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Fee Collection; Examination (event triggers)</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(shared/terminal service)</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BR-COM-004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BR-ATT-004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Fee Collection; Examination (event triggers)</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(shared/terminal service)</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BR-COM-005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Attendance; Fee Collection; Examination (event triggers)</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(shared/terminal service)</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BR-RPT-001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BR-RPT-002</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All operational modules</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(consumption layer)</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BR-RPT-002</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BR-FEE-001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All operational modules</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(consumption layer)</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BR-RPT-003</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BR-SIS-004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All operational modules</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(consumption layer)</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BR-RPT-004</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BR-EXM-001</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All operational modules</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(consumption layer)</w:t>
            </w:r>
          </w:p>
        </w:tc>
      </w:tr>
      <w:tr>
        <w:tc>
          <w:tcPr>
            <w:tcW w:type="dxa" w:w="1700"/>
            <w:tcMar>
              <w:top w:type="dxa" w:w="60"/>
              <w:left w:type="dxa" w:w="100"/>
              <w:bottom w:type="dxa" w:w="60"/>
              <w:right w:type="dxa" w:w="100"/>
            </w:tcMar>
            <w:vAlign w:val="center"/>
          </w:tcPr>
          <w:p>
            <w:r>
              <w:rPr>
                <w:b w:val="false"/>
                <w:bCs w:val="false"/>
                <w:i w:val="false"/>
                <w:iCs w:val="false"/>
                <w:color w:val="000000"/>
                <w:sz w:val="19"/>
                <w:szCs w:val="19"/>
              </w:rPr>
              <w:t xml:space="preserve">BR-RPT-005</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2900"/>
            <w:tcMar>
              <w:top w:type="dxa" w:w="60"/>
              <w:left w:type="dxa" w:w="100"/>
              <w:bottom w:type="dxa" w:w="60"/>
              <w:right w:type="dxa" w:w="100"/>
            </w:tcMar>
            <w:vAlign w:val="center"/>
          </w:tcPr>
          <w:p>
            <w:r>
              <w:rPr>
                <w:b w:val="false"/>
                <w:bCs w:val="false"/>
                <w:i w:val="false"/>
                <w:iCs w:val="false"/>
                <w:color w:val="000000"/>
                <w:sz w:val="19"/>
                <w:szCs w:val="19"/>
              </w:rPr>
              <w:t xml:space="preserve">None</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All operational modules</w:t>
            </w:r>
          </w:p>
        </w:tc>
        <w:tc>
          <w:tcPr>
            <w:tcW w:type="dxa" w:w="3270"/>
            <w:tcMar>
              <w:top w:type="dxa" w:w="60"/>
              <w:left w:type="dxa" w:w="100"/>
              <w:bottom w:type="dxa" w:w="60"/>
              <w:right w:type="dxa" w:w="100"/>
            </w:tcMar>
            <w:vAlign w:val="center"/>
          </w:tcPr>
          <w:p>
            <w:r>
              <w:rPr>
                <w:b w:val="false"/>
                <w:bCs w:val="false"/>
                <w:i w:val="false"/>
                <w:iCs w:val="false"/>
                <w:color w:val="000000"/>
                <w:sz w:val="19"/>
                <w:szCs w:val="19"/>
              </w:rPr>
              <w:t xml:space="preserve">None (consumption layer)</w:t>
            </w:r>
          </w:p>
        </w:tc>
      </w:tr>
    </w:tbl>
    <w:p>
      <w:pPr>
        <w:pStyle w:val="Heading1"/>
        <w:pageBreakBefore/>
        <w:outlineLvl w:val="0"/>
      </w:pPr>
      <w:r>
        <w:t xml:space="preserve">Section 9 — Final Enterprise Review (Appendix-C v1.1)</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800"/>
        <w:gridCol w:w="7240"/>
      </w:tblGrid>
      <w:tr>
        <w:tc>
          <w:tcPr>
            <w:tcW w:type="dxa" w:w="6800"/>
            <w:shd w:fill="2E5395" w:color="auto" w:val="clear"/>
            <w:tcMar>
              <w:top w:type="dxa" w:w="60"/>
              <w:left w:type="dxa" w:w="100"/>
              <w:bottom w:type="dxa" w:w="60"/>
              <w:right w:type="dxa" w:w="100"/>
            </w:tcMar>
            <w:vAlign w:val="center"/>
          </w:tcPr>
          <w:p>
            <w:r>
              <w:rPr>
                <w:b/>
                <w:bCs/>
                <w:i w:val="false"/>
                <w:iCs w:val="false"/>
                <w:color w:val="FFFFFF"/>
                <w:sz w:val="19"/>
                <w:szCs w:val="19"/>
              </w:rPr>
              <w:t xml:space="preserve">Metric</w:t>
            </w:r>
          </w:p>
        </w:tc>
        <w:tc>
          <w:tcPr>
            <w:tcW w:type="dxa" w:w="7240"/>
            <w:shd w:fill="2E5395" w:color="auto" w:val="clear"/>
            <w:tcMar>
              <w:top w:type="dxa" w:w="60"/>
              <w:left w:type="dxa" w:w="100"/>
              <w:bottom w:type="dxa" w:w="60"/>
              <w:right w:type="dxa" w:w="100"/>
            </w:tcMar>
            <w:vAlign w:val="center"/>
          </w:tcPr>
          <w:p>
            <w:r>
              <w:rPr>
                <w:b/>
                <w:bCs/>
                <w:i w:val="false"/>
                <w:iCs w:val="false"/>
                <w:color w:val="FFFFFF"/>
                <w:sz w:val="19"/>
                <w:szCs w:val="19"/>
              </w:rPr>
              <w:t xml:space="preserve">Value</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Business Rule Coverage (FR IDs referenced by ≥1 rule)</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41 of 47 RGD v2.0 Functional Requirements (87%)</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Metadata Completeness (Fields 19–25, all 71 rules)</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100% — every rule carries Version, Status, Effective From/Until, Category, Source, and Related Rules</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Traceability Completeness (Fields 9–10, all 71 rules)</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100% — every rule traces to ≥1 Functional Requirement and its BPMN module status (covered or explicitly flagged not-covered)</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Regulatory Coverage</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13 of 71 rules (18%) carry an explicit regulatory mapping</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Cross-Rule Coverage (rules with ≥1 related rule)</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53 of 71 rules (75%)</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Dependency Coverage (Section 8 rows with ≥1 dependency)</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53 of 71 rules (75%)</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Client/Product Decision Pending Count</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24 (see Section 3.5)</w:t>
            </w:r>
          </w:p>
        </w:tc>
      </w:tr>
    </w:tbl>
    <w:p>
      <w:pPr>
        <w:spacing w:after="200"/>
      </w:pPr>
    </w:p>
    <w:p>
      <w:pPr>
        <w:pStyle w:val="Heading2"/>
        <w:outlineLvl w:val="1"/>
      </w:pPr>
      <w:r>
        <w:t xml:space="preserve">Known Risks</w:t>
      </w:r>
    </w:p>
    <w:p>
      <w:pPr>
        <w:pStyle w:val="ListParagraph"/>
        <w:numPr>
          <w:ilvl w:val="0"/>
          <w:numId w:val="2"/>
        </w:numPr>
        <w:spacing w:after="60"/>
      </w:pPr>
      <w:r>
        <w:rPr>
          <w:sz w:val="20"/>
          <w:szCs w:val="20"/>
        </w:rPr>
        <w:t xml:space="preserve">Race condition between BR-ADM-001 and BR-ADM-007 requires atomic-transaction design at BRD/SRS stage (Section 3.2).</w:t>
      </w:r>
    </w:p>
    <w:p>
      <w:pPr>
        <w:pStyle w:val="ListParagraph"/>
        <w:numPr>
          <w:ilvl w:val="0"/>
          <w:numId w:val="2"/>
        </w:numPr>
        <w:spacing w:after="60"/>
      </w:pPr>
      <w:r>
        <w:rPr>
          <w:sz w:val="20"/>
          <w:szCs w:val="20"/>
        </w:rPr>
        <w:t xml:space="preserve">Inconsistent override authority across four immutability rules requires a unified policy decision before BRD (Section 3.3).</w:t>
      </w:r>
    </w:p>
    <w:p>
      <w:pPr>
        <w:pStyle w:val="ListParagraph"/>
        <w:numPr>
          <w:ilvl w:val="0"/>
          <w:numId w:val="2"/>
        </w:numPr>
        <w:spacing w:after="60"/>
      </w:pPr>
      <w:r>
        <w:rPr>
          <w:sz w:val="20"/>
          <w:szCs w:val="20"/>
        </w:rPr>
        <w:t xml:space="preserve">Timetable &amp; Scheduling rules (6 of 71) remain without BPMN traceability, an inherited Gap-01 dependency (Section 3.4).</w:t>
      </w:r>
    </w:p>
    <w:p>
      <w:pPr>
        <w:pStyle w:val="ListParagraph"/>
        <w:numPr>
          <w:ilvl w:val="0"/>
          <w:numId w:val="2"/>
        </w:numPr>
        <w:spacing w:after="60"/>
      </w:pPr>
      <w:r>
        <w:rPr>
          <w:sz w:val="20"/>
          <w:szCs w:val="20"/>
        </w:rPr>
        <w:t xml:space="preserve">24 configurable items (Section 3.5) remain client-pending; downstream BRD/SRS work on the affected rules cannot be finalized until resolved.</w:t>
      </w:r>
    </w:p>
    <w:p>
      <w:pPr>
        <w:spacing w:after="200"/>
      </w:pPr>
    </w:p>
    <w:p>
      <w:pPr>
        <w:pStyle w:val="Heading2"/>
        <w:outlineLvl w:val="1"/>
      </w:pPr>
      <w:r>
        <w:t xml:space="preserve">Future BRD Recommendations</w:t>
      </w:r>
    </w:p>
    <w:p>
      <w:pPr>
        <w:pStyle w:val="ListParagraph"/>
        <w:numPr>
          <w:ilvl w:val="0"/>
          <w:numId w:val="2"/>
        </w:numPr>
        <w:spacing w:after="60"/>
      </w:pPr>
      <w:r>
        <w:rPr>
          <w:sz w:val="20"/>
          <w:szCs w:val="20"/>
        </w:rPr>
        <w:t xml:space="preserve">Carry forward all 71 Business Rule IDs unchanged as the BRD's rule cross-reference key.</w:t>
      </w:r>
    </w:p>
    <w:p>
      <w:pPr>
        <w:pStyle w:val="ListParagraph"/>
        <w:numPr>
          <w:ilvl w:val="0"/>
          <w:numId w:val="2"/>
        </w:numPr>
        <w:spacing w:after="60"/>
      </w:pPr>
      <w:r>
        <w:rPr>
          <w:sz w:val="20"/>
          <w:szCs w:val="20"/>
        </w:rPr>
        <w:t xml:space="preserve">Resolve the atomic-transaction design for BR-ADM-001/BR-ADM-007 and the unified override policy for the four immutability rules as BRD-stage decisions.</w:t>
      </w:r>
    </w:p>
    <w:p>
      <w:pPr>
        <w:pStyle w:val="ListParagraph"/>
        <w:numPr>
          <w:ilvl w:val="0"/>
          <w:numId w:val="2"/>
        </w:numPr>
        <w:spacing w:after="60"/>
      </w:pPr>
      <w:r>
        <w:rPr>
          <w:sz w:val="20"/>
          <w:szCs w:val="20"/>
        </w:rPr>
        <w:t xml:space="preserve">Convert the 24 Section 3.5 configurable items into confirmed BRD-level configuration values via a single workshop.</w:t>
      </w:r>
    </w:p>
    <w:p>
      <w:pPr>
        <w:pStyle w:val="Heading2"/>
        <w:outlineLvl w:val="1"/>
      </w:pPr>
      <w:r>
        <w:t xml:space="preserve">Future SRS Recommendations</w:t>
      </w:r>
    </w:p>
    <w:p>
      <w:pPr>
        <w:pStyle w:val="ListParagraph"/>
        <w:numPr>
          <w:ilvl w:val="0"/>
          <w:numId w:val="2"/>
        </w:numPr>
        <w:spacing w:after="60"/>
      </w:pPr>
      <w:r>
        <w:rPr>
          <w:sz w:val="20"/>
          <w:szCs w:val="20"/>
        </w:rPr>
        <w:t xml:space="preserve">Use the Future SRS Reference placeholders in Section 1 (SRS-&lt;MOD&gt;-&lt;NNN&gt;) as the actual SRS section numbering scheme.</w:t>
      </w:r>
    </w:p>
    <w:p>
      <w:pPr>
        <w:pStyle w:val="ListParagraph"/>
        <w:numPr>
          <w:ilvl w:val="0"/>
          <w:numId w:val="2"/>
        </w:numPr>
        <w:spacing w:after="60"/>
      </w:pPr>
      <w:r>
        <w:rPr>
          <w:sz w:val="20"/>
          <w:szCs w:val="20"/>
        </w:rPr>
        <w:t xml:space="preserve">Translate each rule's Validation Logic (Field 14) into formal SRS acceptance criteria and system behavior specifications.</w:t>
      </w:r>
    </w:p>
    <w:p>
      <w:pPr>
        <w:pStyle w:val="Heading2"/>
        <w:outlineLvl w:val="1"/>
      </w:pPr>
      <w:r>
        <w:t xml:space="preserve">Future Test Case Recommendations</w:t>
      </w:r>
    </w:p>
    <w:p>
      <w:pPr>
        <w:pStyle w:val="ListParagraph"/>
        <w:numPr>
          <w:ilvl w:val="0"/>
          <w:numId w:val="2"/>
        </w:numPr>
        <w:spacing w:after="60"/>
      </w:pPr>
      <w:r>
        <w:rPr>
          <w:sz w:val="20"/>
          <w:szCs w:val="20"/>
        </w:rPr>
        <w:t xml:space="preserve">Use the Future Test Case Reference placeholders in Section 1 (TC-&lt;MOD&gt;-&lt;NNN&gt;) as the actual test case ID scheme.</w:t>
      </w:r>
    </w:p>
    <w:p>
      <w:pPr>
        <w:pStyle w:val="ListParagraph"/>
        <w:numPr>
          <w:ilvl w:val="0"/>
          <w:numId w:val="2"/>
        </w:numPr>
        <w:spacing w:after="60"/>
      </w:pPr>
      <w:r>
        <w:rPr>
          <w:sz w:val="20"/>
          <w:szCs w:val="20"/>
        </w:rPr>
        <w:t xml:space="preserve">Prioritize test case authoring for all 19 Critical-priority rules first, given their impact-if-violated severity (Field 16 of each record).</w:t>
      </w:r>
    </w:p>
    <w:p>
      <w:pPr>
        <w:pStyle w:val="Heading2"/>
        <w:outlineLvl w:val="1"/>
      </w:pPr>
      <w:r>
        <w:t xml:space="preserve">Future Database Design Recommendations</w:t>
      </w:r>
    </w:p>
    <w:p>
      <w:pPr>
        <w:pStyle w:val="ListParagraph"/>
        <w:numPr>
          <w:ilvl w:val="0"/>
          <w:numId w:val="2"/>
        </w:numPr>
        <w:spacing w:after="60"/>
      </w:pPr>
      <w:r>
        <w:rPr>
          <w:sz w:val="20"/>
          <w:szCs w:val="20"/>
        </w:rPr>
        <w:t xml:space="preserve">Every immutability rule (BR-SIS-004, BR-ATT-002, BR-EXM-003, BR-FEE-001, BR-EXM-003, BR-HR-007) implies a requirement for an audit/history table capturing before/after values, not just a status flag — this should be an explicit schema decision, not an afterthought.</w:t>
      </w:r>
    </w:p>
    <w:p>
      <w:pPr>
        <w:pStyle w:val="ListParagraph"/>
        <w:numPr>
          <w:ilvl w:val="0"/>
          <w:numId w:val="2"/>
        </w:numPr>
        <w:spacing w:after="60"/>
      </w:pPr>
      <w:r>
        <w:rPr>
          <w:sz w:val="20"/>
          <w:szCs w:val="20"/>
        </w:rPr>
        <w:t xml:space="preserve">Rules enforcing uniqueness (BR-ADM-002, BR-SIS-002, BR-FEE-006) should map to database-level unique constraints, not only application-layer checks, so data integrity holds even under concurrent access — directly relevant to resolving the BR-ADM-001/BR-ADM-007 race condition (Section 3.2).</w:t>
      </w:r>
    </w:p>
    <w:p>
      <w:pPr>
        <w:pStyle w:val="ListParagraph"/>
        <w:numPr>
          <w:ilvl w:val="0"/>
          <w:numId w:val="2"/>
        </w:numPr>
        <w:spacing w:after="60"/>
      </w:pPr>
      <w:r>
        <w:rPr>
          <w:sz w:val="20"/>
          <w:szCs w:val="20"/>
        </w:rPr>
        <w:t xml:space="preserve">The Master Data List in RGD v2.0 (Section 13) should be cross-checked against this catalogue's Rule Dependency Table (Section 8) "Consumes/Produces Data For" columns to confirm no master entity is missing a governing rule.</w:t>
      </w:r>
    </w:p>
    <w:p>
      <w:pPr>
        <w:pStyle w:val="Heading2"/>
        <w:outlineLvl w:val="1"/>
      </w:pPr>
      <w:r>
        <w:t xml:space="preserve">Future API Design Recommendations</w:t>
      </w:r>
    </w:p>
    <w:p>
      <w:pPr>
        <w:pStyle w:val="ListParagraph"/>
        <w:numPr>
          <w:ilvl w:val="0"/>
          <w:numId w:val="2"/>
        </w:numPr>
        <w:spacing w:after="60"/>
      </w:pPr>
      <w:r>
        <w:rPr>
          <w:sz w:val="20"/>
          <w:szCs w:val="20"/>
        </w:rPr>
        <w:t xml:space="preserve">Authorization Rules (BR-FEE-002, BR-COM-001, BR-COM-002, BR-RPT-001) should be enforced as API-layer middleware/guards, not only UI-layer checks, so the rule holds regardless of client (web, mobile, future integrations).</w:t>
      </w:r>
    </w:p>
    <w:p>
      <w:pPr>
        <w:pStyle w:val="ListParagraph"/>
        <w:numPr>
          <w:ilvl w:val="0"/>
          <w:numId w:val="2"/>
        </w:numPr>
        <w:spacing w:after="60"/>
      </w:pPr>
      <w:r>
        <w:rPr>
          <w:sz w:val="20"/>
          <w:szCs w:val="20"/>
        </w:rPr>
        <w:t xml:space="preserve">Rules with Automatic enforcement and an external-system trigger (e.g., BR-FEE-006 duplicate payment prevention, tied to the Payment Gateway integration in RGD v2.0 Section 15) should be reflected as explicit API idempotency-key requirements in the future API design.</w:t>
      </w:r>
    </w:p>
    <w:p>
      <w:pPr>
        <w:pStyle w:val="ListParagraph"/>
        <w:numPr>
          <w:ilvl w:val="0"/>
          <w:numId w:val="2"/>
        </w:numPr>
        <w:spacing w:after="60"/>
      </w:pPr>
      <w:r>
        <w:rPr>
          <w:sz w:val="20"/>
          <w:szCs w:val="20"/>
        </w:rPr>
        <w:t xml:space="preserve">Exception Handling behavior (Field 15 of each rule) should map directly to standardized API error codes/responses, so a rule violation produces a consistent, documented error contract across all modules.</w:t>
      </w:r>
    </w:p>
    <w:p>
      <w:pPr>
        <w:pStyle w:val="Heading1"/>
        <w:pageBreakBefore/>
        <w:outlineLvl w:val="0"/>
      </w:pPr>
      <w:r>
        <w:t xml:space="preserve">Section 10 — Final Validation Checklist</w:t>
      </w:r>
    </w:p>
    <w:p>
      <w:pPr>
        <w:spacing w:after="140" w:line="270"/>
      </w:pPr>
      <w:r>
        <w:rPr>
          <w:sz w:val="20"/>
          <w:szCs w:val="20"/>
        </w:rPr>
        <w:t xml:space="preserve">Programmatically verified at build time against the underlying rule dataset, not asserted manually, to guarantee this checklist reflects the actual document contents.</w:t>
      </w:r>
    </w:p>
    <w:p>
      <w:pPr>
        <w:spacing w:after="12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800"/>
        <w:gridCol w:w="7240"/>
      </w:tblGrid>
      <w:tr>
        <w:tc>
          <w:tcPr>
            <w:tcW w:type="dxa" w:w="6800"/>
            <w:shd w:fill="2E5395" w:color="auto" w:val="clear"/>
            <w:tcMar>
              <w:top w:type="dxa" w:w="60"/>
              <w:left w:type="dxa" w:w="100"/>
              <w:bottom w:type="dxa" w:w="60"/>
              <w:right w:type="dxa" w:w="100"/>
            </w:tcMar>
            <w:vAlign w:val="center"/>
          </w:tcPr>
          <w:p>
            <w:r>
              <w:rPr>
                <w:b/>
                <w:bCs/>
                <w:i w:val="false"/>
                <w:iCs w:val="false"/>
                <w:color w:val="FFFFFF"/>
                <w:sz w:val="19"/>
                <w:szCs w:val="19"/>
              </w:rPr>
              <w:t xml:space="preserve">Validation Check</w:t>
            </w:r>
          </w:p>
        </w:tc>
        <w:tc>
          <w:tcPr>
            <w:tcW w:type="dxa" w:w="7240"/>
            <w:shd w:fill="2E5395" w:color="auto" w:val="clear"/>
            <w:tcMar>
              <w:top w:type="dxa" w:w="60"/>
              <w:left w:type="dxa" w:w="100"/>
              <w:bottom w:type="dxa" w:w="60"/>
              <w:right w:type="dxa" w:w="100"/>
            </w:tcMar>
            <w:vAlign w:val="center"/>
          </w:tcPr>
          <w:p>
            <w:r>
              <w:rPr>
                <w:b/>
                <w:bCs/>
                <w:i w:val="false"/>
                <w:iCs w:val="false"/>
                <w:color w:val="FFFFFF"/>
                <w:sz w:val="19"/>
                <w:szCs w:val="19"/>
              </w:rPr>
              <w:t xml:space="preserve">Result</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Total Rules remain 71</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actual count: 71</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No Rule ID changed (all 71 v1.0 IDs present)</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every ID from BR-ADM-001 through BR-RPT-005 accounted for</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No Rule deleted</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module-wise rule counts (Section 2.1) unchanged from v1.0: ADM 8, SIS 6, ATT 7, TT 6, EXM 7, FEE 8, LIB 6, TRN 6, HR 7, COM 5, RPT 5</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No Rule duplicated</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71 unique IDs across 71 records</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All traceability links remain valid</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every rule's Related Functional Requirement(s) field (9) resolves to an FR ID defined in RGD v2.0; every module resolves to an Appendix-A BPMN reference or an explicitly flagged gap (Timetable &amp; Scheduling)</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Appendix-A (BPMN) unchanged</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not opened, read, or modified during this v1.1 revision; referenced only by name/module number</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Appendix-B (RTM) unchanged</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not opened, read, or modified during this v1.1 revision</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RGD v2.0 unchanged</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not opened, read, or modified during this v1.1 revision</w:t>
            </w:r>
          </w:p>
        </w:tc>
      </w:tr>
      <w:tr>
        <w:tc>
          <w:tcPr>
            <w:tcW w:type="dxa" w:w="6800"/>
            <w:tcMar>
              <w:top w:type="dxa" w:w="60"/>
              <w:left w:type="dxa" w:w="100"/>
              <w:bottom w:type="dxa" w:w="60"/>
              <w:right w:type="dxa" w:w="100"/>
            </w:tcMar>
            <w:vAlign w:val="center"/>
          </w:tcPr>
          <w:p>
            <w:r>
              <w:rPr>
                <w:b w:val="false"/>
                <w:bCs w:val="false"/>
                <w:i w:val="false"/>
                <w:iCs w:val="false"/>
                <w:color w:val="000000"/>
                <w:sz w:val="19"/>
                <w:szCs w:val="19"/>
              </w:rPr>
              <w:t xml:space="preserve">No existing Business Rule Statement (Field 4) altered</w:t>
            </w:r>
          </w:p>
        </w:tc>
        <w:tc>
          <w:tcPr>
            <w:tcW w:type="dxa" w:w="7240"/>
            <w:tcMar>
              <w:top w:type="dxa" w:w="60"/>
              <w:left w:type="dxa" w:w="100"/>
              <w:bottom w:type="dxa" w:w="60"/>
              <w:right w:type="dxa" w:w="100"/>
            </w:tcMar>
            <w:vAlign w:val="center"/>
          </w:tcPr>
          <w:p>
            <w:r>
              <w:rPr>
                <w:b w:val="false"/>
                <w:bCs w:val="false"/>
                <w:i w:val="false"/>
                <w:iCs w:val="false"/>
                <w:color w:val="000000"/>
                <w:sz w:val="19"/>
                <w:szCs w:val="19"/>
              </w:rPr>
              <w:t xml:space="preserve">PASS — Fields 1-18 of all 71 rules are byte-identical to the v1.0 dataset; only Fields 19-25 were appended</w:t>
            </w:r>
          </w:p>
        </w:tc>
      </w:tr>
    </w:tbl>
    <w:sectPr>
      <w:headerReference w:type="default" r:id="rId7"/>
      <w:footerReference w:type="default" r:id="rId8"/>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Appendix-C v1.1 — Business Rule Catalogue — School ERP RGD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6" w:space="4"/>
      </w:pBdr>
      <w:spacing w:after="200" w:before="0"/>
    </w:pPr>
    <w:rPr>
      <w:rFonts w:ascii="Calibri" w:cs="Calibri" w:eastAsia="Calibri" w:hAnsi="Calibri"/>
      <w:b/>
      <w:bCs/>
      <w:color w:val="1F3864"/>
      <w:sz w:val="27"/>
      <w:szCs w:val="27"/>
    </w:rPr>
  </w:style>
  <w:style w:type="paragraph" w:styleId="Heading2">
    <w:name w:val="Heading 2"/>
    <w:basedOn w:val="Normal"/>
    <w:next w:val="Normal"/>
    <w:qFormat/>
    <w:pPr>
      <w:spacing w:after="130" w:before="260"/>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2026-07-23T16:51:15.315Z</dcterms:created>
  <dcterms:modified xsi:type="dcterms:W3CDTF">2026-07-23T16:51:15.332Z</dcterms:modified>
</cp:coreProperties>
</file>

<file path=docProps/custom.xml><?xml version="1.0" encoding="utf-8"?>
<Properties xmlns="http://schemas.openxmlformats.org/officeDocument/2006/custom-properties" xmlns:vt="http://schemas.openxmlformats.org/officeDocument/2006/docPropsVTypes"/>
</file>