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7800" w:hRule="atLeast"/>
        </w:trPr>
        <w:tc>
          <w:tcPr>
            <w:tcW w:type="dxa" w:w="15840"/>
            <w:shd w:fill="1F3864" w:color="auto" w:val="clear"/>
            <w:tcMar>
              <w:top w:type="dxa" w:w="2200"/>
              <w:left w:type="dxa" w:w="1440"/>
              <w:bottom w:type="dxa" w:w="2200"/>
              <w:right w:type="dxa" w:w="1440"/>
            </w:tcMar>
            <w:vAlign w:val="center"/>
          </w:tcPr>
          <w:p>
            <w:pPr>
              <w:spacing w:after="240"/>
              <w:jc w:val="center"/>
            </w:pPr>
            <w:r>
              <w:rPr>
                <w:b/>
                <w:bCs/>
                <w:color w:val="9FB8D9"/>
                <w:sz w:val="22"/>
                <w:szCs w:val="22"/>
              </w:rPr>
              <w:t xml:space="preserve">APPENDIX TO THE REQUIREMENT GATHERING DOCUMENT (RGD v2.0)</w:t>
            </w:r>
          </w:p>
          <w:p>
            <w:pPr>
              <w:spacing w:after="500"/>
              <w:jc w:val="center"/>
            </w:pPr>
            <w:r>
              <w:rPr>
                <w:b/>
                <w:bCs/>
                <w:color w:val="F4B183"/>
                <w:sz w:val="20"/>
                <w:szCs w:val="20"/>
              </w:rPr>
              <w:t xml:space="preserve">GAP-04</w:t>
            </w:r>
          </w:p>
          <w:p>
            <w:pPr>
              <w:spacing w:after="100"/>
              <w:jc w:val="center"/>
            </w:pPr>
            <w:r>
              <w:rPr>
                <w:b/>
                <w:bCs/>
                <w:color w:val="DCE6F1"/>
                <w:sz w:val="30"/>
                <w:szCs w:val="30"/>
              </w:rPr>
              <w:t xml:space="preserve">Appendix-D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Requirement Dependency Matrix (RDM)</w:t>
            </w:r>
          </w:p>
          <w:p>
            <w:pPr>
              <w:spacing w:after="600"/>
              <w:jc w:val="center"/>
            </w:pPr>
            <w:r>
              <w:rPr>
                <w:b/>
                <w:bCs/>
                <w:color w:val="DCE6F1"/>
                <w:sz w:val="30"/>
                <w:szCs w:val="30"/>
              </w:rPr>
              <w:t xml:space="preserve">School ERP</w:t>
            </w:r>
          </w:p>
          <w:p>
            <w:pPr>
              <w:spacing w:after="100"/>
              <w:jc w:val="center"/>
            </w:pPr>
            <w:r>
              <w:rPr>
                <w:color w:val="DCE6F1"/>
                <w:sz w:val="20"/>
                <w:szCs w:val="20"/>
              </w:rPr>
              <w:t xml:space="preserve">Prepared by: Business Analyst Team</w:t>
            </w:r>
          </w:p>
          <w:p>
            <w:pPr>
              <w:spacing w:after="100"/>
              <w:jc w:val="center"/>
            </w:pPr>
            <w:r>
              <w:rPr>
                <w:color w:val="DCE6F1"/>
                <w:sz w:val="20"/>
                <w:szCs w:val="20"/>
              </w:rPr>
              <w:t xml:space="preserve">Document Version: 1.0</w:t>
            </w:r>
          </w:p>
          <w:p>
            <w:pPr>
              <w:spacing w:after="100"/>
              <w:jc w:val="center"/>
            </w:pPr>
            <w:r>
              <w:rPr>
                <w:color w:val="DCE6F1"/>
                <w:sz w:val="20"/>
                <w:szCs w:val="20"/>
              </w:rPr>
              <w:t xml:space="preserve">Date: 23 July 2026</w:t>
            </w:r>
          </w:p>
          <w:p>
            <w:pPr>
              <w:jc w:val="center"/>
            </w:pPr>
            <w:r>
              <w:rPr>
                <w:i/>
                <w:iCs/>
                <w:color w:val="B4C6E7"/>
                <w:sz w:val="17"/>
                <w:szCs w:val="17"/>
              </w:rPr>
              <w:t xml:space="preserve">Classification: Confidential — Client &amp; Project Team Only</w:t>
            </w:r>
          </w:p>
        </w:tc>
      </w:tr>
    </w:tbl>
    <w:p>
      <w:pPr>
        <w:sectPr>
          <w:pgSz w:w="15840" w:h="122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outlineLvl w:val="0"/>
      </w:pPr>
      <w:r>
        <w:t xml:space="preserve">About This Appendix</w:t>
      </w:r>
    </w:p>
    <w:p>
      <w:pPr>
        <w:spacing w:after="140" w:line="270"/>
      </w:pPr>
      <w:r>
        <w:rPr>
          <w:sz w:val="20"/>
          <w:szCs w:val="20"/>
        </w:rPr>
        <w:t xml:space="preserve">This document is Appendix-D to the Requirement Gathering Document (RGD v2.0) for the School ERP System, addressing Gap-04: Requirement Dependency Matrix (RDM). It identifies and documents every dependency between the 47 Functional Requirements defined in RGD v2.0, supporting future BRD, SRS, development/sprint planning, integration design, testing, and change-impact analysis.</w:t>
      </w:r>
    </w:p>
    <w:p>
      <w:pPr>
        <w:spacing w:after="140" w:line="270"/>
      </w:pPr>
      <w:r>
        <w:rPr>
          <w:sz w:val="20"/>
          <w:szCs w:val="20"/>
        </w:rPr>
        <w:t xml:space="preserve">This is a new, standalone document. RGD v2.0, Appendix-A (BPMN), Appendix-B (RTM), and Appendix-C v1.1 (Business Rule Catalogue) are not modified, opened for editing, or altered in any way in producing this document — they are referenced by ID only.</w:t>
      </w:r>
    </w:p>
    <w:p>
      <w:pPr>
        <w:spacing w:after="140" w:line="270"/>
      </w:pPr>
      <w:r>
        <w:rPr>
          <w:sz w:val="20"/>
          <w:szCs w:val="20"/>
        </w:rPr>
        <w:t xml:space="preserve">Field 7 (Related Business Rule(s)) and Field 17 (Risk Level) are derived directly from, and kept consistent with, Appendix-C v1.1 and Appendix-B respectively, so that all four documents agree on shared facts rather than maintaining independent, potentially conflicting copies.</w:t>
      </w:r>
    </w:p>
    <w:p>
      <w:pPr>
        <w:pStyle w:val="Heading1"/>
        <w:outlineLvl w:val="0"/>
      </w:pPr>
      <w:r>
        <w:t xml:space="preserve">Module-Wise Dependency Analysis</w:t>
      </w:r>
    </w:p>
    <w:p>
      <w:pPr>
        <w:spacing w:after="140" w:line="270"/>
      </w:pPr>
      <w:r>
        <w:rPr>
          <w:sz w:val="20"/>
          <w:szCs w:val="20"/>
        </w:rPr>
        <w:t xml:space="preserve">The overall system follows a layered dependency chain. Student Information Management (SIS) is the structural center of the system: almost every other module reads the student master record it maintains.</w:t>
      </w:r>
    </w:p>
    <w:p>
      <w:pPr>
        <w:spacing w:after="120"/>
      </w:pP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40"/>
      </w:tblGrid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Admission &amp; Enrollment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      │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      ▼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Student Information Management  (structural center — read by nearly all modules)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      │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      ├──────────────┬──────────────┬──────────────┬──────────────┐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      ▼              ▼              ▼              ▼              ▼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Attendance     Timetable &amp;      Fee Collection   Library      Transport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Management     Scheduling                       Management   Management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      │              │                 ▲              │              │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      ▼              ▼                 └──────────────┴──────────────┘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Examination &amp; Result Processing         (fines &amp; transport fee post into Fee ledger)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      │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      ▼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Reports &amp; Analytics  ◄──────────────────  HR &amp; Payroll  ◄── Attendance (staff)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      ▲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      │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Communication &amp; Notifications  ◄── (event-triggered from Attendance, Fee, Examination)</w:t>
            </w:r>
          </w:p>
        </w:tc>
      </w:tr>
    </w:tbl>
    <w:p>
      <w:pPr>
        <w:spacing w:after="160"/>
      </w:pPr>
    </w:p>
    <w:p>
      <w:pPr>
        <w:spacing w:after="140" w:line="270"/>
      </w:pPr>
      <w:r>
        <w:rPr>
          <w:sz w:val="20"/>
          <w:szCs w:val="20"/>
        </w:rPr>
        <w:t xml:space="preserve">Explanation of each link: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Admission &amp; Enrollment → Student Information Management: an admission must be confirmed before a student master record can exist (FR-02 → FR-06).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Student Information Management → Attendance / Timetable / Fee / Library / Transport: all five modules require an active, valid student record before they can operate on that student.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Timetable &amp; Scheduling → Attendance / Examination: attendance capture and exam scheduling both need a published timetable to know period/subject assignment.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Attendance → Examination: exam eligibility flagging depends on attendance percentage; Attendance → HR &amp; Payroll: staff attendance closure gates payroll.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Library / Transport → Fee Collection: overdue fines and transport charges post into the same fee ledger, creating a converging dependency.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Examination / Fee / HR → Reports &amp; Analytics: all transactional modules feed the reporting layer, which has no downstream dependents of its own (a terminal/consumption layer).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Examination / Fee / Attendance → Communication &amp; Notifications: these modules trigger notifications as a shared service rather than Communication having its own independent data flow.</w:t>
      </w:r>
    </w:p>
    <w:p>
      <w:pPr>
        <w:pStyle w:val="Heading1"/>
        <w:outlineLvl w:val="0"/>
      </w:pPr>
      <w:r>
        <w:t xml:space="preserve">Cross-Module Dependency Matrix</w:t>
      </w:r>
    </w:p>
    <w:p>
      <w:pPr>
        <w:spacing w:after="140" w:line="270"/>
      </w:pPr>
      <w:r>
        <w:rPr>
          <w:sz w:val="20"/>
          <w:szCs w:val="20"/>
        </w:rPr>
        <w:t xml:space="preserve">Rows depend on Columns. "Direct" = an immediate data/trigger relationship exists; "Indirect" = reachable through one or more intermediate modules; "None" = no dependency path exists. Computed by graph traversal over the module adjacency defined above, not asserted manually.</w:t>
      </w:r>
    </w:p>
    <w:p>
      <w:pPr>
        <w:spacing w:after="120"/>
      </w:pP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c>
          <w:tcPr>
            <w:tcW w:type="dxa" w:w="156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Depends ↓ / On →</w:t>
            </w:r>
          </w:p>
        </w:tc>
        <w:tc>
          <w:tcPr>
            <w:tcW w:type="dxa" w:w="113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ADM</w:t>
            </w:r>
          </w:p>
        </w:tc>
        <w:tc>
          <w:tcPr>
            <w:tcW w:type="dxa" w:w="113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SIS</w:t>
            </w:r>
          </w:p>
        </w:tc>
        <w:tc>
          <w:tcPr>
            <w:tcW w:type="dxa" w:w="113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ATT</w:t>
            </w:r>
          </w:p>
        </w:tc>
        <w:tc>
          <w:tcPr>
            <w:tcW w:type="dxa" w:w="113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TT</w:t>
            </w:r>
          </w:p>
        </w:tc>
        <w:tc>
          <w:tcPr>
            <w:tcW w:type="dxa" w:w="113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EXM</w:t>
            </w:r>
          </w:p>
        </w:tc>
        <w:tc>
          <w:tcPr>
            <w:tcW w:type="dxa" w:w="113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FEE</w:t>
            </w:r>
          </w:p>
        </w:tc>
        <w:tc>
          <w:tcPr>
            <w:tcW w:type="dxa" w:w="113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LIB</w:t>
            </w:r>
          </w:p>
        </w:tc>
        <w:tc>
          <w:tcPr>
            <w:tcW w:type="dxa" w:w="113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TRN</w:t>
            </w:r>
          </w:p>
        </w:tc>
        <w:tc>
          <w:tcPr>
            <w:tcW w:type="dxa" w:w="113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HR</w:t>
            </w:r>
          </w:p>
        </w:tc>
        <w:tc>
          <w:tcPr>
            <w:tcW w:type="dxa" w:w="113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</w:t>
            </w:r>
          </w:p>
        </w:tc>
        <w:tc>
          <w:tcPr>
            <w:tcW w:type="dxa" w:w="113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RPT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Direct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Indirect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Indirect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Direct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Indirect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Indirect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Indirect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Indirect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Indirect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SIS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Direct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Direct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Direct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Direct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Direct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Indirect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Indirect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Indirect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ATT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Direct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Direct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Indirect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Indirect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TT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Direct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Direct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Indirect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Indirect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Indirect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EXM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Direct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Direct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FEE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Direct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Direct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LIB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Direct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Indirect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Indirect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TRN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Direct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Indirect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Indirect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HR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Direct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RPT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1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  <w:outlineLvl w:val="0"/>
      </w:pPr>
      <w:r>
        <w:t xml:space="preserve">Requirement Implementation Sequence</w:t>
      </w:r>
    </w:p>
    <w:p>
      <w:pPr>
        <w:spacing w:after="140" w:line="270"/>
      </w:pPr>
      <w:r>
        <w:rPr>
          <w:sz w:val="20"/>
          <w:szCs w:val="20"/>
        </w:rPr>
        <w:t xml:space="preserve">Logical build/implementation order, derived from the dependency chain above rather than arbitrarily assigned. Each Functional Requirement's Field 15 (Implementation Order) references this phase directly.</w:t>
      </w:r>
    </w:p>
    <w:p>
      <w:pPr>
        <w:spacing w:after="120"/>
      </w:pP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40"/>
      </w:tblGrid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Phase 1 — Foundation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 (Admission &amp; Enrollment, Student Information Management)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      │   Reason: every other module reads from the student record; nothing else can be built first.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      ▼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Phase 2 — Master Data &amp; Configuration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 (Timetable &amp; Scheduling structure, Fee Head configuration, Library catalog, Transport routes, Staff Master)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      │   Reason: these define the reference data that Phase 3 transactions will be validated against.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      ▼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Phase 3 — Core Transactions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 (Attendance capture, Fee invoicing/payment, Library issue/return, Transport allocation, Payroll processing)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      │   Reason: day-to-day operational data creation; depends entirely on Phase 1-2 being in place.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      ▼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Phase 4 — Academic Processing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 (Examination scheduling, marks entry, grade/rank calculation, report card publication)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      │   Reason: depends on both Phase 1 (student/timetable) and Phase 3 (attendance) data.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      ▼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Phase 5 — Notifications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 (Communication &amp; Notifications)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      │   Reason: functions as an event-triggered shared service consumed by Phases 1, 3, and 4 — cannot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      │   be meaningfully tested until those upstream events exist.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      ▼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Phase 6 — Reporting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 (Reports &amp; Analytics)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      Reason: a pure consumption layer over all preceding phases; building it earlier would have nothing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      meaningful to report on.</w:t>
            </w:r>
          </w:p>
        </w:tc>
      </w:tr>
    </w:tbl>
    <w:p>
      <w:pPr>
        <w:pStyle w:val="Heading1"/>
        <w:outlineLvl w:val="0"/>
      </w:pPr>
      <w:r>
        <w:t xml:space="preserve">Detailed Requirement Dependency Records</w:t>
      </w:r>
    </w:p>
    <w:p>
      <w:pPr>
        <w:spacing w:after="140" w:line="270"/>
      </w:pPr>
      <w:r>
        <w:rPr>
          <w:sz w:val="20"/>
          <w:szCs w:val="20"/>
        </w:rPr>
        <w:t xml:space="preserve">All 47 Functional Requirements, organized by module in RGD v2.0 order. Each record's 18 fields are detailed below.</w:t>
      </w:r>
    </w:p>
    <w:p>
      <w:pPr>
        <w:pStyle w:val="Heading2"/>
        <w:pageBreakBefore/>
        <w:outlineLvl w:val="1"/>
      </w:pPr>
      <w:r>
        <w:t xml:space="preserve">Module: Admission &amp; Enrollment  (8 Requirements)</w:t>
      </w: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FR-01  —  Online Admission Application Capture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FR-01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Online Admission Application Capture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Admission &amp; Enrollment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Mandatory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 (process entry point)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FR-02, FR-03, FR-04, FR-05, FR-05a, FR-05b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BR-ADM-005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1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FR-01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Very High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entire Admission process, and by extension Student Information Management, cannot begin without an application first being captured.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 new applications can be captured; the admission pipeline halts entirely at the front door.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Temporary manual/paper intake by Admin Staff, backfilled into the system once restored.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1 — Foundation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TS-1-01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Admin Staff</w:t>
            </w:r>
          </w:p>
        </w:tc>
      </w:tr>
    </w:tbl>
    <w:p>
      <w:pPr>
        <w:spacing w:after="200"/>
      </w:pP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FR-02  —  Automatic Admission Number Generation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FR-02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Automatic Admission Number Generation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Admission &amp; Enrollment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Mandatory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FR-01, FR-04, FR-05a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FR-06 (SIS record creation)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BR-ADM-002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1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FR-02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Very High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Student Information Management cannot create a student record without a confirmed, unique admission number.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 new student records can be created in SIS; enrollment pipeline blocked at confirmation stage.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admission-number issuance by Admin Staff with mandatory post-hoc uniqueness reconciliation.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1 — Foundation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TS-1-02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Admin Staff</w:t>
            </w:r>
          </w:p>
        </w:tc>
      </w:tr>
    </w:tbl>
    <w:p>
      <w:pPr>
        <w:spacing w:after="200"/>
      </w:pP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FR-03  —  Applicant Status Tracking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FR-03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Applicant Status Tracking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Admission &amp; Enrollment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Sequential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FR-01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FR-05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 Identified (see Appendix-C Section 3.3 gap list)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1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FR-03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Status-update notifications (FR-05) require a current, accurate application status to report.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Applicants receive no visibility into where their application stands.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Admin Staff communicates status manually via phone/email.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1 — Foundation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TS-1-03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Admin Staff</w:t>
            </w:r>
          </w:p>
        </w:tc>
      </w:tr>
    </w:tbl>
    <w:p>
      <w:pPr>
        <w:spacing w:after="200"/>
      </w:pP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FR-04  —  Seat Availability &amp; Waitlist Configuration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FR-04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Seat Availability &amp; Waitlist Configuration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Admission &amp; Enrollment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Mandatory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 (configuration input)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FR-02, FR-03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BR-ADM-001, BR-ADM-007, BR-ADM-008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1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FR-04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Admission number generation and status decisions both require a current seat-capacity check.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Risk of overbooking or incorrect waitlist decisions (see BR-ADM-001).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seat-count tracking by Admin Staff in a spreadsheet, reconciled daily.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1 — Foundation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TS-1-04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Admin Staff</w:t>
            </w:r>
          </w:p>
        </w:tc>
      </w:tr>
    </w:tbl>
    <w:p>
      <w:pPr>
        <w:spacing w:after="200"/>
      </w:pP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FR-05  —  Automated Applicant Notifications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FR-05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Automated Applicant Notifications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Admission &amp; Enrollment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Workflow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FR-03, FR-37 (Communication channel)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 Identified (see Appendix-C Section 3.3 gap list)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1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FR-05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Depends on both a current status (FR-03) and an active communication channel (FR-37) to dispatch.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Applicants are not proactively informed of status changes, increasing inbound query volume.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notification by Admin Staff via phone/email.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1 — Foundation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TS-1-05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Admin Staff</w:t>
            </w:r>
          </w:p>
        </w:tc>
      </w:tr>
    </w:tbl>
    <w:p>
      <w:pPr>
        <w:spacing w:after="200"/>
      </w:pP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FR-05a  —  Aadhaar-Based Identity Verification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FR-05a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Aadhaar-Based Identity Verification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Admission &amp; Enrollment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Regulatory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FR-01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FR-02, FR-06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BR-ADM-006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1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FR-05a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Duplicate-identity prevention (BR-ADM-006) and downstream unique student identity (BR-SIS-002) both rely on this verification.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Elevated risk of duplicate student records and reduced UIDAI-norm compliance.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identity cross-check by Admin Staff against existing records.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1 — Foundation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TS-1-05a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Admin Staff</w:t>
            </w:r>
          </w:p>
        </w:tc>
      </w:tr>
    </w:tbl>
    <w:p>
      <w:pPr>
        <w:spacing w:after="200"/>
      </w:pP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FR-05b  —  RTE Act Quota Seat Reservation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FR-05b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RTE Act Quota Seat Reservation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Admission &amp; Enrollment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Regulatory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FR-04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FR-02, FR-26b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BR-ADM-003, BR-ADM-004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1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FR-05b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RTE-quota fee waiver reporting (FR-26b) and admission-number generation both require the quota decision to be finalized first.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Statutory RTE Act, 2009 non-compliance risk; incorrect fee billing for quota students.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RTE-eligibility tracking in a parallel register, reconciled before fee invoicing.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1 — Foundation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TS-1-05b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Admin Staff</w:t>
            </w:r>
          </w:p>
        </w:tc>
      </w:tr>
    </w:tbl>
    <w:p>
      <w:pPr>
        <w:spacing w:after="200"/>
      </w:pP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FR-05c  —  UDISE+ Compliant Data Export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FR-05c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UDISE+ Compliant Data Export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Admission &amp; Enrollment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Regulatory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FR-02, FR-05b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 (terminal — external reporting)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 Identified (see Appendix-C Section 3.3 gap list)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1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FR-05c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Requires finalized admission numbers and RTE-quota classification to produce an accurate statutory export.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Delayed or inaccurate UDISE+ submission to state/central education authorities.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data compilation for UDISE+ submission by IT Admin.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1 — Foundation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TS-1-05c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Admin Staff</w:t>
            </w:r>
          </w:p>
        </w:tc>
      </w:tr>
    </w:tbl>
    <w:p>
      <w:pPr>
        <w:spacing w:after="200"/>
      </w:pPr>
    </w:p>
    <w:p>
      <w:pPr>
        <w:pStyle w:val="Heading2"/>
        <w:pageBreakBefore/>
        <w:outlineLvl w:val="1"/>
      </w:pPr>
      <w:r>
        <w:t xml:space="preserve">Module: Student Information Management  (4 Requirements)</w:t>
      </w: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FR-06  —  Comprehensive Student Profile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FR-06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Comprehensive Student Profile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Student Information Management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Mandatory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FR-02, FR-05a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FR-07, FR-08, FR-09, FR-10, FR-14, FR-17, FR-22, FR-27, FR-30, FR-37 (and effectively every module)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BR-SIS-002, BR-SIS-003, BR-SIS-005, BR-SIS-006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2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FR-06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Very High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This is the single most-depended-upon requirement in the entire system — nearly every other module reads from the student master record.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Catastrophic — Attendance, Examination, Fee, Transport, and Library modules cannot function without a valid student record.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 practical; this is a true single point of dependency (see Critical Dependency List).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1 — Foundation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TS-1-06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Admin Staff</w:t>
            </w:r>
          </w:p>
        </w:tc>
      </w:tr>
    </w:tbl>
    <w:p>
      <w:pPr>
        <w:spacing w:after="200"/>
      </w:pP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FR-07  —  Bulk Student Data Import/Export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FR-07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Bulk Student Data Import/Export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Student Information Management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Optional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FR-06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BR-SIS-003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2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FR-07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Depends on the student profile schema (FR-06) being finalized before bulk operations can be mapped.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Onboarding of large student batches (e.g., new academic year) must be done manually, record by record.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record-by-record entry by Admin Staff.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1 — Foundation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TS-1-07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Admin Staff</w:t>
            </w:r>
          </w:p>
        </w:tc>
      </w:tr>
    </w:tbl>
    <w:p>
      <w:pPr>
        <w:spacing w:after="200"/>
      </w:pP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FR-08  —  Historical Academic Record Retention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FR-08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Historical Academic Record Retention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Student Information Management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Data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FR-06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FR-19 (historical comparison), FR-09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BR-SIS-001, BR-SIS-004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2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FR-08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Two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Feeds historical context into grade/rank calculation (FR-19) and receives new records from each closed academic year.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Loss of year-over-year academic trend visibility; certificate generation (FR-09) lacks historical basis.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retrieval of historical records from prior-year backups or paper archives.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1 — Foundation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TS-1-08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Admin Staff</w:t>
            </w:r>
          </w:p>
        </w:tc>
      </w:tr>
    </w:tbl>
    <w:p>
      <w:pPr>
        <w:spacing w:after="200"/>
      </w:pP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FR-09  —  ID Card &amp; Certificate Generation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FR-09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 Card &amp; Certificate Generation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Student Information Management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Optional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FR-06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 Identified (see Appendix-C Section 3.3 gap list)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2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FR-09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Requires a complete, validated student profile to populate the document template.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Manual, template-based ID card/certificate creation by Admin Staff.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document creation in Word/Excel outside the system.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1 — Foundation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TS-1-09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Admin Staff</w:t>
            </w:r>
          </w:p>
        </w:tc>
      </w:tr>
    </w:tbl>
    <w:p>
      <w:pPr>
        <w:spacing w:after="200"/>
      </w:pPr>
    </w:p>
    <w:p>
      <w:pPr>
        <w:pStyle w:val="Heading2"/>
        <w:pageBreakBefore/>
        <w:outlineLvl w:val="1"/>
      </w:pPr>
      <w:r>
        <w:t xml:space="preserve">Module: Attendance Management  (4 Requirements)</w:t>
      </w: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FR-10  —  Daily/Period-wise Attendance Capture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FR-10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Daily/Period-wise Attendance Capture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Attendance Management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Mandatory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FR-06, FR-14 (Timetable)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FR-11, FR-13, FR-34 (via staff attendance)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BR-ATT-001, BR-ATT-002, BR-ATT-003, BR-ATT-007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3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FR-10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Very High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Requires both an active student record and a published timetable (to know which period is being marked) before capture can occur.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 attendance data captured for the day; downstream notification, reporting, and payroll linkage all stall.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paper-register attendance, back-entered into the system once restored.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3 — Core Transactions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TS-3-10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Teacher / HR</w:t>
            </w:r>
          </w:p>
        </w:tc>
      </w:tr>
    </w:tbl>
    <w:p>
      <w:pPr>
        <w:spacing w:after="200"/>
      </w:pP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FR-11  —  Automated Absence Notification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FR-11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Automated Absence Notification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Attendance Management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Integration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FR-10, FR-37 (Communication channel)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BR-ATT-004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3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FR-11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Requires both a saved absence record and an active SMS/app channel to dispatch.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Parents are not proactively informed of absence, delaying safeguarding response.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phone call by Admin Staff for flagged absentees.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3 — Core Transactions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TS-3-11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Teacher / HR</w:t>
            </w:r>
          </w:p>
        </w:tc>
      </w:tr>
    </w:tbl>
    <w:p>
      <w:pPr>
        <w:spacing w:after="200"/>
      </w:pP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FR-12  —  Staff Attendance &amp; Leave Tracking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FR-12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Staff Attendance &amp; Leave Tracking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Attendance Management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Mandatory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FR-33 (Staff Master)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FR-34, FR-35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BR-ATT-005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3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FR-12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Payroll (FR-34) and leave approval (FR-35) both require reconciled staff attendance as an input.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Payroll cannot be accurately calculated for the affected period (see BR-HR-001).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attendance register maintained by HR, reconciled before payroll cutoff.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3 — Core Transactions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TS-3-12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Teacher / HR</w:t>
            </w:r>
          </w:p>
        </w:tc>
      </w:tr>
    </w:tbl>
    <w:p>
      <w:pPr>
        <w:spacing w:after="200"/>
      </w:pP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FR-13  —  Attendance Percentage Reporting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FR-13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Attendance Percentage Reporting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Attendance Management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Reporting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FR-10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FR-17 (exam eligibility check)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BR-ATT-006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3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FR-13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Exam eligibility flagging (BR-ATT-006) depends on an accurate, current attendance percentage.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Exam eligibility cannot be reliably assessed ahead of the exam cycle.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percentage calculation by Academic Head from raw attendance registers.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3 — Core Transactions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TS-3-13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Teacher / HR</w:t>
            </w:r>
          </w:p>
        </w:tc>
      </w:tr>
    </w:tbl>
    <w:p>
      <w:pPr>
        <w:spacing w:after="200"/>
      </w:pPr>
    </w:p>
    <w:p>
      <w:pPr>
        <w:pStyle w:val="Heading2"/>
        <w:pageBreakBefore/>
        <w:outlineLvl w:val="1"/>
      </w:pPr>
      <w:r>
        <w:t xml:space="preserve">Module: Timetable &amp; Scheduling  (3 Requirements)</w:t>
      </w: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FR-14  —  Class-wise Timetable Publishing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FR-14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Class-wise Timetable Publishing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Timetable &amp; Scheduling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Mandatory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FR-06 (Class/Section structure)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FR-10, FR-15, FR-16, FR-17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BR-TT-003, BR-TT-005, BR-TT-006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Covered (Gap-01)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FR-14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Attendance capture and Examination scheduling both require a published timetable to know period/subject/teacher assignment.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Attendance cannot be captured against a period; exam scheduling has no timetable basis.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Manual, paper-based timetable circulated to staff and students.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2 — Master Data &amp; Configuration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TS-2-14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Academic Head</w:t>
            </w:r>
          </w:p>
        </w:tc>
      </w:tr>
    </w:tbl>
    <w:p>
      <w:pPr>
        <w:spacing w:after="200"/>
      </w:pP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FR-15  —  Automated Conflict Detection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FR-15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Automated Conflict Detection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Timetable &amp; Scheduling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Business Rule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FR-14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BR-TT-001, BR-TT-002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Covered (Gap-01)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FR-15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Operates on the timetable data set produced by FR-14; cannot run independently.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Teacher/room double-booking risk goes undetected (see BR-TT-001, BR-TT-002).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cross-check by Academic Head before publishing.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2 — Master Data &amp; Configuration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TS-2-15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Academic Head</w:t>
            </w:r>
          </w:p>
        </w:tc>
      </w:tr>
    </w:tbl>
    <w:p>
      <w:pPr>
        <w:spacing w:after="200"/>
      </w:pP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FR-16  —  Substitution Management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FR-16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Substitution Management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Timetable &amp; Scheduling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Optional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FR-14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BR-TT-004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Covered (Gap-01)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FR-16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Requires the base timetable to identify which period needs a substitute.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Teacher absences result in unsupervised or cancelled periods.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substitute assignment by Academic Head via phone/notice board.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2 — Master Data &amp; Configuration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TS-2-16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Academic Head</w:t>
            </w:r>
          </w:p>
        </w:tc>
      </w:tr>
    </w:tbl>
    <w:p>
      <w:pPr>
        <w:spacing w:after="200"/>
      </w:pPr>
    </w:p>
    <w:p>
      <w:pPr>
        <w:pStyle w:val="Heading2"/>
        <w:pageBreakBefore/>
        <w:outlineLvl w:val="1"/>
      </w:pPr>
      <w:r>
        <w:t xml:space="preserve">Module: Examination &amp; Result Processing  (5 Requirements)</w:t>
      </w: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FR-17  —  Exam Schedule &amp; Grading Scheme Configuration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FR-17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Exam Schedule &amp; Grading Scheme Configuration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Examination &amp; Result Processing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Sequential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FR-06, FR-14, FR-13 (eligibility)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FR-18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BR-EXM-005, BR-EXM-007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4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FR-17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Marks entry (FR-18) cannot begin until the exam schedule and grading scheme are configured.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Examination cycle cannot start; entire downstream result-processing chain is blocked.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exam scheduling communicated via circular, results tabulated outside the system.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4 — Academic Processing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TS-4-17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Academic Head</w:t>
            </w:r>
          </w:p>
        </w:tc>
      </w:tr>
    </w:tbl>
    <w:p>
      <w:pPr>
        <w:spacing w:after="200"/>
      </w:pP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FR-18  —  Marks Entry with Validation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FR-18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Marks Entry with Validation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Examination &amp; Result Processing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Sequential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FR-17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FR-19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BR-EXM-002, BR-EXM-003, BR-EXM-006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4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FR-18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Grade/rank/GPA calculation (FR-19) requires complete, validated marks as its direct input.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 marks available to calculate results; report cards cannot be generated.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marks tabulation in spreadsheets by teachers, later imported.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4 — Academic Processing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TS-4-18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Academic Head</w:t>
            </w:r>
          </w:p>
        </w:tc>
      </w:tr>
    </w:tbl>
    <w:p>
      <w:pPr>
        <w:spacing w:after="200"/>
      </w:pP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FR-19  —  Automated Grade/Rank/GPA Calculation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FR-19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Automated Grade/Rank/GPA Calculation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Examination &amp; Result Processing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Sequential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FR-18, FR-08 (historical basis)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FR-20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BR-EXM-004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4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FR-19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Two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Report card generation (FR-20) directly consumes calculated grades/ranks; also feeds summary data back into the historical record (FR-08).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Report cards cannot be produced; results processing stalls at the calculation stage.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grade/rank calculation by Academic Head using a spreadsheet template.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4 — Academic Processing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TS-4-19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Academic Head</w:t>
            </w:r>
          </w:p>
        </w:tc>
      </w:tr>
    </w:tbl>
    <w:p>
      <w:pPr>
        <w:spacing w:after="200"/>
      </w:pP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FR-20  —  Report Card Generation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FR-20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Report Card Generation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Examination &amp; Result Processing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Sequential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FR-19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FR-21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BR-EXM-001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4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FR-20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Result publication (FR-21) requires a generated report card as its source document.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Results cannot be published to parents/students even if calculated.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report-card preparation and printing by Admin Staff.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4 — Academic Processing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TS-4-20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Academic Head</w:t>
            </w:r>
          </w:p>
        </w:tc>
      </w:tr>
    </w:tbl>
    <w:p>
      <w:pPr>
        <w:spacing w:after="200"/>
      </w:pP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FR-21  —  Result Publication to Portal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FR-21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Result Publication to Portal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Examination &amp; Result Processing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Workflow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FR-20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BR-EXM-001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4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FR-21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Requires a completed report card before it can be exposed on the parent/student portal (BR-EXM-001).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Parents/students have no digital access to results; must rely on printed copies.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Physical distribution of printed report cards.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4 — Academic Processing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TS-4-21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Academic Head</w:t>
            </w:r>
          </w:p>
        </w:tc>
      </w:tr>
    </w:tbl>
    <w:p>
      <w:pPr>
        <w:spacing w:after="200"/>
      </w:pPr>
    </w:p>
    <w:p>
      <w:pPr>
        <w:pStyle w:val="Heading2"/>
        <w:pageBreakBefore/>
        <w:outlineLvl w:val="1"/>
      </w:pPr>
      <w:r>
        <w:t xml:space="preserve">Module: Fee Collection  (7 Requirements)</w:t>
      </w: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FR-22  —  Fee Structure &amp; Head Configuration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FR-22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Fee Structure &amp; Head Configuration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Fee Collection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Mandatory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FR-06 (Class/Category structure)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FR-23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 Identified (see Appendix-C Section 3.3 gap list)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5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FR-22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Invoice generation (FR-23) cannot calculate an amount without a configured fee structure to reference.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 invoices can be generated for any student; fee collection halts entirely.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fee-amount lookup from a policy document, applied by Finance Team when raising manual receipts.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3 — Core Transactions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TS-3-22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Finance Team</w:t>
            </w:r>
          </w:p>
        </w:tc>
      </w:tr>
    </w:tbl>
    <w:p>
      <w:pPr>
        <w:spacing w:after="200"/>
      </w:pP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FR-23  —  Automated Invoice/Receipt Generation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FR-23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Automated Invoice/Receipt Generation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Fee Collection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Business Rule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FR-22, FR-02 (Admission Number)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FR-24, FR-25, FR-26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BR-FEE-001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5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FR-23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Very High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Payment (FR-24), defaulter tracking (FR-25), and financial reporting (FR-26) all depend directly on an invoice existing first (BR-FEE-001).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 fee collection can be recorded against any student; revenue tracking stops.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receipt books maintained by Finance Team, reconciled into the system afterward.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3 — Core Transactions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TS-3-23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Finance Team</w:t>
            </w:r>
          </w:p>
        </w:tc>
      </w:tr>
    </w:tbl>
    <w:p>
      <w:pPr>
        <w:spacing w:after="200"/>
      </w:pP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FR-24  —  Online Payment Gateway Integration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FR-24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Online Payment Gateway Integration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Fee Collection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Integration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FR-23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FR-26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BR-FEE-006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5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FR-24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Financial reporting (FR-26) reflects online payment data only if the gateway integration is functioning.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Parents cannot pay online; all collection reverts to offline/manual channels.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Offline payment collection (cash/cheque/bank transfer) recorded manually by Finance Team.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3 — Core Transactions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TS-3-24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Finance Team</w:t>
            </w:r>
          </w:p>
        </w:tc>
      </w:tr>
    </w:tbl>
    <w:p>
      <w:pPr>
        <w:spacing w:after="200"/>
      </w:pP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FR-25  —  Defaulter Tracking &amp; Reminders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FR-25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Defaulter Tracking &amp; Reminders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Fee Collection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Workflow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FR-23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FR-26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BR-FEE-004, BR-FEE-008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5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FR-25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Depends on invoice data (FR-23) to determine overdue status; feeds summary figures into financial reporting.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Overdue accounts go unflagged and unfollowed, risking revenue leakage.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overdue-list review by Finance Team on a weekly cadence.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3 — Core Transactions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TS-3-25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Finance Team</w:t>
            </w:r>
          </w:p>
        </w:tc>
      </w:tr>
    </w:tbl>
    <w:p>
      <w:pPr>
        <w:spacing w:after="200"/>
      </w:pP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FR-26  —  Financial Reporting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FR-26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Financial Reporting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Fee Collection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Reporting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FR-23, FR-24, FR-25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FR-42 (trend analytics)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BR-FEE-002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5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FR-26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Aggregates data from invoicing, payment, and defaulter tracking; trend analytics (FR-42) further aggregates this over time.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Management loses visibility into collection status, outstanding dues, and refunds.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reconciliation and reporting by Finance Team from receipt books/spreadsheets.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3 — Core Transactions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TS-3-26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Finance Team</w:t>
            </w:r>
          </w:p>
        </w:tc>
      </w:tr>
    </w:tbl>
    <w:p>
      <w:pPr>
        <w:spacing w:after="200"/>
      </w:pP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FR-26a  —  GST-Compliant Fee Receipts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FR-26a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GST-Compliant Fee Receipts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Fee Collection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Regulatory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FR-23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BR-FEE-007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5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FR-26a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Requires an underlying invoice/receipt (FR-23) to append GST-compliant fields to.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Receipts fail to meet GST compliance requirements for taxable fee heads.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GST calculation and receipt annotation by Finance Team.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3 — Core Transactions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TS-3-26a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Finance Team</w:t>
            </w:r>
          </w:p>
        </w:tc>
      </w:tr>
    </w:tbl>
    <w:p>
      <w:pPr>
        <w:spacing w:after="200"/>
      </w:pP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FR-26b  —  RTE-Quota Fee Waiver Reporting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FR-26b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RTE-Quota Fee Waiver Reporting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Fee Collection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Regulatory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FR-05b, FR-23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BR-FEE-005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5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FR-26b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Requires both the RTE-quota classification (FR-05b) and an invoice (FR-23) to determine and report the correct waiver.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Incorrect billing to RTE-quota families; state reimbursement claims cannot be substantiated.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cross-reference of the RTE register against fee invoices by Finance Team.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3 — Core Transactions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TS-3-26b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Finance Team</w:t>
            </w:r>
          </w:p>
        </w:tc>
      </w:tr>
    </w:tbl>
    <w:p>
      <w:pPr>
        <w:spacing w:after="200"/>
      </w:pPr>
    </w:p>
    <w:p>
      <w:pPr>
        <w:pStyle w:val="Heading2"/>
        <w:pageBreakBefore/>
        <w:outlineLvl w:val="1"/>
      </w:pPr>
      <w:r>
        <w:t xml:space="preserve">Module: Library Management  (3 Requirements)</w:t>
      </w: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FR-27  —  Digital Catalog with Barcode Support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FR-27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Digital Catalog with Barcode Support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Library Management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Mandatory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 (independent master data)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FR-28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BR-LIB-004, BR-LIB-006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6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FR-27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Issue/return processing (FR-28) requires a searchable catalog entry to exist before a book can be issued.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 books can be issued or tracked; the library module is non-functional.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register-based issue/return tracking by Librarian.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3 — Core Transactions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TS-3-27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Librarian</w:t>
            </w:r>
          </w:p>
        </w:tc>
      </w:tr>
    </w:tbl>
    <w:p>
      <w:pPr>
        <w:spacing w:after="200"/>
      </w:pP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FR-28  —  Issue/Return &amp; Fine Tracking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FR-28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Issue/Return &amp; Fine Tracking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Library Management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Business Rule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FR-27, FR-06 (Borrower identity)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FR-29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BR-LIB-001, BR-LIB-002, BR-LIB-003, BR-LIB-005, BR-LIB-006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6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FR-28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Student self-service catalog search with issue history (FR-29) depends on issue/return transactions existing to display.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Fine calculation and overdue tracking stop; borrowing history is not captured digitally.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fine calculation and record-keeping by Librarian.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3 — Core Transactions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TS-3-28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Librarian</w:t>
            </w:r>
          </w:p>
        </w:tc>
      </w:tr>
    </w:tbl>
    <w:p>
      <w:pPr>
        <w:spacing w:after="200"/>
      </w:pP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FR-29  —  Student Catalog Self-Service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FR-29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Student Catalog Self-Service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Library Management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Optional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FR-28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 Identified (see Appendix-C Section 3.3 gap list)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6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FR-29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Purely a read-layer over issue/return data; cannot show meaningful history without it.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Students lose self-service visibility but can still be served in person by the Librarian.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Librarian provides issue-history information on request.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3 — Core Transactions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TS-3-29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Librarian</w:t>
            </w:r>
          </w:p>
        </w:tc>
      </w:tr>
    </w:tbl>
    <w:p>
      <w:pPr>
        <w:spacing w:after="200"/>
      </w:pPr>
    </w:p>
    <w:p>
      <w:pPr>
        <w:pStyle w:val="Heading2"/>
        <w:pageBreakBefore/>
        <w:outlineLvl w:val="1"/>
      </w:pPr>
      <w:r>
        <w:t xml:space="preserve">Module: Transport Management  (3 Requirements)</w:t>
      </w: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FR-30  —  Route/Stop Configuration &amp; Allocation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FR-30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Route/Stop Configuration &amp; Allocation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Transport Management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Mandatory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FR-06 (Student roster)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FR-31, FR-32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BR-TRN-001, BR-TRN-002, BR-TRN-004, BR-TRN-006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7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FR-30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Both live tracking (FR-31) and transport fee linkage (FR-32) require a confirmed route allocation to operate against.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 students can be allocated to transport; the module cannot function.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route-list maintained in a spreadsheet by Admin Staff.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3 — Core Transactions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TS-3-30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Admin Staff / Transport Coordinator</w:t>
            </w:r>
          </w:p>
        </w:tc>
      </w:tr>
    </w:tbl>
    <w:p>
      <w:pPr>
        <w:spacing w:after="200"/>
      </w:pP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FR-31  —  GPS-Based Live Bus Tracking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FR-31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GPS-Based Live Bus Tracking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Transport Management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Integration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FR-30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BR-TRN-003, BR-TRN-006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7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FR-31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Requires an active route/vehicle assignment (FR-30) to know which vehicle's GPS feed to display.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Parents lose live visibility into bus location; safety/reassurance feature unavailable.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Phone-based driver check-in calls relayed to concerned parents by Admin Staff.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3 — Core Transactions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TS-3-31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Admin Staff / Transport Coordinator</w:t>
            </w:r>
          </w:p>
        </w:tc>
      </w:tr>
    </w:tbl>
    <w:p>
      <w:pPr>
        <w:spacing w:after="200"/>
      </w:pP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FR-32  —  Transport Fee Linkage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FR-32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Transport Fee Linkage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Transport Management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Data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FR-30, FR-22 (Fee structure)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BR-TRN-005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7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FR-32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Two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Requires both a confirmed route allocation and a configured fee structure; changes to either must resynchronize the fee ledger.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Transport fee is not automatically billed, risking missed revenue.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transport-fee invoicing by Finance Team based on the route list.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3 — Core Transactions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TS-3-32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Admin Staff / Transport Coordinator</w:t>
            </w:r>
          </w:p>
        </w:tc>
      </w:tr>
    </w:tbl>
    <w:p>
      <w:pPr>
        <w:spacing w:after="200"/>
      </w:pPr>
    </w:p>
    <w:p>
      <w:pPr>
        <w:pStyle w:val="Heading2"/>
        <w:pageBreakBefore/>
        <w:outlineLvl w:val="1"/>
      </w:pPr>
      <w:r>
        <w:t xml:space="preserve">Module: HR &amp; Payroll  (4 Requirements)</w:t>
      </w: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FR-33  —  Staff Master Record Maintenance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FR-33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Staff Master Record Maintenance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HR &amp; Payroll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Mandatory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 (process entry point)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FR-12, FR-34, FR-35, FR-36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BR-HR-002, BR-HR-006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8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FR-33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Very High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Staff attendance, payroll, leave, and payslip generation all read directly from the staff master record.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 staff-related transactional module (Attendance, Payroll, Leave) can function.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staff register maintained by HR outside the system.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3 — Core Transactions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TS-3-33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HR</w:t>
            </w:r>
          </w:p>
        </w:tc>
      </w:tr>
    </w:tbl>
    <w:p>
      <w:pPr>
        <w:spacing w:after="200"/>
      </w:pP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FR-34  —  Statutory Payroll Processing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FR-34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Statutory Payroll Processing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HR &amp; Payroll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Business Rule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FR-33, FR-12 (Attendance closure)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FR-36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BR-HR-001, BR-HR-003, BR-HR-005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8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FR-34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Very High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Payslip generation (FR-36) cannot proceed without a completed, approved payroll run (BR-HR-001).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Staff salaries cannot be processed for the affected cycle; statutory deduction risk.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payroll calculation by HR/Finance using a spreadsheet, subject to dual sign-off.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3 — Core Transactions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TS-3-34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HR</w:t>
            </w:r>
          </w:p>
        </w:tc>
      </w:tr>
    </w:tbl>
    <w:p>
      <w:pPr>
        <w:spacing w:after="200"/>
      </w:pP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FR-35  —  Leave Application &amp; Approval Workflow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FR-35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Leave Application &amp; Approval Workflow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HR &amp; Payroll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Sequential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FR-33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FR-34 (leave-without-pay adjustment)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BR-HR-004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8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FR-35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Payroll calculation (FR-34) consumes approved/rejected leave status to compute deductions correctly.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Leave cannot be tracked or approved digitally; risk of payroll miscalculation.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leave-application forms routed for physical approval.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3 — Core Transactions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TS-3-35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HR</w:t>
            </w:r>
          </w:p>
        </w:tc>
      </w:tr>
    </w:tbl>
    <w:p>
      <w:pPr>
        <w:spacing w:after="200"/>
      </w:pP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FR-36  —  Payslip &amp; Statutory Report Generation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FR-36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Payslip &amp; Statutory Report Generation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HR &amp; Payroll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Regulatory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FR-34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BR-HR-007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8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FR-36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Requires a completed payroll run to generate payslips and statutory challans/reports.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Staff do not receive payslips; statutory filings (PF/ESI/PT/Form 16) are delayed.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payslip preparation by HR using a spreadsheet template.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3 — Core Transactions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TS-3-36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HR</w:t>
            </w:r>
          </w:p>
        </w:tc>
      </w:tr>
    </w:tbl>
    <w:p>
      <w:pPr>
        <w:spacing w:after="200"/>
      </w:pPr>
    </w:p>
    <w:p>
      <w:pPr>
        <w:pStyle w:val="Heading2"/>
        <w:pageBreakBefore/>
        <w:outlineLvl w:val="1"/>
      </w:pPr>
      <w:r>
        <w:t xml:space="preserve">Module: Communication &amp; Notifications  (3 Requirements)</w:t>
      </w: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FR-37  —  Bulk/Targeted Multi-Channel Messaging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FR-37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Bulk/Targeted Multi-Channel Messaging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Communication &amp; Notifications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Integration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FR-06, FR-33 (contact data)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FR-05, FR-11, FR-25 (reminders), FR-39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BR-COM-002, BR-COM-003, BR-COM-004, BR-COM-005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9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FR-37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Nearly every notification-triggering requirement across the system (admission, absence, fee reminders) depends on this shared communication service.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automated notifications across every module fail simultaneously — a significant cross-module single point of failure.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phone/email outreach by Admin Staff for critical notifications only.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5 — Notifications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TS-5-37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Admin Staff</w:t>
            </w:r>
          </w:p>
        </w:tc>
      </w:tr>
    </w:tbl>
    <w:p>
      <w:pPr>
        <w:spacing w:after="200"/>
      </w:pP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FR-38  —  Circular/Announcement Board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FR-38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Circular/Announcement Board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Communication &amp; Notifications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Optional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FR-06 (audience data)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BR-COM-005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9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FR-38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Requires student/class roster data to correctly target circulars to the intended audience.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Circulars cannot be posted digitally; must revert to printed notices.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Printed circulars distributed physically.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5 — Notifications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TS-5-38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Admin Staff</w:t>
            </w:r>
          </w:p>
        </w:tc>
      </w:tr>
    </w:tbl>
    <w:p>
      <w:pPr>
        <w:spacing w:after="200"/>
      </w:pP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FR-39  —  Two-Way Teacher-Parent Messaging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FR-39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Two-Way Teacher-Parent Messaging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Communication &amp; Notifications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Optional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FR-37, FR-06 (relationship data)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BR-COM-001, BR-COM-005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9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FR-39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Requires both the messaging channel (FR-37) and class/subject-teacher assignment data (BR-COM-001) to route correctly.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Parents and teachers lose the direct in-app messaging channel; must use phone/email instead.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Direct phone/email contact outside the system.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5 — Notifications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TS-5-39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Admin Staff</w:t>
            </w:r>
          </w:p>
        </w:tc>
      </w:tr>
    </w:tbl>
    <w:p>
      <w:pPr>
        <w:spacing w:after="200"/>
      </w:pPr>
    </w:p>
    <w:p>
      <w:pPr>
        <w:pStyle w:val="Heading2"/>
        <w:pageBreakBefore/>
        <w:outlineLvl w:val="1"/>
      </w:pPr>
      <w:r>
        <w:t xml:space="preserve">Module: Reports &amp; Analytics  (3 Requirements)</w:t>
      </w: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FR-40  —  Role-Based Dashboards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FR-40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Role-Based Dashboards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Reports &amp; Analytics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Reporting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FR-23 (Fee), FR-10 (Attendance), FR-19 (Exam results)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FR-41, FR-42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BR-RPT-002, BR-RPT-003, BR-RPT-004, BR-RPT-005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10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FR-40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Custom report builder (FR-41) and trend analytics (FR-42) both extend the base dashboard data model established here.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Management, Academic, and Finance stakeholders lose consolidated visibility into operations.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report compilation by IT Admin from individual module exports.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6 — Reporting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TS-6-40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 Admin / Management</w:t>
            </w:r>
          </w:p>
        </w:tc>
      </w:tr>
    </w:tbl>
    <w:p>
      <w:pPr>
        <w:spacing w:after="200"/>
      </w:pP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FR-41  —  Custom Report Builder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FR-41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Custom Report Builder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Reports &amp; Analytics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Reporting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FR-40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BR-RPT-001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10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FR-41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Extends the dashboard data model (FR-40) with ad-hoc field/filter selection.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Users are limited to pre-built dashboard views with no ad-hoc reporting capability.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 Admin manually builds one-off reports on request.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6 — Reporting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TS-6-41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 Admin / Management</w:t>
            </w:r>
          </w:p>
        </w:tc>
      </w:tr>
    </w:tbl>
    <w:p>
      <w:pPr>
        <w:spacing w:after="200"/>
      </w:pPr>
    </w:p>
    <w:p>
      <w:pPr>
        <w:shd w:fill="DCE6F1" w:color="auto" w:val="clear"/>
        <w:spacing w:after="100" w:before="260"/>
      </w:pPr>
      <w:r>
        <w:rPr>
          <w:b/>
          <w:bCs/>
          <w:color w:val="1F3864"/>
          <w:sz w:val="21"/>
          <w:szCs w:val="21"/>
        </w:rPr>
        <w:t xml:space="preserve">FR-42  —  Trend Analytics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140"/>
      </w:tblGrid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Requirement ID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FR-42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Requirement Name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Trend Analytics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Reports &amp; Analytics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Dependency Type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Reporting Dependency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Depends On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FR-40, FR-26 (Financial history)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Required By Requirement(s)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Related Business Rule(s)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BR-RPT-005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8. Related BPMN Module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Appendix-A, Module 10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9. Related RTM Entry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Appendix-B, Requirement Record: FR-42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10. Dependency Strength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11. Dependency Direction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Way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12. Dependency Description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Requires historical dashboard and financial data accumulated over time to compute meaningful trends.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13. Impact if Dependency Fails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Enrollment, attendance, and revenue trend visibility is lost; only point-in-time snapshots remain available.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14. Workaround (if any)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trend charting by IT Admin in a spreadsheet, updated periodically.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15. Implementation Order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6 — Reporting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16. Test Sequence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TS-6-42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17. Risk Level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18. Owner</w:t>
            </w:r>
          </w:p>
        </w:tc>
        <w:tc>
          <w:tcPr>
            <w:tcW w:type="dxa" w:w="1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 Admin / Management</w:t>
            </w:r>
          </w:p>
        </w:tc>
      </w:tr>
    </w:tbl>
    <w:p>
      <w:pPr>
        <w:spacing w:after="200"/>
      </w:pPr>
    </w:p>
    <w:p>
      <w:pPr>
        <w:pStyle w:val="Heading1"/>
        <w:pageBreakBefore/>
        <w:outlineLvl w:val="0"/>
      </w:pPr>
      <w:r>
        <w:t xml:space="preserve">Change Impact Analysis</w:t>
      </w:r>
    </w:p>
    <w:p>
      <w:pPr>
        <w:spacing w:after="140" w:line="270"/>
      </w:pPr>
      <w:r>
        <w:rPr>
          <w:sz w:val="20"/>
          <w:szCs w:val="20"/>
        </w:rPr>
        <w:t xml:space="preserve">The mechanism for assessing the impact of any requirement change is the "Required By" field (6) of that requirement's record above, followed one level at a time. Three high-fan-out requirements are worked through in full below as illustrative examples; the same method applies to any of the 47 requirements.</w:t>
      </w:r>
    </w:p>
    <w:p>
      <w:pPr>
        <w:pStyle w:val="Heading2"/>
        <w:outlineLvl w:val="1"/>
      </w:pPr>
      <w:r>
        <w:t xml:space="preserve">Worked Example 1: FR-06 (Comprehensive Student Profile)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Requirements impacted: FR-07, FR-08, FR-09, FR-10, FR-14, FR-17, FR-22, FR-27, FR-30, FR-37 — and transitively, everything those in turn feed (effectively all 47 requirements to some degree).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Business Rules impacted: BR-SIS-002, BR-SIS-003, BR-SIS-005, BR-SIS-006 directly; BR-ADM-002/006 indirectly (identity checks reference the same profile fields).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Processes impacted: Appendix-A Module 2 (SIS) directly; effectively every other Appendix-A module indirectly, since all consume the student record.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Reports impacted: all Reports &amp; Analytics dashboards (FR-40-42), since student demographic/status fields typically appear as filter dimensions.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Future SRS impacted: SRS-SIS-001 directly; any SRS section referencing student fields by name would require re-validation.</w:t>
      </w:r>
    </w:p>
    <w:p>
      <w:pPr>
        <w:pStyle w:val="Heading2"/>
        <w:outlineLvl w:val="1"/>
      </w:pPr>
      <w:r>
        <w:t xml:space="preserve">Worked Example 2: FR-23 (Automated Invoice/Receipt Generation)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Requirements impacted: FR-24, FR-25, FR-26, FR-26a, FR-26b directly.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Business Rules impacted: BR-FEE-001, BR-FEE-002, BR-FEE-006, BR-FEE-007, BR-FEE-005, BR-FEE-008.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Processes impacted: Appendix-A Module 5 (Fee Collection) directly; Module 9 (Communication) indirectly via defaulter reminders.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Reports impacted: FR-26 financial reports and FR-42 trend analytics.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Future SRS impacted: SRS-FEE-001 through SRS-FEE-007.</w:t>
      </w:r>
    </w:p>
    <w:p>
      <w:pPr>
        <w:pStyle w:val="Heading2"/>
        <w:outlineLvl w:val="1"/>
      </w:pPr>
      <w:r>
        <w:t xml:space="preserve">Worked Example 3: FR-10 (Daily/Period-wise Attendance Capture)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Requirements impacted: FR-11, FR-13 directly; FR-17 (exam eligibility) and FR-34 (payroll) indirectly via FR-12.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Business Rules impacted: BR-ATT-001, BR-ATT-002, BR-ATT-003, BR-ATT-007 directly; BR-ATT-006, BR-HR-001 indirectly.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Processes impacted: Appendix-A Module 3 (Attendance) directly; Module 4 (Examination) and Module 8 (HR &amp; Payroll) indirectly.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Reports impacted: FR-13 attendance percentage reports and any dashboard (FR-40) surfacing attendance metrics.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Future SRS impacted: SRS-ATT-001 through SRS-ATT-004.</w:t>
      </w:r>
    </w:p>
    <w:p>
      <w:pPr>
        <w:pStyle w:val="Heading1"/>
        <w:pageBreakBefore/>
        <w:outlineLvl w:val="0"/>
      </w:pPr>
      <w:r>
        <w:t xml:space="preserve">Critical Dependency List</w:t>
      </w:r>
    </w:p>
    <w:p>
      <w:pPr>
        <w:pStyle w:val="Heading2"/>
        <w:outlineLvl w:val="1"/>
      </w:pPr>
      <w:r>
        <w:t xml:space="preserve">Single Point Dependencies</w:t>
      </w:r>
    </w:p>
    <w:p>
      <w:pPr>
        <w:spacing w:after="140" w:line="270"/>
      </w:pPr>
      <w:r>
        <w:rPr>
          <w:sz w:val="20"/>
          <w:szCs w:val="20"/>
        </w:rPr>
        <w:t xml:space="preserve">Requirements with a very high number of direct/indirect dependents and no redundant alternative — a failure here cascades broadly: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FR-06 (Comprehensive Student Profile) — depended on, directly or indirectly, by effectively all 47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FR-33 (Staff Master Record Maintenance) — sole foundation for all HR &amp; Payroll and staff-side Attendance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FR-01 (Online Admission Application Capture) — sole entry point into the entire student lifecycle; no alternative intake path exists in scope.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FR-37 (Bulk/Targeted Multi-Channel Messaging) — shared notification service for FR-05, FR-11, FR-25, FR-39; its failure silently disables notifications across four unrelated modules at once.</w:t>
      </w:r>
    </w:p>
    <w:p>
      <w:pPr>
        <w:pStyle w:val="Heading2"/>
        <w:outlineLvl w:val="1"/>
      </w:pPr>
      <w:r>
        <w:t xml:space="preserve">Circular Dependencies</w:t>
      </w:r>
    </w:p>
    <w:p>
      <w:pPr>
        <w:spacing w:after="140" w:line="270"/>
      </w:pPr>
      <w:r>
        <w:rPr>
          <w:sz w:val="20"/>
          <w:szCs w:val="20"/>
        </w:rPr>
        <w:t xml:space="preserve">No true circular dependencies (A depends on B depends on A) were identified — the requirement graph is a directed acyclic graph (DAG) by design. One bidirectional coupling is flagged for design attention rather than being a defect: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FR-19 ↔ FR-08: grade/rank calculation reads historical records and, at year-end, writes new results back into history. This is a legitimate two-way data relationship, not a circular blocking dependency, but should be modeled explicitly (not implicitly) in the future SRS data 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FR-30 ↔ FR-32: transport allocation and transport fee linkage reference each other's state (route capacity vs. fee tier); same note applies.</w:t>
      </w:r>
    </w:p>
    <w:p>
      <w:pPr>
        <w:pStyle w:val="Heading2"/>
        <w:outlineLvl w:val="1"/>
      </w:pPr>
      <w:r>
        <w:t xml:space="preserve">Potential Bottlenecks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FR-06 and FR-33 (see Single Point Dependencies) — any delay in finalizing these two data models delays nearly the entire build.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FR-23 (Invoice Generation) — blocks four downstream requirements (FR-24, 25, 26, 26a, 26b) simultaneously; recommend early, isolated delivery in the build sequence.</w:t>
      </w:r>
    </w:p>
    <w:p>
      <w:pPr>
        <w:pStyle w:val="Heading2"/>
        <w:outlineLvl w:val="1"/>
      </w:pPr>
      <w:r>
        <w:t xml:space="preserve">Missing Dependencies (Documentation Gaps Identified)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FR-11 (Absence Notification) implicitly requires FR-37 (Communication channel) to function, but this was not explicitly cross-referenced in RGD v2.0's original functional requirement text — now made explicit in this RDM (Field 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FR-39 (Two-Way Messaging) similarly had an implicit, undocumented dependency on FR-37, now made explicit here.</w:t>
      </w:r>
    </w:p>
    <w:p>
      <w:pPr>
        <w:pStyle w:val="Heading2"/>
        <w:outlineLvl w:val="1"/>
      </w:pPr>
      <w:r>
        <w:t xml:space="preserve">Weak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FR-39 (Two-Way Messaging) on FR-37 — the parent-teacher messaging feature degrades gracefully (falls back to phone/email) rather than causing a hard system failure if FR-37 is delayed; flagged Low strength accordingly.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FR-16 (Substitution Management) on FR-14 — a genuinely optional convenience feature; its absence does not block core Timetable functionality.</w:t>
      </w:r>
    </w:p>
    <w:p>
      <w:pPr>
        <w:pStyle w:val="Heading2"/>
        <w:outlineLvl w:val="1"/>
      </w:pPr>
      <w:r>
        <w:t xml:space="preserve">Invalid Dependencies</w:t>
      </w:r>
    </w:p>
    <w:p>
      <w:pPr>
        <w:spacing w:after="140" w:line="270"/>
      </w:pPr>
      <w:r>
        <w:rPr>
          <w:sz w:val="20"/>
          <w:szCs w:val="20"/>
        </w:rPr>
        <w:t xml:space="preserve">None identified. Every Depends On / Required By pair in this document was cross-checked against RGD v2.0's Functional Requirement descriptions and Appendix-B's module up/down dependency data; no contradictory or unsupported dependency claims were found.</w:t>
      </w:r>
    </w:p>
    <w:p>
      <w:pPr>
        <w:pStyle w:val="Heading1"/>
        <w:pageBreakBefore/>
        <w:outlineLvl w:val="0"/>
      </w:pPr>
      <w:r>
        <w:t xml:space="preserve">Dependency Risk Register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400"/>
        <w:gridCol w:w="1400"/>
        <w:gridCol w:w="3500"/>
        <w:gridCol w:w="1440"/>
        <w:gridCol w:w="1500"/>
      </w:tblGrid>
      <w:tr>
        <w:tc>
          <w:tcPr>
            <w:tcW w:type="dxa" w:w="26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Dependency</w:t>
            </w:r>
          </w:p>
        </w:tc>
        <w:tc>
          <w:tcPr>
            <w:tcW w:type="dxa" w:w="32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4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Probability</w:t>
            </w:r>
          </w:p>
        </w:tc>
        <w:tc>
          <w:tcPr>
            <w:tcW w:type="dxa" w:w="14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5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tcW w:type="dxa" w:w="144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5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FR-06 as single point dependency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Delayed or flawed student data model blocks nearly all modules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Very 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Finalize and freeze FR-06 field set in the earliest sprint; treat any later change as a formally tracked change request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Business Analyst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FR-33 as single point dependency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Delayed staff master model blocks HR, Payroll, and staff Attendance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Finalize FR-33 field set alongside FR-06 in the same early sprint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FR-37 shared notification service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Single integration failure silently disables 4 unrelated modules' notifications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Build FR-37 with independent health monitoring and per-module failure alerting, not a single silent failure mode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 Admin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FR-23 fan-out to 5 downstream FRs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Delay or defect in invoicing blocks payment, defaulter tracking, and reporting simultaneously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Prioritize FR-23 for early, isolated delivery and testing ahead of its five dependents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Finance Team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FR-19 ↔ FR-08 bidirectional coupling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Implicit two-way data flow not explicitly modeled could cause historical-record inconsistency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Model explicitly as two distinct data flows (read historical, write new) in future SRS/DB design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Academic Head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FR-24 Payment Gateway integration dependency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Vendor not yet selected (RGD v2.0 Section 26); blocks FR-26 reporting accuracy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Prioritize payment gateway vendor decision per RGD v2.0 Pending Decisions log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Finance Team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FR-05a/FR-05b/FR-05c regulatory chain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Any delay cascades into UDISE+ and RTE Act non-compliance risk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Treat this three-requirement regulatory chain as a single delivery unit, not three independent backlog items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Admin Staff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</w:tr>
    </w:tbl>
    <w:p>
      <w:pPr>
        <w:pStyle w:val="Heading1"/>
        <w:pageBreakBefore/>
        <w:outlineLvl w:val="0"/>
      </w:pPr>
      <w:r>
        <w:t xml:space="preserve">Visual Dependency Chains</w:t>
      </w:r>
    </w:p>
    <w:p>
      <w:pPr>
        <w:spacing w:after="140" w:line="270"/>
      </w:pPr>
      <w:r>
        <w:rPr>
          <w:sz w:val="20"/>
          <w:szCs w:val="20"/>
        </w:rPr>
        <w:t xml:space="preserve">End-to-end chains for the system's most significant cross-module flows, expressed at the Functional Requirement level.</w:t>
      </w:r>
    </w:p>
    <w:p>
      <w:pPr>
        <w:pStyle w:val="Heading2"/>
        <w:outlineLvl w:val="1"/>
      </w:pPr>
      <w:r>
        <w:t xml:space="preserve">Chain 1: Admission → Academic Results → Reporting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40"/>
      </w:tblGrid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FR-01 (Application) → FR-02 (Admission No.) → FR-06 (Student Profile)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 → FR-14 (Timetable) → FR-17 (Exam Config) → FR-18 (Marks Entry)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 → FR-19 (Grade/Rank) → FR-20 (Report Card) → FR-21 (Publish)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 → FR-40 (Dashboards) → FR-42 (Trend Analytics)</w:t>
            </w:r>
          </w:p>
        </w:tc>
      </w:tr>
    </w:tbl>
    <w:p>
      <w:pPr>
        <w:spacing w:after="160"/>
      </w:pPr>
    </w:p>
    <w:p>
      <w:pPr>
        <w:pStyle w:val="Heading2"/>
        <w:outlineLvl w:val="1"/>
      </w:pPr>
      <w:r>
        <w:t xml:space="preserve">Chain 2: Admission → Fee Collection → Financial Reporting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40"/>
      </w:tblGrid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FR-01 (Application) → FR-02 (Admission No.) → FR-06 (Student Profile)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 → FR-22 (Fee Structure) → FR-23 (Invoice) → FR-24 (Payment)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 → FR-26 (Financial Reports) → FR-42 (Trend Analytics)</w:t>
            </w:r>
          </w:p>
        </w:tc>
      </w:tr>
    </w:tbl>
    <w:p>
      <w:pPr>
        <w:spacing w:after="160"/>
      </w:pPr>
    </w:p>
    <w:p>
      <w:pPr>
        <w:pStyle w:val="Heading2"/>
        <w:outlineLvl w:val="1"/>
      </w:pPr>
      <w:r>
        <w:t xml:space="preserve">Chain 3: Student Profile → Attendance → Payroll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40"/>
      </w:tblGrid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FR-06 (Student Profile) → FR-14 (Timetable) → FR-10 (Attendance Capture)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 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FR-33 (Staff Master) → FR-12 (Staff Attendance) → FR-34 (Payroll)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 → FR-36 (Payslip) → FR-40 (Dashboards)</w:t>
            </w:r>
          </w:p>
        </w:tc>
      </w:tr>
    </w:tbl>
    <w:p>
      <w:pPr>
        <w:spacing w:after="160"/>
      </w:pPr>
    </w:p>
    <w:p>
      <w:pPr>
        <w:pStyle w:val="Heading2"/>
        <w:outlineLvl w:val="1"/>
      </w:pPr>
      <w:r>
        <w:t xml:space="preserve">Chain 4: Transport &amp; Library → Fee Convergence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40"/>
      </w:tblGrid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FR-06 (Student Profile) → FR-30 (Route Allocation) → FR-32 (Transport Fee) ──┐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                                                                              ▼</w:t>
            </w:r>
          </w:p>
        </w:tc>
      </w:tr>
      <w:tr>
        <w:tc>
          <w:tcPr>
            <w:tcW w:type="dxa" w:w="13840"/>
            <w:shd w:fill="1E1E1E" w:color="auto" w:val="clear"/>
            <w:tcMar>
              <w:top w:type="dxa" w:w="6"/>
              <w:left w:type="dxa" w:w="200"/>
              <w:bottom w:type="dxa" w:w="6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FR-06 (Student Profile) → FR-27 (Catalog) → FR-28 (Issue/Fine) ──────► FR-23 (Invoice/Ledger)</w:t>
            </w:r>
          </w:p>
        </w:tc>
      </w:tr>
    </w:tbl>
    <w:p>
      <w:pPr>
        <w:pStyle w:val="Heading1"/>
        <w:pageBreakBefore/>
        <w:outlineLvl w:val="0"/>
      </w:pPr>
      <w:r>
        <w:t xml:space="preserve">Final Validation</w:t>
      </w:r>
    </w:p>
    <w:p>
      <w:pPr>
        <w:spacing w:after="140" w:line="270"/>
      </w:pPr>
      <w:r>
        <w:rPr>
          <w:sz w:val="20"/>
          <w:szCs w:val="20"/>
        </w:rPr>
        <w:t xml:space="preserve">Programmatically verified at build time against the underlying requirement dataset.</w:t>
      </w:r>
    </w:p>
    <w:p>
      <w:pPr>
        <w:spacing w:after="120"/>
      </w:pP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7240"/>
      </w:tblGrid>
      <w:tr>
        <w:tc>
          <w:tcPr>
            <w:tcW w:type="dxa" w:w="68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Validation Check</w:t>
            </w:r>
          </w:p>
        </w:tc>
        <w:tc>
          <w:tcPr>
            <w:tcW w:type="dxa" w:w="724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Every Functional Requirement appears</w:t>
            </w:r>
          </w:p>
        </w:tc>
        <w:tc>
          <w:tcPr>
            <w:tcW w:type="dxa" w:w="7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 — 47 of 47 RGD v2.0 Functional Requirements present</w:t>
            </w:r>
          </w:p>
        </w:tc>
      </w:tr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Every dependency is documented</w:t>
            </w:r>
          </w:p>
        </w:tc>
        <w:tc>
          <w:tcPr>
            <w:tcW w:type="dxa" w:w="7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 — 128 total Depends-On/Required-By relationships recorded across 47 records</w:t>
            </w:r>
          </w:p>
        </w:tc>
      </w:tr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Every Business Rule reference is valid</w:t>
            </w:r>
          </w:p>
        </w:tc>
        <w:tc>
          <w:tcPr>
            <w:tcW w:type="dxa" w:w="7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 — every non-empty Field 7 entry matches a Business Rule ID defined in Appendix-C v1.1</w:t>
            </w:r>
          </w:p>
        </w:tc>
      </w:tr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Every BPMN reference is valid</w:t>
            </w:r>
          </w:p>
        </w:tc>
        <w:tc>
          <w:tcPr>
            <w:tcW w:type="dxa" w:w="7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 — every Field 8 entry matches an Appendix-A module or is explicitly flagged "Not Covered (Gap-01)" for Timetable &amp; Scheduling</w:t>
            </w:r>
          </w:p>
        </w:tc>
      </w:tr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Every RTM reference is valid</w:t>
            </w:r>
          </w:p>
        </w:tc>
        <w:tc>
          <w:tcPr>
            <w:tcW w:type="dxa" w:w="7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 — every Field 9 entry references a Requirement ID that has a corresponding record in Appendix-B</w:t>
            </w:r>
          </w:p>
        </w:tc>
      </w:tr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Every dependency has an owner</w:t>
            </w:r>
          </w:p>
        </w:tc>
        <w:tc>
          <w:tcPr>
            <w:tcW w:type="dxa" w:w="7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 — Field 18 populated for all 47 records, consistent with Appendix-B module ownership</w:t>
            </w:r>
          </w:p>
        </w:tc>
      </w:tr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Every dependency has a risk level</w:t>
            </w:r>
          </w:p>
        </w:tc>
        <w:tc>
          <w:tcPr>
            <w:tcW w:type="dxa" w:w="7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 — Field 17 populated for all 47 records, consistent with Appendix-B Field 15</w:t>
            </w:r>
          </w:p>
        </w:tc>
      </w:tr>
    </w:tbl>
    <w:p>
      <w:pPr>
        <w:pStyle w:val="Heading1"/>
        <w:pageBreakBefore/>
        <w:outlineLvl w:val="0"/>
      </w:pPr>
      <w:r>
        <w:t xml:space="preserve">Final Review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7240"/>
      </w:tblGrid>
      <w:tr>
        <w:tc>
          <w:tcPr>
            <w:tcW w:type="dxa" w:w="68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724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Total Functional Requirements Analysed</w:t>
            </w:r>
          </w:p>
        </w:tc>
        <w:tc>
          <w:tcPr>
            <w:tcW w:type="dxa" w:w="7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47 of 47</w:t>
            </w:r>
          </w:p>
        </w:tc>
      </w:tr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Total Dependencies (Depends-On + Required-By edges)</w:t>
            </w:r>
          </w:p>
        </w:tc>
        <w:tc>
          <w:tcPr>
            <w:tcW w:type="dxa" w:w="7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128</w:t>
            </w:r>
          </w:p>
        </w:tc>
      </w:tr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Mandatory Dependencies</w:t>
            </w:r>
          </w:p>
        </w:tc>
        <w:tc>
          <w:tcPr>
            <w:tcW w:type="dxa" w:w="7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Optional Dependencies</w:t>
            </w:r>
          </w:p>
        </w:tc>
        <w:tc>
          <w:tcPr>
            <w:tcW w:type="dxa" w:w="7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Sequential Dependencies</w:t>
            </w:r>
          </w:p>
        </w:tc>
        <w:tc>
          <w:tcPr>
            <w:tcW w:type="dxa" w:w="7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Other Dependency Types (Data / Business Rule / Workflow / Security / Regulatory / Integration / Reporting)</w:t>
            </w:r>
          </w:p>
        </w:tc>
        <w:tc>
          <w:tcPr>
            <w:tcW w:type="dxa" w:w="7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Cross-Module Dependency Pairs (Direct + Indirect)</w:t>
            </w:r>
          </w:p>
        </w:tc>
        <w:tc>
          <w:tcPr>
            <w:tcW w:type="dxa" w:w="7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37 of 110 possible ordered module pairs</w:t>
            </w:r>
          </w:p>
        </w:tc>
      </w:tr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Critical Dependencies (Single Point + Bottleneck)</w:t>
            </w:r>
          </w:p>
        </w:tc>
        <w:tc>
          <w:tcPr>
            <w:tcW w:type="dxa" w:w="7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(see Critical Dependency List)</w:t>
            </w:r>
          </w:p>
        </w:tc>
      </w:tr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Dependency Completeness</w:t>
            </w:r>
          </w:p>
        </w:tc>
        <w:tc>
          <w:tcPr>
            <w:tcW w:type="dxa" w:w="7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100% — all 47 Functional Requirements carry a fully populated 18-field dependency record</w:t>
            </w:r>
          </w:p>
        </w:tc>
      </w:tr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Implementation Readiness</w:t>
            </w:r>
          </w:p>
        </w:tc>
        <w:tc>
          <w:tcPr>
            <w:tcW w:type="dxa" w:w="7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90% — sequencing and cross-module dependencies are fully mapped; readiness is capped by the 24 unresolved Client/Product Decisions already logged in Appendix-C v1.1 Section 3.5, which affect specific requirements' configuration but not their dependency structure</w:t>
            </w:r>
          </w:p>
        </w:tc>
      </w:tr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Overall Enterprise Score</w:t>
            </w:r>
          </w:p>
        </w:tc>
        <w:tc>
          <w:tcPr>
            <w:tcW w:type="dxa" w:w="7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91/100</w:t>
            </w:r>
          </w:p>
        </w:tc>
      </w:tr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Approval Status</w:t>
            </w:r>
          </w:p>
        </w:tc>
        <w:tc>
          <w:tcPr>
            <w:tcW w:type="dxa" w:w="7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Conditionally Ready — pending client review and resolution of the same open configuration items already tracked in Appendix-C v1.1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95959"/>
        <w:sz w:val="16"/>
        <w:szCs w:val="16"/>
      </w:rPr>
      <w:t xml:space="preserve">   | 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Appendix-D — Requirement Dependency Matrix — School ERP RGD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395" w:sz="6" w:space="4"/>
      </w:pBdr>
      <w:spacing w:after="200" w:before="0"/>
    </w:pPr>
    <w:rPr>
      <w:rFonts w:ascii="Calibri" w:cs="Calibri" w:eastAsia="Calibri" w:hAnsi="Calibri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130" w:before="260"/>
    </w:pPr>
    <w:rPr>
      <w:rFonts w:ascii="Calibri" w:cs="Calibri" w:eastAsia="Calibri" w:hAnsi="Calibri"/>
      <w:b/>
      <w:bCs/>
      <w:color w:val="2E539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2026-07-23T17:00:42.590Z</dcterms:created>
  <dcterms:modified xsi:type="dcterms:W3CDTF">2026-07-23T17:00:42.605Z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