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C"/>
          <w:sz w:val="36"/>
          <w:szCs w:val="36"/>
        </w:rPr>
        <w:t xml:space="preserve">Donor Partner Research Agent</w:t>
      </w:r>
    </w:p>
    <w:p>
      <w:pPr>
        <w:spacing w:after="400"/>
      </w:pPr>
      <w:r>
        <w:rPr>
          <w:i/>
          <w:iCs/>
          <w:color w:val="595959"/>
          <w:sz w:val="24"/>
          <w:szCs w:val="24"/>
        </w:rPr>
        <w:t xml:space="preserve">Build Plan, Architecture, Tools &amp; Step-by-Step Execution</w:t>
      </w:r>
    </w:p>
    <w:p>
      <w:pPr>
        <w:pStyle w:val="Heading1"/>
        <w:spacing w:after="200" w:before="400"/>
      </w:pPr>
      <w:r>
        <w:t xml:space="preserve">1. Purpose of This Document</w:t>
      </w:r>
    </w:p>
    <w:p>
      <w:pPr>
        <w:spacing w:after="160"/>
        <w:jc w:val="both"/>
      </w:pPr>
      <w:r>
        <w:rPr>
          <w:sz w:val="22"/>
          <w:szCs w:val="22"/>
        </w:rPr>
        <w:t xml:space="preserve">This document lays out the complete build plan for the Donor Partner Research &amp; CRM Preparation Agent: the overall architecture, the tools and frameworks used, which components are true AI agents versus plain logic, and a day-by-day sequence for building the system. It is meant to be used as a working reference during development and as a teaching aid when explaining the build to the wider team.</w:t>
      </w:r>
    </w:p>
    <w:p>
      <w:pPr>
        <w:pStyle w:val="Heading1"/>
        <w:spacing w:after="200" w:before="400"/>
      </w:pPr>
      <w:r>
        <w:t xml:space="preserve">2. High-Level Architecture</w:t>
      </w:r>
    </w:p>
    <w:p>
      <w:pPr>
        <w:spacing w:after="160"/>
        <w:jc w:val="both"/>
      </w:pPr>
      <w:r>
        <w:rPr>
          <w:sz w:val="22"/>
          <w:szCs w:val="22"/>
        </w:rPr>
        <w:t xml:space="preserve">The system is organised around one central idea: a shared database acts as the single source of truth. No component keeps its own private memory. Every agent and module reads from and writes to this shared state, which keeps the system consistent, auditable, and easy to debug.</w:t>
      </w:r>
    </w:p>
    <w:p>
      <w:pPr>
        <w:spacing w:after="200"/>
      </w:pPr>
      <w:r>
        <w:rPr>
          <w:rFonts w:ascii="Consolas" w:cs="Consolas" w:eastAsia="Consolas" w:hAnsi="Consolas"/>
          <w:sz w:val="20"/>
          <w:szCs w:val="20"/>
        </w:rPr>
        <w:t xml:space="preserve">Input  →  4 AI Agents  →  6 Logic Modules  →  Zoho CRM
                    ↕
            PostgreSQL (Shared State)</w:t>
      </w:r>
    </w:p>
    <w:p>
      <w:pPr>
        <w:spacing w:after="160"/>
        <w:jc w:val="both"/>
      </w:pPr>
      <w:r>
        <w:rPr>
          <w:sz w:val="22"/>
          <w:szCs w:val="22"/>
        </w:rPr>
        <w:t xml:space="preserve">The flow is intentionally linear and sequential rather than a web of agents negotiating with each other. This keeps the system predictable, testable, and appropriate for a compliance-sensitive use case like CRM data preparation.</w:t>
      </w:r>
    </w:p>
    <w:p>
      <w:pPr>
        <w:pStyle w:val="Heading1"/>
        <w:spacing w:after="200" w:before="400"/>
      </w:pPr>
      <w:r>
        <w:t xml:space="preserve">3. Tools &amp; Framework — Final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F4E5C" w:val="clear"/>
            <w:tcMar>
              <w:top w:type="dxa" w:w="80"/>
              <w:left w:type="dxa" w:w="100"/>
              <w:bottom w:type="dxa" w:w="80"/>
              <w:right w:type="dxa" w:w="100"/>
            </w:tcMar>
          </w:tcPr>
          <w:p>
            <w:r>
              <w:rPr>
                <w:b/>
                <w:bCs/>
                <w:color w:val="FFFFFF"/>
                <w:sz w:val="20"/>
                <w:szCs w:val="20"/>
              </w:rPr>
              <w:t xml:space="preserve">Layer</w:t>
            </w:r>
          </w:p>
        </w:tc>
        <w:tc>
          <w:tcPr>
            <w:tcW w:type="dxa" w:w="3400"/>
            <w:shd w:fill="1F4E5C" w:val="clear"/>
            <w:tcMar>
              <w:top w:type="dxa" w:w="80"/>
              <w:left w:type="dxa" w:w="100"/>
              <w:bottom w:type="dxa" w:w="80"/>
              <w:right w:type="dxa" w:w="100"/>
            </w:tcMar>
          </w:tcPr>
          <w:p>
            <w:r>
              <w:rPr>
                <w:b/>
                <w:bCs/>
                <w:color w:val="FFFFFF"/>
                <w:sz w:val="20"/>
                <w:szCs w:val="20"/>
              </w:rPr>
              <w:t xml:space="preserve">Tool</w:t>
            </w:r>
          </w:p>
        </w:tc>
        <w:tc>
          <w:tcPr>
            <w:tcW w:type="dxa" w:w="3750"/>
            <w:shd w:fill="1F4E5C" w:val="clear"/>
            <w:tcMar>
              <w:top w:type="dxa" w:w="80"/>
              <w:left w:type="dxa" w:w="100"/>
              <w:bottom w:type="dxa" w:w="80"/>
              <w:right w:type="dxa" w:w="100"/>
            </w:tcMar>
          </w:tcPr>
          <w:p>
            <w:r>
              <w:rPr>
                <w:b/>
                <w:bCs/>
                <w:color w:val="FFFFFF"/>
                <w:sz w:val="20"/>
                <w:szCs w:val="20"/>
              </w:rPr>
              <w:t xml:space="preserve">Why</w:t>
            </w:r>
          </w:p>
        </w:tc>
      </w:tr>
      <w:tr>
        <w:tc>
          <w:tcPr>
            <w:tcW w:type="dxa" w:w="2200"/>
            <w:tcMar>
              <w:top w:type="dxa" w:w="80"/>
              <w:left w:type="dxa" w:w="100"/>
              <w:bottom w:type="dxa" w:w="80"/>
              <w:right w:type="dxa" w:w="100"/>
            </w:tcMar>
          </w:tcPr>
          <w:p>
            <w:r>
              <w:rPr>
                <w:sz w:val="20"/>
                <w:szCs w:val="20"/>
              </w:rPr>
              <w:t xml:space="preserve">Language</w:t>
            </w:r>
          </w:p>
        </w:tc>
        <w:tc>
          <w:tcPr>
            <w:tcW w:type="dxa" w:w="3400"/>
            <w:tcMar>
              <w:top w:type="dxa" w:w="80"/>
              <w:left w:type="dxa" w:w="100"/>
              <w:bottom w:type="dxa" w:w="80"/>
              <w:right w:type="dxa" w:w="100"/>
            </w:tcMar>
          </w:tcPr>
          <w:p>
            <w:r>
              <w:rPr>
                <w:sz w:val="20"/>
                <w:szCs w:val="20"/>
              </w:rPr>
              <w:t xml:space="preserve">Python</w:t>
            </w:r>
          </w:p>
        </w:tc>
        <w:tc>
          <w:tcPr>
            <w:tcW w:type="dxa" w:w="3750"/>
            <w:tcMar>
              <w:top w:type="dxa" w:w="80"/>
              <w:left w:type="dxa" w:w="100"/>
              <w:bottom w:type="dxa" w:w="80"/>
              <w:right w:type="dxa" w:w="100"/>
            </w:tcMar>
          </w:tcPr>
          <w:p>
            <w:r>
              <w:rPr>
                <w:sz w:val="20"/>
                <w:szCs w:val="20"/>
              </w:rPr>
              <w:t xml:space="preserve">Mature ecosystem, team familiarity</w:t>
            </w:r>
          </w:p>
        </w:tc>
      </w:tr>
      <w:tr>
        <w:tc>
          <w:tcPr>
            <w:tcW w:type="dxa" w:w="2200"/>
            <w:tcMar>
              <w:top w:type="dxa" w:w="80"/>
              <w:left w:type="dxa" w:w="100"/>
              <w:bottom w:type="dxa" w:w="80"/>
              <w:right w:type="dxa" w:w="100"/>
            </w:tcMar>
          </w:tcPr>
          <w:p>
            <w:r>
              <w:rPr>
                <w:sz w:val="20"/>
                <w:szCs w:val="20"/>
              </w:rPr>
              <w:t xml:space="preserve">LLM</w:t>
            </w:r>
          </w:p>
        </w:tc>
        <w:tc>
          <w:tcPr>
            <w:tcW w:type="dxa" w:w="3400"/>
            <w:tcMar>
              <w:top w:type="dxa" w:w="80"/>
              <w:left w:type="dxa" w:w="100"/>
              <w:bottom w:type="dxa" w:w="80"/>
              <w:right w:type="dxa" w:w="100"/>
            </w:tcMar>
          </w:tcPr>
          <w:p>
            <w:r>
              <w:rPr>
                <w:sz w:val="20"/>
                <w:szCs w:val="20"/>
              </w:rPr>
              <w:t xml:space="preserve">Claude API (Sonnet)</w:t>
            </w:r>
          </w:p>
        </w:tc>
        <w:tc>
          <w:tcPr>
            <w:tcW w:type="dxa" w:w="3750"/>
            <w:tcMar>
              <w:top w:type="dxa" w:w="80"/>
              <w:left w:type="dxa" w:w="100"/>
              <w:bottom w:type="dxa" w:w="80"/>
              <w:right w:type="dxa" w:w="100"/>
            </w:tcMar>
          </w:tcPr>
          <w:p>
            <w:r>
              <w:rPr>
                <w:sz w:val="20"/>
                <w:szCs w:val="20"/>
              </w:rPr>
              <w:t xml:space="preserve">Strong reasoning and structured output quality</w:t>
            </w:r>
          </w:p>
        </w:tc>
      </w:tr>
      <w:tr>
        <w:tc>
          <w:tcPr>
            <w:tcW w:type="dxa" w:w="2200"/>
            <w:tcMar>
              <w:top w:type="dxa" w:w="80"/>
              <w:left w:type="dxa" w:w="100"/>
              <w:bottom w:type="dxa" w:w="80"/>
              <w:right w:type="dxa" w:w="100"/>
            </w:tcMar>
          </w:tcPr>
          <w:p>
            <w:r>
              <w:rPr>
                <w:sz w:val="20"/>
                <w:szCs w:val="20"/>
              </w:rPr>
              <w:t xml:space="preserve">Data Validation</w:t>
            </w:r>
          </w:p>
        </w:tc>
        <w:tc>
          <w:tcPr>
            <w:tcW w:type="dxa" w:w="3400"/>
            <w:tcMar>
              <w:top w:type="dxa" w:w="80"/>
              <w:left w:type="dxa" w:w="100"/>
              <w:bottom w:type="dxa" w:w="80"/>
              <w:right w:type="dxa" w:w="100"/>
            </w:tcMar>
          </w:tcPr>
          <w:p>
            <w:r>
              <w:rPr>
                <w:sz w:val="20"/>
                <w:szCs w:val="20"/>
              </w:rPr>
              <w:t xml:space="preserve">Pydantic</w:t>
            </w:r>
          </w:p>
        </w:tc>
        <w:tc>
          <w:tcPr>
            <w:tcW w:type="dxa" w:w="3750"/>
            <w:tcMar>
              <w:top w:type="dxa" w:w="80"/>
              <w:left w:type="dxa" w:w="100"/>
              <w:bottom w:type="dxa" w:w="80"/>
              <w:right w:type="dxa" w:w="100"/>
            </w:tcMar>
          </w:tcPr>
          <w:p>
            <w:r>
              <w:rPr>
                <w:sz w:val="20"/>
                <w:szCs w:val="20"/>
              </w:rPr>
              <w:t xml:space="preserve">Enforces structured, schema-checked output; core hallucination guard</w:t>
            </w:r>
          </w:p>
        </w:tc>
      </w:tr>
      <w:tr>
        <w:tc>
          <w:tcPr>
            <w:tcW w:type="dxa" w:w="2200"/>
            <w:tcMar>
              <w:top w:type="dxa" w:w="80"/>
              <w:left w:type="dxa" w:w="100"/>
              <w:bottom w:type="dxa" w:w="80"/>
              <w:right w:type="dxa" w:w="100"/>
            </w:tcMar>
          </w:tcPr>
          <w:p>
            <w:r>
              <w:rPr>
                <w:sz w:val="20"/>
                <w:szCs w:val="20"/>
              </w:rPr>
              <w:t xml:space="preserve">Backend / API</w:t>
            </w:r>
          </w:p>
        </w:tc>
        <w:tc>
          <w:tcPr>
            <w:tcW w:type="dxa" w:w="3400"/>
            <w:tcMar>
              <w:top w:type="dxa" w:w="80"/>
              <w:left w:type="dxa" w:w="100"/>
              <w:bottom w:type="dxa" w:w="80"/>
              <w:right w:type="dxa" w:w="100"/>
            </w:tcMar>
          </w:tcPr>
          <w:p>
            <w:r>
              <w:rPr>
                <w:sz w:val="20"/>
                <w:szCs w:val="20"/>
              </w:rPr>
              <w:t xml:space="preserve">FastAPI</w:t>
            </w:r>
          </w:p>
        </w:tc>
        <w:tc>
          <w:tcPr>
            <w:tcW w:type="dxa" w:w="3750"/>
            <w:tcMar>
              <w:top w:type="dxa" w:w="80"/>
              <w:left w:type="dxa" w:w="100"/>
              <w:bottom w:type="dxa" w:w="80"/>
              <w:right w:type="dxa" w:w="100"/>
            </w:tcMar>
          </w:tcPr>
          <w:p>
            <w:r>
              <w:rPr>
                <w:sz w:val="20"/>
                <w:szCs w:val="20"/>
              </w:rPr>
              <w:t xml:space="preserve">Lightweight, easy to expose approval and pipeline endpoints</w:t>
            </w:r>
          </w:p>
        </w:tc>
      </w:tr>
      <w:tr>
        <w:tc>
          <w:tcPr>
            <w:tcW w:type="dxa" w:w="2200"/>
            <w:tcMar>
              <w:top w:type="dxa" w:w="80"/>
              <w:left w:type="dxa" w:w="100"/>
              <w:bottom w:type="dxa" w:w="80"/>
              <w:right w:type="dxa" w:w="100"/>
            </w:tcMar>
          </w:tcPr>
          <w:p>
            <w:r>
              <w:rPr>
                <w:sz w:val="20"/>
                <w:szCs w:val="20"/>
              </w:rPr>
              <w:t xml:space="preserve">Database</w:t>
            </w:r>
          </w:p>
        </w:tc>
        <w:tc>
          <w:tcPr>
            <w:tcW w:type="dxa" w:w="3400"/>
            <w:tcMar>
              <w:top w:type="dxa" w:w="80"/>
              <w:left w:type="dxa" w:w="100"/>
              <w:bottom w:type="dxa" w:w="80"/>
              <w:right w:type="dxa" w:w="100"/>
            </w:tcMar>
          </w:tcPr>
          <w:p>
            <w:r>
              <w:rPr>
                <w:sz w:val="20"/>
                <w:szCs w:val="20"/>
              </w:rPr>
              <w:t xml:space="preserve">PostgreSQL</w:t>
            </w:r>
          </w:p>
        </w:tc>
        <w:tc>
          <w:tcPr>
            <w:tcW w:type="dxa" w:w="3750"/>
            <w:tcMar>
              <w:top w:type="dxa" w:w="80"/>
              <w:left w:type="dxa" w:w="100"/>
              <w:bottom w:type="dxa" w:w="80"/>
              <w:right w:type="dxa" w:w="100"/>
            </w:tcMar>
          </w:tcPr>
          <w:p>
            <w:r>
              <w:rPr>
                <w:sz w:val="20"/>
                <w:szCs w:val="20"/>
              </w:rPr>
              <w:t xml:space="preserve">Shared state, audit trail, deduplication</w:t>
            </w:r>
          </w:p>
        </w:tc>
      </w:tr>
      <w:tr>
        <w:tc>
          <w:tcPr>
            <w:tcW w:type="dxa" w:w="2200"/>
            <w:tcMar>
              <w:top w:type="dxa" w:w="80"/>
              <w:left w:type="dxa" w:w="100"/>
              <w:bottom w:type="dxa" w:w="80"/>
              <w:right w:type="dxa" w:w="100"/>
            </w:tcMar>
          </w:tcPr>
          <w:p>
            <w:r>
              <w:rPr>
                <w:sz w:val="20"/>
                <w:szCs w:val="20"/>
              </w:rPr>
              <w:t xml:space="preserve">Web Research</w:t>
            </w:r>
          </w:p>
        </w:tc>
        <w:tc>
          <w:tcPr>
            <w:tcW w:type="dxa" w:w="3400"/>
            <w:tcMar>
              <w:top w:type="dxa" w:w="80"/>
              <w:left w:type="dxa" w:w="100"/>
              <w:bottom w:type="dxa" w:w="80"/>
              <w:right w:type="dxa" w:w="100"/>
            </w:tcMar>
          </w:tcPr>
          <w:p>
            <w:r>
              <w:rPr>
                <w:sz w:val="20"/>
                <w:szCs w:val="20"/>
              </w:rPr>
              <w:t xml:space="preserve">Tavily / Serper API or Claude's built-in web search</w:t>
            </w:r>
          </w:p>
        </w:tc>
        <w:tc>
          <w:tcPr>
            <w:tcW w:type="dxa" w:w="3750"/>
            <w:tcMar>
              <w:top w:type="dxa" w:w="80"/>
              <w:left w:type="dxa" w:w="100"/>
              <w:bottom w:type="dxa" w:w="80"/>
              <w:right w:type="dxa" w:w="100"/>
            </w:tcMar>
          </w:tcPr>
          <w:p>
            <w:r>
              <w:rPr>
                <w:sz w:val="20"/>
                <w:szCs w:val="20"/>
              </w:rPr>
              <w:t xml:space="preserve">Structured, citable search results</w:t>
            </w:r>
          </w:p>
        </w:tc>
      </w:tr>
      <w:tr>
        <w:tc>
          <w:tcPr>
            <w:tcW w:type="dxa" w:w="2200"/>
            <w:tcMar>
              <w:top w:type="dxa" w:w="80"/>
              <w:left w:type="dxa" w:w="100"/>
              <w:bottom w:type="dxa" w:w="80"/>
              <w:right w:type="dxa" w:w="100"/>
            </w:tcMar>
          </w:tcPr>
          <w:p>
            <w:r>
              <w:rPr>
                <w:sz w:val="20"/>
                <w:szCs w:val="20"/>
              </w:rPr>
              <w:t xml:space="preserve">PDF Extraction</w:t>
            </w:r>
          </w:p>
        </w:tc>
        <w:tc>
          <w:tcPr>
            <w:tcW w:type="dxa" w:w="3400"/>
            <w:tcMar>
              <w:top w:type="dxa" w:w="80"/>
              <w:left w:type="dxa" w:w="100"/>
              <w:bottom w:type="dxa" w:w="80"/>
              <w:right w:type="dxa" w:w="100"/>
            </w:tcMar>
          </w:tcPr>
          <w:p>
            <w:r>
              <w:rPr>
                <w:sz w:val="20"/>
                <w:szCs w:val="20"/>
              </w:rPr>
              <w:t xml:space="preserve">pdfplumber / PyPDF2</w:t>
            </w:r>
          </w:p>
        </w:tc>
        <w:tc>
          <w:tcPr>
            <w:tcW w:type="dxa" w:w="3750"/>
            <w:tcMar>
              <w:top w:type="dxa" w:w="80"/>
              <w:left w:type="dxa" w:w="100"/>
              <w:bottom w:type="dxa" w:w="80"/>
              <w:right w:type="dxa" w:w="100"/>
            </w:tcMar>
          </w:tcPr>
          <w:p>
            <w:r>
              <w:rPr>
                <w:sz w:val="20"/>
                <w:szCs w:val="20"/>
              </w:rPr>
              <w:t xml:space="preserve">Parsing annual reports and CSR PDFs</w:t>
            </w:r>
          </w:p>
        </w:tc>
      </w:tr>
      <w:tr>
        <w:tc>
          <w:tcPr>
            <w:tcW w:type="dxa" w:w="2200"/>
            <w:tcMar>
              <w:top w:type="dxa" w:w="80"/>
              <w:left w:type="dxa" w:w="100"/>
              <w:bottom w:type="dxa" w:w="80"/>
              <w:right w:type="dxa" w:w="100"/>
            </w:tcMar>
          </w:tcPr>
          <w:p>
            <w:r>
              <w:rPr>
                <w:sz w:val="20"/>
                <w:szCs w:val="20"/>
              </w:rPr>
              <w:t xml:space="preserve">Orchestration</w:t>
            </w:r>
          </w:p>
        </w:tc>
        <w:tc>
          <w:tcPr>
            <w:tcW w:type="dxa" w:w="3400"/>
            <w:tcMar>
              <w:top w:type="dxa" w:w="80"/>
              <w:left w:type="dxa" w:w="100"/>
              <w:bottom w:type="dxa" w:w="80"/>
              <w:right w:type="dxa" w:w="100"/>
            </w:tcMar>
          </w:tcPr>
          <w:p>
            <w:r>
              <w:rPr>
                <w:sz w:val="20"/>
                <w:szCs w:val="20"/>
              </w:rPr>
              <w:t xml:space="preserve">Plain Python state machine</w:t>
            </w:r>
          </w:p>
        </w:tc>
        <w:tc>
          <w:tcPr>
            <w:tcW w:type="dxa" w:w="3750"/>
            <w:tcMar>
              <w:top w:type="dxa" w:w="80"/>
              <w:left w:type="dxa" w:w="100"/>
              <w:bottom w:type="dxa" w:w="80"/>
              <w:right w:type="dxa" w:w="100"/>
            </w:tcMar>
          </w:tcPr>
          <w:p>
            <w:r>
              <w:rPr>
                <w:sz w:val="20"/>
                <w:szCs w:val="20"/>
              </w:rPr>
              <w:t xml:space="preserve">Pipeline is linear — LangGraph/CrewAI would add unneeded complexity</w:t>
            </w:r>
          </w:p>
        </w:tc>
      </w:tr>
      <w:tr>
        <w:tc>
          <w:tcPr>
            <w:tcW w:type="dxa" w:w="2200"/>
            <w:tcMar>
              <w:top w:type="dxa" w:w="80"/>
              <w:left w:type="dxa" w:w="100"/>
              <w:bottom w:type="dxa" w:w="80"/>
              <w:right w:type="dxa" w:w="100"/>
            </w:tcMar>
          </w:tcPr>
          <w:p>
            <w:r>
              <w:rPr>
                <w:sz w:val="20"/>
                <w:szCs w:val="20"/>
              </w:rPr>
              <w:t xml:space="preserve">CRM Integration</w:t>
            </w:r>
          </w:p>
        </w:tc>
        <w:tc>
          <w:tcPr>
            <w:tcW w:type="dxa" w:w="3400"/>
            <w:tcMar>
              <w:top w:type="dxa" w:w="80"/>
              <w:left w:type="dxa" w:w="100"/>
              <w:bottom w:type="dxa" w:w="80"/>
              <w:right w:type="dxa" w:w="100"/>
            </w:tcMar>
          </w:tcPr>
          <w:p>
            <w:r>
              <w:rPr>
                <w:sz w:val="20"/>
                <w:szCs w:val="20"/>
              </w:rPr>
              <w:t xml:space="preserve">Zoho CRM REST API (OAuth2)</w:t>
            </w:r>
          </w:p>
        </w:tc>
        <w:tc>
          <w:tcPr>
            <w:tcW w:type="dxa" w:w="3750"/>
            <w:tcMar>
              <w:top w:type="dxa" w:w="80"/>
              <w:left w:type="dxa" w:w="100"/>
              <w:bottom w:type="dxa" w:w="80"/>
              <w:right w:type="dxa" w:w="100"/>
            </w:tcMar>
          </w:tcPr>
          <w:p>
            <w:r>
              <w:rPr>
                <w:sz w:val="20"/>
                <w:szCs w:val="20"/>
              </w:rPr>
              <w:t xml:space="preserve">Direct, native upload into existing CRM</w:t>
            </w:r>
          </w:p>
        </w:tc>
      </w:tr>
      <w:tr>
        <w:tc>
          <w:tcPr>
            <w:tcW w:type="dxa" w:w="2200"/>
            <w:tcMar>
              <w:top w:type="dxa" w:w="80"/>
              <w:left w:type="dxa" w:w="100"/>
              <w:bottom w:type="dxa" w:w="80"/>
              <w:right w:type="dxa" w:w="100"/>
            </w:tcMar>
          </w:tcPr>
          <w:p>
            <w:r>
              <w:rPr>
                <w:sz w:val="20"/>
                <w:szCs w:val="20"/>
              </w:rPr>
              <w:t xml:space="preserve">Approval UI</w:t>
            </w:r>
          </w:p>
        </w:tc>
        <w:tc>
          <w:tcPr>
            <w:tcW w:type="dxa" w:w="3400"/>
            <w:tcMar>
              <w:top w:type="dxa" w:w="80"/>
              <w:left w:type="dxa" w:w="100"/>
              <w:bottom w:type="dxa" w:w="80"/>
              <w:right w:type="dxa" w:w="100"/>
            </w:tcMar>
          </w:tcPr>
          <w:p>
            <w:r>
              <w:rPr>
                <w:sz w:val="20"/>
                <w:szCs w:val="20"/>
              </w:rPr>
              <w:t xml:space="preserve">Simple React table, or a Google Sheet for the MVP</w:t>
            </w:r>
          </w:p>
        </w:tc>
        <w:tc>
          <w:tcPr>
            <w:tcW w:type="dxa" w:w="3750"/>
            <w:tcMar>
              <w:top w:type="dxa" w:w="80"/>
              <w:left w:type="dxa" w:w="100"/>
              <w:bottom w:type="dxa" w:w="80"/>
              <w:right w:type="dxa" w:w="100"/>
            </w:tcMar>
          </w:tcPr>
          <w:p>
            <w:r>
              <w:rPr>
                <w:sz w:val="20"/>
                <w:szCs w:val="20"/>
              </w:rPr>
              <w:t xml:space="preserve">Human review before any CRM write</w:t>
            </w:r>
          </w:p>
        </w:tc>
      </w:tr>
      <w:tr>
        <w:tc>
          <w:tcPr>
            <w:tcW w:type="dxa" w:w="2200"/>
            <w:tcMar>
              <w:top w:type="dxa" w:w="80"/>
              <w:left w:type="dxa" w:w="100"/>
              <w:bottom w:type="dxa" w:w="80"/>
              <w:right w:type="dxa" w:w="100"/>
            </w:tcMar>
          </w:tcPr>
          <w:p>
            <w:r>
              <w:rPr>
                <w:sz w:val="20"/>
                <w:szCs w:val="20"/>
              </w:rPr>
              <w:t xml:space="preserve">Environment</w:t>
            </w:r>
          </w:p>
        </w:tc>
        <w:tc>
          <w:tcPr>
            <w:tcW w:type="dxa" w:w="3400"/>
            <w:tcMar>
              <w:top w:type="dxa" w:w="80"/>
              <w:left w:type="dxa" w:w="100"/>
              <w:bottom w:type="dxa" w:w="80"/>
              <w:right w:type="dxa" w:w="100"/>
            </w:tcMar>
          </w:tcPr>
          <w:p>
            <w:r>
              <w:rPr>
                <w:sz w:val="20"/>
                <w:szCs w:val="20"/>
              </w:rPr>
              <w:t xml:space="preserve">VS Code, Windows (D: drive)</w:t>
            </w:r>
          </w:p>
        </w:tc>
        <w:tc>
          <w:tcPr>
            <w:tcW w:type="dxa" w:w="3750"/>
            <w:tcMar>
              <w:top w:type="dxa" w:w="80"/>
              <w:left w:type="dxa" w:w="100"/>
              <w:bottom w:type="dxa" w:w="80"/>
              <w:right w:type="dxa" w:w="100"/>
            </w:tcMar>
          </w:tcPr>
          <w:p>
            <w:r>
              <w:rPr>
                <w:sz w:val="20"/>
                <w:szCs w:val="20"/>
              </w:rPr>
              <w:t xml:space="preserve">Existing development setup</w:t>
            </w:r>
          </w:p>
        </w:tc>
      </w:tr>
    </w:tbl>
    <w:p>
      <w:pPr>
        <w:spacing w:after="160"/>
        <w:jc w:val="both"/>
      </w:pPr>
      <w:r>
        <w:rPr>
          <w:sz w:val="22"/>
          <w:szCs w:val="22"/>
        </w:rPr>
        <w:t xml:space="preserve">Note on orchestration: heavier multi-agent frameworks such as LangGraph or CrewAI are deliberately not used here. This pipeline does not require agents to debate, retry in loops, or dynamically choose their own next step — it is a fixed sequence of stages. A plain Python controller is easier to read, debug, and hand over to any developer, and avoids adding a dependency that solves problems this project doesn't have.</w:t>
      </w:r>
    </w:p>
    <w:p>
      <w:r>
        <w:br w:type="page"/>
      </w:r>
    </w:p>
    <w:p>
      <w:pPr>
        <w:pStyle w:val="Heading1"/>
        <w:spacing w:after="200" w:before="400"/>
      </w:pPr>
      <w:r>
        <w:t xml:space="preserve">4. What Is a True AI Agent vs. a Plain Module</w:t>
      </w:r>
    </w:p>
    <w:p>
      <w:pPr>
        <w:spacing w:after="160"/>
        <w:jc w:val="both"/>
      </w:pPr>
      <w:r>
        <w:rPr>
          <w:sz w:val="22"/>
          <w:szCs w:val="22"/>
        </w:rPr>
        <w:t xml:space="preserve">Not every component in this system is an "agent." Only the parts that require the AI to interpret, judge, or reason over unstructured information are true agents. The rest are deterministic code with fixed rules — no AI judgment involved. This distinction keeps the system easier to trust, test, and explain.</w:t>
      </w:r>
    </w:p>
    <w:p>
      <w:pPr>
        <w:pStyle w:val="Heading2"/>
        <w:spacing w:after="150" w:before="300"/>
      </w:pPr>
      <w:r>
        <w:t xml:space="preserve">4.1 True Agents — AI-Driven, Decision Making (4 total)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50"/>
        <w:gridCol w:w="6200"/>
      </w:tblGrid>
      <w:tr>
        <w:trPr>
          <w:tblHeader/>
        </w:trPr>
        <w:tc>
          <w:tcPr>
            <w:tcW w:type="dxa" w:w="500"/>
            <w:shd w:fill="1F4E5C" w:val="clear"/>
            <w:tcMar>
              <w:top w:type="dxa" w:w="80"/>
              <w:left w:type="dxa" w:w="100"/>
              <w:bottom w:type="dxa" w:w="80"/>
              <w:right w:type="dxa" w:w="100"/>
            </w:tcMar>
          </w:tcPr>
          <w:p>
            <w:r>
              <w:rPr>
                <w:b/>
                <w:bCs/>
                <w:color w:val="FFFFFF"/>
                <w:sz w:val="20"/>
                <w:szCs w:val="20"/>
              </w:rPr>
              <w:t xml:space="preserve">#</w:t>
            </w:r>
          </w:p>
        </w:tc>
        <w:tc>
          <w:tcPr>
            <w:tcW w:type="dxa" w:w="2650"/>
            <w:shd w:fill="1F4E5C" w:val="clear"/>
            <w:tcMar>
              <w:top w:type="dxa" w:w="80"/>
              <w:left w:type="dxa" w:w="100"/>
              <w:bottom w:type="dxa" w:w="80"/>
              <w:right w:type="dxa" w:w="100"/>
            </w:tcMar>
          </w:tcPr>
          <w:p>
            <w:r>
              <w:rPr>
                <w:b/>
                <w:bCs/>
                <w:color w:val="FFFFFF"/>
                <w:sz w:val="20"/>
                <w:szCs w:val="20"/>
              </w:rPr>
              <w:t xml:space="preserve">Agent</w:t>
            </w:r>
          </w:p>
        </w:tc>
        <w:tc>
          <w:tcPr>
            <w:tcW w:type="dxa" w:w="6200"/>
            <w:shd w:fill="1F4E5C" w:val="clear"/>
            <w:tcMar>
              <w:top w:type="dxa" w:w="80"/>
              <w:left w:type="dxa" w:w="100"/>
              <w:bottom w:type="dxa" w:w="80"/>
              <w:right w:type="dxa" w:w="100"/>
            </w:tcMar>
          </w:tcPr>
          <w:p>
            <w:r>
              <w:rPr>
                <w:b/>
                <w:bCs/>
                <w:color w:val="FFFFFF"/>
                <w:sz w:val="20"/>
                <w:szCs w:val="20"/>
              </w:rPr>
              <w:t xml:space="preserve">What It Does</w:t>
            </w:r>
          </w:p>
        </w:tc>
      </w:tr>
      <w:tr>
        <w:tc>
          <w:tcPr>
            <w:tcW w:type="dxa" w:w="500"/>
            <w:tcMar>
              <w:top w:type="dxa" w:w="80"/>
              <w:left w:type="dxa" w:w="100"/>
              <w:bottom w:type="dxa" w:w="80"/>
              <w:right w:type="dxa" w:w="100"/>
            </w:tcMar>
          </w:tcPr>
          <w:p>
            <w:r>
              <w:rPr>
                <w:sz w:val="20"/>
                <w:szCs w:val="20"/>
              </w:rPr>
              <w:t xml:space="preserve">1</w:t>
            </w:r>
          </w:p>
        </w:tc>
        <w:tc>
          <w:tcPr>
            <w:tcW w:type="dxa" w:w="2650"/>
            <w:tcMar>
              <w:top w:type="dxa" w:w="80"/>
              <w:left w:type="dxa" w:w="100"/>
              <w:bottom w:type="dxa" w:w="80"/>
              <w:right w:type="dxa" w:w="100"/>
            </w:tcMar>
          </w:tcPr>
          <w:p>
            <w:r>
              <w:rPr>
                <w:sz w:val="20"/>
                <w:szCs w:val="20"/>
              </w:rPr>
              <w:t xml:space="preserve">Research Agent</w:t>
            </w:r>
          </w:p>
        </w:tc>
        <w:tc>
          <w:tcPr>
            <w:tcW w:type="dxa" w:w="6200"/>
            <w:tcMar>
              <w:top w:type="dxa" w:w="80"/>
              <w:left w:type="dxa" w:w="100"/>
              <w:bottom w:type="dxa" w:w="80"/>
              <w:right w:type="dxa" w:w="100"/>
            </w:tcMar>
          </w:tcPr>
          <w:p>
            <w:r>
              <w:rPr>
                <w:sz w:val="20"/>
                <w:szCs w:val="20"/>
              </w:rPr>
              <w:t xml:space="preserve">Reads web pages / PDF text and extracts structured company fields (CSR spend, themes, geography, etc.)</w:t>
            </w:r>
          </w:p>
        </w:tc>
      </w:tr>
      <w:tr>
        <w:tc>
          <w:tcPr>
            <w:tcW w:type="dxa" w:w="500"/>
            <w:tcMar>
              <w:top w:type="dxa" w:w="80"/>
              <w:left w:type="dxa" w:w="100"/>
              <w:bottom w:type="dxa" w:w="80"/>
              <w:right w:type="dxa" w:w="100"/>
            </w:tcMar>
          </w:tcPr>
          <w:p>
            <w:r>
              <w:rPr>
                <w:sz w:val="20"/>
                <w:szCs w:val="20"/>
              </w:rPr>
              <w:t xml:space="preserve">2</w:t>
            </w:r>
          </w:p>
        </w:tc>
        <w:tc>
          <w:tcPr>
            <w:tcW w:type="dxa" w:w="2650"/>
            <w:tcMar>
              <w:top w:type="dxa" w:w="80"/>
              <w:left w:type="dxa" w:w="100"/>
              <w:bottom w:type="dxa" w:w="80"/>
              <w:right w:type="dxa" w:w="100"/>
            </w:tcMar>
          </w:tcPr>
          <w:p>
            <w:r>
              <w:rPr>
                <w:sz w:val="20"/>
                <w:szCs w:val="20"/>
              </w:rPr>
              <w:t xml:space="preserve">Scoring Agent</w:t>
            </w:r>
          </w:p>
        </w:tc>
        <w:tc>
          <w:tcPr>
            <w:tcW w:type="dxa" w:w="6200"/>
            <w:tcMar>
              <w:top w:type="dxa" w:w="80"/>
              <w:left w:type="dxa" w:w="100"/>
              <w:bottom w:type="dxa" w:w="80"/>
              <w:right w:type="dxa" w:w="100"/>
            </w:tcMar>
          </w:tcPr>
          <w:p>
            <w:r>
              <w:rPr>
                <w:sz w:val="20"/>
                <w:szCs w:val="20"/>
              </w:rPr>
              <w:t xml:space="preserve">Rates each ICP factor with reasoning; the AI judges qualitative fit, while the final score is calculated by fixed code</w:t>
            </w:r>
          </w:p>
        </w:tc>
      </w:tr>
      <w:tr>
        <w:tc>
          <w:tcPr>
            <w:tcW w:type="dxa" w:w="500"/>
            <w:tcMar>
              <w:top w:type="dxa" w:w="80"/>
              <w:left w:type="dxa" w:w="100"/>
              <w:bottom w:type="dxa" w:w="80"/>
              <w:right w:type="dxa" w:w="100"/>
            </w:tcMar>
          </w:tcPr>
          <w:p>
            <w:r>
              <w:rPr>
                <w:sz w:val="20"/>
                <w:szCs w:val="20"/>
              </w:rPr>
              <w:t xml:space="preserve">3</w:t>
            </w:r>
          </w:p>
        </w:tc>
        <w:tc>
          <w:tcPr>
            <w:tcW w:type="dxa" w:w="2650"/>
            <w:tcMar>
              <w:top w:type="dxa" w:w="80"/>
              <w:left w:type="dxa" w:w="100"/>
              <w:bottom w:type="dxa" w:w="80"/>
              <w:right w:type="dxa" w:w="100"/>
            </w:tcMar>
          </w:tcPr>
          <w:p>
            <w:r>
              <w:rPr>
                <w:sz w:val="20"/>
                <w:szCs w:val="20"/>
              </w:rPr>
              <w:t xml:space="preserve">Contact Discovery Agent</w:t>
            </w:r>
          </w:p>
        </w:tc>
        <w:tc>
          <w:tcPr>
            <w:tcW w:type="dxa" w:w="6200"/>
            <w:tcMar>
              <w:top w:type="dxa" w:w="80"/>
              <w:left w:type="dxa" w:w="100"/>
              <w:bottom w:type="dxa" w:w="80"/>
              <w:right w:type="dxa" w:w="100"/>
            </w:tcMar>
          </w:tcPr>
          <w:p>
            <w:r>
              <w:rPr>
                <w:sz w:val="20"/>
                <w:szCs w:val="20"/>
              </w:rPr>
              <w:t xml:space="preserve">Identifies likely decision-maker roles and extracts contact details from permitted source text</w:t>
            </w:r>
          </w:p>
        </w:tc>
      </w:tr>
      <w:tr>
        <w:tc>
          <w:tcPr>
            <w:tcW w:type="dxa" w:w="500"/>
            <w:tcMar>
              <w:top w:type="dxa" w:w="80"/>
              <w:left w:type="dxa" w:w="100"/>
              <w:bottom w:type="dxa" w:w="80"/>
              <w:right w:type="dxa" w:w="100"/>
            </w:tcMar>
          </w:tcPr>
          <w:p>
            <w:r>
              <w:rPr>
                <w:sz w:val="20"/>
                <w:szCs w:val="20"/>
              </w:rPr>
              <w:t xml:space="preserve">4</w:t>
            </w:r>
          </w:p>
        </w:tc>
        <w:tc>
          <w:tcPr>
            <w:tcW w:type="dxa" w:w="2650"/>
            <w:tcMar>
              <w:top w:type="dxa" w:w="80"/>
              <w:left w:type="dxa" w:w="100"/>
              <w:bottom w:type="dxa" w:w="80"/>
              <w:right w:type="dxa" w:w="100"/>
            </w:tcMar>
          </w:tcPr>
          <w:p>
            <w:r>
              <w:rPr>
                <w:sz w:val="20"/>
                <w:szCs w:val="20"/>
              </w:rPr>
              <w:t xml:space="preserve">Compliance / Validation Agent</w:t>
            </w:r>
          </w:p>
        </w:tc>
        <w:tc>
          <w:tcPr>
            <w:tcW w:type="dxa" w:w="6200"/>
            <w:tcMar>
              <w:top w:type="dxa" w:w="80"/>
              <w:left w:type="dxa" w:w="100"/>
              <w:bottom w:type="dxa" w:w="80"/>
              <w:right w:type="dxa" w:w="100"/>
            </w:tcMar>
          </w:tcPr>
          <w:p>
            <w:r>
              <w:rPr>
                <w:sz w:val="20"/>
                <w:szCs w:val="20"/>
              </w:rPr>
              <w:t xml:space="preserve">Assesses data quality — checks whether a source is valid and assigns a confidence level</w:t>
            </w:r>
          </w:p>
        </w:tc>
      </w:tr>
    </w:tbl>
    <w:p>
      <w:pPr>
        <w:pStyle w:val="Heading2"/>
        <w:spacing w:after="150" w:before="300"/>
      </w:pPr>
      <w:r>
        <w:t xml:space="preserve">4.2 Plain Code / Logic Modules — Deterministic, No AI Judgment (6 total)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50"/>
        <w:gridCol w:w="6200"/>
      </w:tblGrid>
      <w:tr>
        <w:trPr>
          <w:tblHeader/>
        </w:trPr>
        <w:tc>
          <w:tcPr>
            <w:tcW w:type="dxa" w:w="500"/>
            <w:shd w:fill="1F4E5C" w:val="clear"/>
            <w:tcMar>
              <w:top w:type="dxa" w:w="80"/>
              <w:left w:type="dxa" w:w="100"/>
              <w:bottom w:type="dxa" w:w="80"/>
              <w:right w:type="dxa" w:w="100"/>
            </w:tcMar>
          </w:tcPr>
          <w:p>
            <w:r>
              <w:rPr>
                <w:b/>
                <w:bCs/>
                <w:color w:val="FFFFFF"/>
                <w:sz w:val="20"/>
                <w:szCs w:val="20"/>
              </w:rPr>
              <w:t xml:space="preserve">#</w:t>
            </w:r>
          </w:p>
        </w:tc>
        <w:tc>
          <w:tcPr>
            <w:tcW w:type="dxa" w:w="2650"/>
            <w:shd w:fill="1F4E5C" w:val="clear"/>
            <w:tcMar>
              <w:top w:type="dxa" w:w="80"/>
              <w:left w:type="dxa" w:w="100"/>
              <w:bottom w:type="dxa" w:w="80"/>
              <w:right w:type="dxa" w:w="100"/>
            </w:tcMar>
          </w:tcPr>
          <w:p>
            <w:r>
              <w:rPr>
                <w:b/>
                <w:bCs/>
                <w:color w:val="FFFFFF"/>
                <w:sz w:val="20"/>
                <w:szCs w:val="20"/>
              </w:rPr>
              <w:t xml:space="preserve">Module</w:t>
            </w:r>
          </w:p>
        </w:tc>
        <w:tc>
          <w:tcPr>
            <w:tcW w:type="dxa" w:w="6200"/>
            <w:shd w:fill="1F4E5C" w:val="clear"/>
            <w:tcMar>
              <w:top w:type="dxa" w:w="80"/>
              <w:left w:type="dxa" w:w="100"/>
              <w:bottom w:type="dxa" w:w="80"/>
              <w:right w:type="dxa" w:w="100"/>
            </w:tcMar>
          </w:tcPr>
          <w:p>
            <w:r>
              <w:rPr>
                <w:b/>
                <w:bCs/>
                <w:color w:val="FFFFFF"/>
                <w:sz w:val="20"/>
                <w:szCs w:val="20"/>
              </w:rPr>
              <w:t xml:space="preserve">Why It Is Not an Agent</w:t>
            </w:r>
          </w:p>
        </w:tc>
      </w:tr>
      <w:tr>
        <w:tc>
          <w:tcPr>
            <w:tcW w:type="dxa" w:w="500"/>
            <w:tcMar>
              <w:top w:type="dxa" w:w="80"/>
              <w:left w:type="dxa" w:w="100"/>
              <w:bottom w:type="dxa" w:w="80"/>
              <w:right w:type="dxa" w:w="100"/>
            </w:tcMar>
          </w:tcPr>
          <w:p>
            <w:r>
              <w:rPr>
                <w:sz w:val="20"/>
                <w:szCs w:val="20"/>
              </w:rPr>
              <w:t xml:space="preserve">5</w:t>
            </w:r>
          </w:p>
        </w:tc>
        <w:tc>
          <w:tcPr>
            <w:tcW w:type="dxa" w:w="2650"/>
            <w:tcMar>
              <w:top w:type="dxa" w:w="80"/>
              <w:left w:type="dxa" w:w="100"/>
              <w:bottom w:type="dxa" w:w="80"/>
              <w:right w:type="dxa" w:w="100"/>
            </w:tcMar>
          </w:tcPr>
          <w:p>
            <w:r>
              <w:rPr>
                <w:sz w:val="20"/>
                <w:szCs w:val="20"/>
              </w:rPr>
              <w:t xml:space="preserve">Input Manager</w:t>
            </w:r>
          </w:p>
        </w:tc>
        <w:tc>
          <w:tcPr>
            <w:tcW w:type="dxa" w:w="6200"/>
            <w:tcMar>
              <w:top w:type="dxa" w:w="80"/>
              <w:left w:type="dxa" w:w="100"/>
              <w:bottom w:type="dxa" w:w="80"/>
              <w:right w:type="dxa" w:w="100"/>
            </w:tcMar>
          </w:tcPr>
          <w:p>
            <w:r>
              <w:rPr>
                <w:sz w:val="20"/>
                <w:szCs w:val="20"/>
              </w:rPr>
              <w:t xml:space="preserve">Simply accepts and loads a file or list — no interpretation involved</w:t>
            </w:r>
          </w:p>
        </w:tc>
      </w:tr>
      <w:tr>
        <w:tc>
          <w:tcPr>
            <w:tcW w:type="dxa" w:w="500"/>
            <w:tcMar>
              <w:top w:type="dxa" w:w="80"/>
              <w:left w:type="dxa" w:w="100"/>
              <w:bottom w:type="dxa" w:w="80"/>
              <w:right w:type="dxa" w:w="100"/>
            </w:tcMar>
          </w:tcPr>
          <w:p>
            <w:r>
              <w:rPr>
                <w:sz w:val="20"/>
                <w:szCs w:val="20"/>
              </w:rPr>
              <w:t xml:space="preserve">6</w:t>
            </w:r>
          </w:p>
        </w:tc>
        <w:tc>
          <w:tcPr>
            <w:tcW w:type="dxa" w:w="2650"/>
            <w:tcMar>
              <w:top w:type="dxa" w:w="80"/>
              <w:left w:type="dxa" w:w="100"/>
              <w:bottom w:type="dxa" w:w="80"/>
              <w:right w:type="dxa" w:w="100"/>
            </w:tcMar>
          </w:tcPr>
          <w:p>
            <w:r>
              <w:rPr>
                <w:sz w:val="20"/>
                <w:szCs w:val="20"/>
              </w:rPr>
              <w:t xml:space="preserve">Prioritisation Logic</w:t>
            </w:r>
          </w:p>
        </w:tc>
        <w:tc>
          <w:tcPr>
            <w:tcW w:type="dxa" w:w="6200"/>
            <w:tcMar>
              <w:top w:type="dxa" w:w="80"/>
              <w:left w:type="dxa" w:w="100"/>
              <w:bottom w:type="dxa" w:w="80"/>
              <w:right w:type="dxa" w:w="100"/>
            </w:tcMar>
          </w:tcPr>
          <w:p>
            <w:r>
              <w:rPr>
                <w:sz w:val="20"/>
                <w:szCs w:val="20"/>
              </w:rPr>
              <w:t xml:space="preserve">Applies a fixed threshold rule (e.g. score ≥ 85 → Tier A)</w:t>
            </w:r>
          </w:p>
        </w:tc>
      </w:tr>
      <w:tr>
        <w:tc>
          <w:tcPr>
            <w:tcW w:type="dxa" w:w="500"/>
            <w:tcMar>
              <w:top w:type="dxa" w:w="80"/>
              <w:left w:type="dxa" w:w="100"/>
              <w:bottom w:type="dxa" w:w="80"/>
              <w:right w:type="dxa" w:w="100"/>
            </w:tcMar>
          </w:tcPr>
          <w:p>
            <w:r>
              <w:rPr>
                <w:sz w:val="20"/>
                <w:szCs w:val="20"/>
              </w:rPr>
              <w:t xml:space="preserve">7</w:t>
            </w:r>
          </w:p>
        </w:tc>
        <w:tc>
          <w:tcPr>
            <w:tcW w:type="dxa" w:w="2650"/>
            <w:tcMar>
              <w:top w:type="dxa" w:w="80"/>
              <w:left w:type="dxa" w:w="100"/>
              <w:bottom w:type="dxa" w:w="80"/>
              <w:right w:type="dxa" w:w="100"/>
            </w:tcMar>
          </w:tcPr>
          <w:p>
            <w:r>
              <w:rPr>
                <w:sz w:val="20"/>
                <w:szCs w:val="20"/>
              </w:rPr>
              <w:t xml:space="preserve">CRM Prep / Field Mapper</w:t>
            </w:r>
          </w:p>
        </w:tc>
        <w:tc>
          <w:tcPr>
            <w:tcW w:type="dxa" w:w="6200"/>
            <w:tcMar>
              <w:top w:type="dxa" w:w="80"/>
              <w:left w:type="dxa" w:w="100"/>
              <w:bottom w:type="dxa" w:w="80"/>
              <w:right w:type="dxa" w:w="100"/>
            </w:tcMar>
          </w:tcPr>
          <w:p>
            <w:r>
              <w:rPr>
                <w:sz w:val="20"/>
                <w:szCs w:val="20"/>
              </w:rPr>
              <w:t xml:space="preserve">Fixed field-to-field mapping between internal data and Zoho's schema</w:t>
            </w:r>
          </w:p>
        </w:tc>
      </w:tr>
      <w:tr>
        <w:tc>
          <w:tcPr>
            <w:tcW w:type="dxa" w:w="500"/>
            <w:tcMar>
              <w:top w:type="dxa" w:w="80"/>
              <w:left w:type="dxa" w:w="100"/>
              <w:bottom w:type="dxa" w:w="80"/>
              <w:right w:type="dxa" w:w="100"/>
            </w:tcMar>
          </w:tcPr>
          <w:p>
            <w:r>
              <w:rPr>
                <w:sz w:val="20"/>
                <w:szCs w:val="20"/>
              </w:rPr>
              <w:t xml:space="preserve">8</w:t>
            </w:r>
          </w:p>
        </w:tc>
        <w:tc>
          <w:tcPr>
            <w:tcW w:type="dxa" w:w="2650"/>
            <w:tcMar>
              <w:top w:type="dxa" w:w="80"/>
              <w:left w:type="dxa" w:w="100"/>
              <w:bottom w:type="dxa" w:w="80"/>
              <w:right w:type="dxa" w:w="100"/>
            </w:tcMar>
          </w:tcPr>
          <w:p>
            <w:r>
              <w:rPr>
                <w:sz w:val="20"/>
                <w:szCs w:val="20"/>
              </w:rPr>
              <w:t xml:space="preserve">Approval Interface</w:t>
            </w:r>
          </w:p>
        </w:tc>
        <w:tc>
          <w:tcPr>
            <w:tcW w:type="dxa" w:w="6200"/>
            <w:tcMar>
              <w:top w:type="dxa" w:w="80"/>
              <w:left w:type="dxa" w:w="100"/>
              <w:bottom w:type="dxa" w:w="80"/>
              <w:right w:type="dxa" w:w="100"/>
            </w:tcMar>
          </w:tcPr>
          <w:p>
            <w:r>
              <w:rPr>
                <w:sz w:val="20"/>
                <w:szCs w:val="20"/>
              </w:rPr>
              <w:t xml:space="preserve">A review table/UI — no AI decision-making, purely human-facing</w:t>
            </w:r>
          </w:p>
        </w:tc>
      </w:tr>
      <w:tr>
        <w:tc>
          <w:tcPr>
            <w:tcW w:type="dxa" w:w="500"/>
            <w:tcMar>
              <w:top w:type="dxa" w:w="80"/>
              <w:left w:type="dxa" w:w="100"/>
              <w:bottom w:type="dxa" w:w="80"/>
              <w:right w:type="dxa" w:w="100"/>
            </w:tcMar>
          </w:tcPr>
          <w:p>
            <w:r>
              <w:rPr>
                <w:sz w:val="20"/>
                <w:szCs w:val="20"/>
              </w:rPr>
              <w:t xml:space="preserve">9</w:t>
            </w:r>
          </w:p>
        </w:tc>
        <w:tc>
          <w:tcPr>
            <w:tcW w:type="dxa" w:w="2650"/>
            <w:tcMar>
              <w:top w:type="dxa" w:w="80"/>
              <w:left w:type="dxa" w:w="100"/>
              <w:bottom w:type="dxa" w:w="80"/>
              <w:right w:type="dxa" w:w="100"/>
            </w:tcMar>
          </w:tcPr>
          <w:p>
            <w:r>
              <w:rPr>
                <w:sz w:val="20"/>
                <w:szCs w:val="20"/>
              </w:rPr>
              <w:t xml:space="preserve">Zoho Upload Handler</w:t>
            </w:r>
          </w:p>
        </w:tc>
        <w:tc>
          <w:tcPr>
            <w:tcW w:type="dxa" w:w="6200"/>
            <w:tcMar>
              <w:top w:type="dxa" w:w="80"/>
              <w:left w:type="dxa" w:w="100"/>
              <w:bottom w:type="dxa" w:w="80"/>
              <w:right w:type="dxa" w:w="100"/>
            </w:tcMar>
          </w:tcPr>
          <w:p>
            <w:r>
              <w:rPr>
                <w:sz w:val="20"/>
                <w:szCs w:val="20"/>
              </w:rPr>
              <w:t xml:space="preserve">API call plus a deterministic duplicate check</w:t>
            </w:r>
          </w:p>
        </w:tc>
      </w:tr>
      <w:tr>
        <w:tc>
          <w:tcPr>
            <w:tcW w:type="dxa" w:w="500"/>
            <w:tcMar>
              <w:top w:type="dxa" w:w="80"/>
              <w:left w:type="dxa" w:w="100"/>
              <w:bottom w:type="dxa" w:w="80"/>
              <w:right w:type="dxa" w:w="100"/>
            </w:tcMar>
          </w:tcPr>
          <w:p>
            <w:r>
              <w:rPr>
                <w:sz w:val="20"/>
                <w:szCs w:val="20"/>
              </w:rPr>
              <w:t xml:space="preserve">10</w:t>
            </w:r>
          </w:p>
        </w:tc>
        <w:tc>
          <w:tcPr>
            <w:tcW w:type="dxa" w:w="2650"/>
            <w:tcMar>
              <w:top w:type="dxa" w:w="80"/>
              <w:left w:type="dxa" w:w="100"/>
              <w:bottom w:type="dxa" w:w="80"/>
              <w:right w:type="dxa" w:w="100"/>
            </w:tcMar>
          </w:tcPr>
          <w:p>
            <w:r>
              <w:rPr>
                <w:sz w:val="20"/>
                <w:szCs w:val="20"/>
              </w:rPr>
              <w:t xml:space="preserve">Audit Logger</w:t>
            </w:r>
          </w:p>
        </w:tc>
        <w:tc>
          <w:tcPr>
            <w:tcW w:type="dxa" w:w="6200"/>
            <w:tcMar>
              <w:top w:type="dxa" w:w="80"/>
              <w:left w:type="dxa" w:w="100"/>
              <w:bottom w:type="dxa" w:w="80"/>
              <w:right w:type="dxa" w:w="100"/>
            </w:tcMar>
          </w:tcPr>
          <w:p>
            <w:r>
              <w:rPr>
                <w:sz w:val="20"/>
                <w:szCs w:val="20"/>
              </w:rPr>
              <w:t xml:space="preserve">Writes a fixed-format entry to a log table</w:t>
            </w:r>
          </w:p>
        </w:tc>
      </w:tr>
    </w:tbl>
    <w:p>
      <w:pPr>
        <w:spacing w:after="200"/>
      </w:pPr>
      <w:r>
        <w:rPr>
          <w:i/>
          <w:iCs/>
          <w:color w:val="595959"/>
          <w:sz w:val="20"/>
          <w:szCs w:val="20"/>
        </w:rPr>
        <w:t xml:space="preserve">Total system components: 4 true AI agents + 6 deterministic modules = 10 components.</w:t>
      </w:r>
    </w:p>
    <w:p>
      <w:pPr>
        <w:pStyle w:val="Heading1"/>
        <w:spacing w:after="200" w:before="400"/>
      </w:pPr>
      <w:r>
        <w:t xml:space="preserve">5. Step-by-Step Build Plan</w:t>
      </w:r>
    </w:p>
    <w:p>
      <w:pPr>
        <w:pStyle w:val="Heading2"/>
        <w:spacing w:after="150" w:before="300"/>
      </w:pPr>
      <w:r>
        <w:t xml:space="preserve">Step 0 — Foundation Setup (Day 1–2)</w:t>
      </w:r>
    </w:p>
    <w:p>
      <w:pPr>
        <w:pStyle w:val="ListParagraph"/>
        <w:numPr>
          <w:ilvl w:val="0"/>
          <w:numId w:val="2"/>
        </w:numPr>
        <w:spacing w:after="100"/>
      </w:pPr>
      <w:r>
        <w:rPr>
          <w:sz w:val="22"/>
          <w:szCs w:val="22"/>
        </w:rPr>
        <w:t xml:space="preserve">Set up PostgreSQL. Create a single companies table with columns: id, company_name, status, research_json, score, tier, contacts_json, approval_status, upload_status, created_at.</w:t>
      </w:r>
    </w:p>
    <w:p>
      <w:pPr>
        <w:pStyle w:val="ListParagraph"/>
        <w:numPr>
          <w:ilvl w:val="0"/>
          <w:numId w:val="2"/>
        </w:numPr>
        <w:spacing w:after="100"/>
      </w:pPr>
      <w:r>
        <w:rPr>
          <w:sz w:val="22"/>
          <w:szCs w:val="22"/>
        </w:rPr>
        <w:t xml:space="preserve">Define Pydantic models — CompanyResearch, ScoringResult, ContactInfo schemas.</w:t>
      </w:r>
    </w:p>
    <w:p>
      <w:pPr>
        <w:pStyle w:val="ListParagraph"/>
        <w:numPr>
          <w:ilvl w:val="0"/>
          <w:numId w:val="2"/>
        </w:numPr>
        <w:spacing w:after="100"/>
      </w:pPr>
      <w:r>
        <w:rPr>
          <w:sz w:val="22"/>
          <w:szCs w:val="22"/>
        </w:rPr>
        <w:t xml:space="preserve">Set up the FastAPI project skeleton and a .env file for API keys (Claude, Zoho, Tavily).</w:t>
      </w:r>
    </w:p>
    <w:p>
      <w:pPr>
        <w:spacing w:after="160"/>
        <w:jc w:val="both"/>
      </w:pPr>
      <w:r>
        <w:rPr>
          <w:sz w:val="22"/>
          <w:szCs w:val="22"/>
        </w:rPr>
        <w:t xml:space="preserve">This establishes the shared state before any agent is built, so every subsequent component has a consistent place to read from and write to.</w:t>
      </w:r>
    </w:p>
    <w:p>
      <w:pPr>
        <w:pStyle w:val="Heading2"/>
        <w:spacing w:after="150" w:before="300"/>
      </w:pPr>
      <w:r>
        <w:t xml:space="preserve">Step 1 — Input Manager (Day 3)</w:t>
      </w:r>
    </w:p>
    <w:p>
      <w:pPr>
        <w:pStyle w:val="ListParagraph"/>
        <w:numPr>
          <w:ilvl w:val="0"/>
          <w:numId w:val="3"/>
        </w:numPr>
        <w:spacing w:after="100"/>
      </w:pPr>
      <w:r>
        <w:rPr>
          <w:sz w:val="22"/>
          <w:szCs w:val="22"/>
        </w:rPr>
        <w:t xml:space="preserve">Build a simple script or endpoint that accepts a CSV or list and inserts each company into the database with status = "new."</w:t>
      </w:r>
    </w:p>
    <w:p>
      <w:pPr>
        <w:pStyle w:val="ListParagraph"/>
        <w:numPr>
          <w:ilvl w:val="0"/>
          <w:numId w:val="3"/>
        </w:numPr>
        <w:spacing w:after="100"/>
      </w:pPr>
      <w:r>
        <w:rPr>
          <w:sz w:val="22"/>
          <w:szCs w:val="22"/>
        </w:rPr>
        <w:t xml:space="preserve">No AI involved — pure data loading.</w:t>
      </w:r>
    </w:p>
    <w:p>
      <w:pPr>
        <w:pStyle w:val="Heading2"/>
        <w:spacing w:after="150" w:before="300"/>
      </w:pPr>
      <w:r>
        <w:t xml:space="preserve">Step 2 — Research Agent (Day 4–7)</w:t>
      </w:r>
    </w:p>
    <w:p>
      <w:pPr>
        <w:pStyle w:val="ListParagraph"/>
        <w:numPr>
          <w:ilvl w:val="0"/>
          <w:numId w:val="2"/>
        </w:numPr>
        <w:spacing w:after="100"/>
      </w:pPr>
      <w:r>
        <w:rPr>
          <w:sz w:val="22"/>
          <w:szCs w:val="22"/>
        </w:rPr>
        <w:t xml:space="preserve">Integrate a web search tool (Tavily / Serper) to locate CSR pages and annual reports for each company.</w:t>
      </w:r>
    </w:p>
    <w:p>
      <w:pPr>
        <w:pStyle w:val="ListParagraph"/>
        <w:numPr>
          <w:ilvl w:val="0"/>
          <w:numId w:val="2"/>
        </w:numPr>
        <w:spacing w:after="100"/>
      </w:pPr>
      <w:r>
        <w:rPr>
          <w:sz w:val="22"/>
          <w:szCs w:val="22"/>
        </w:rPr>
        <w:t xml:space="preserve">Extract text from the relevant web pages / PDFs.</w:t>
      </w:r>
    </w:p>
    <w:p>
      <w:pPr>
        <w:pStyle w:val="ListParagraph"/>
        <w:numPr>
          <w:ilvl w:val="0"/>
          <w:numId w:val="2"/>
        </w:numPr>
        <w:spacing w:after="100"/>
      </w:pPr>
      <w:r>
        <w:rPr>
          <w:sz w:val="22"/>
          <w:szCs w:val="22"/>
        </w:rPr>
        <w:t xml:space="preserve">Call the Claude API with a strict extraction prompt: fields must be extracted only from the provided text; anything not found must be marked "Not Found," never guessed.</w:t>
      </w:r>
    </w:p>
    <w:p>
      <w:pPr>
        <w:pStyle w:val="ListParagraph"/>
        <w:numPr>
          <w:ilvl w:val="0"/>
          <w:numId w:val="2"/>
        </w:numPr>
        <w:spacing w:after="100"/>
      </w:pPr>
      <w:r>
        <w:rPr>
          <w:sz w:val="22"/>
          <w:szCs w:val="22"/>
        </w:rPr>
        <w:t xml:space="preserve">Validate the response against the Pydantic schema.</w:t>
      </w:r>
    </w:p>
    <w:p>
      <w:pPr>
        <w:pStyle w:val="ListParagraph"/>
        <w:numPr>
          <w:ilvl w:val="0"/>
          <w:numId w:val="2"/>
        </w:numPr>
        <w:spacing w:after="100"/>
      </w:pPr>
      <w:r>
        <w:rPr>
          <w:sz w:val="22"/>
          <w:szCs w:val="22"/>
        </w:rPr>
        <w:t xml:space="preserve">Update the database: research_json field, status = "researched."</w:t>
      </w:r>
    </w:p>
    <w:p>
      <w:pPr>
        <w:spacing w:after="200"/>
      </w:pPr>
      <w:r>
        <w:rPr>
          <w:i/>
          <w:iCs/>
          <w:color w:val="595959"/>
          <w:sz w:val="20"/>
          <w:szCs w:val="20"/>
        </w:rPr>
        <w:t xml:space="preserve">Test on 10–15 companies manually before moving on, and verify the extracted fields by hand.</w:t>
      </w:r>
    </w:p>
    <w:p>
      <w:pPr>
        <w:pStyle w:val="Heading2"/>
        <w:spacing w:after="150" w:before="300"/>
      </w:pPr>
      <w:r>
        <w:t xml:space="preserve">Step 3 — Scoring Agent (Day 8–10)</w:t>
      </w:r>
    </w:p>
    <w:p>
      <w:pPr>
        <w:pStyle w:val="ListParagraph"/>
        <w:numPr>
          <w:ilvl w:val="0"/>
          <w:numId w:val="2"/>
        </w:numPr>
        <w:spacing w:after="100"/>
      </w:pPr>
      <w:r>
        <w:rPr>
          <w:sz w:val="22"/>
          <w:szCs w:val="22"/>
        </w:rPr>
        <w:t xml:space="preserve">Design a prompt that asks the model to rate each ICP factor (education focus, spend capacity, geography, etc.) with a stated reason.</w:t>
      </w:r>
    </w:p>
    <w:p>
      <w:pPr>
        <w:pStyle w:val="ListParagraph"/>
        <w:numPr>
          <w:ilvl w:val="0"/>
          <w:numId w:val="2"/>
        </w:numPr>
        <w:spacing w:after="100"/>
      </w:pPr>
      <w:r>
        <w:rPr>
          <w:sz w:val="22"/>
          <w:szCs w:val="22"/>
        </w:rPr>
        <w:t xml:space="preserve">Calculate the final weighted score in Python using a fixed formula — the model does not decide the final number.</w:t>
      </w:r>
    </w:p>
    <w:p>
      <w:pPr>
        <w:pStyle w:val="ListParagraph"/>
        <w:numPr>
          <w:ilvl w:val="0"/>
          <w:numId w:val="2"/>
        </w:numPr>
        <w:spacing w:after="100"/>
      </w:pPr>
      <w:r>
        <w:rPr>
          <w:sz w:val="22"/>
          <w:szCs w:val="22"/>
        </w:rPr>
        <w:t xml:space="preserve">Assign a tier using fixed rules (85+ = Tier A, and so on).</w:t>
      </w:r>
    </w:p>
    <w:p>
      <w:pPr>
        <w:pStyle w:val="ListParagraph"/>
        <w:numPr>
          <w:ilvl w:val="0"/>
          <w:numId w:val="2"/>
        </w:numPr>
        <w:spacing w:after="100"/>
      </w:pPr>
      <w:r>
        <w:rPr>
          <w:sz w:val="22"/>
          <w:szCs w:val="22"/>
        </w:rPr>
        <w:t xml:space="preserve">Update the database: score, tier, status = "scored."</w:t>
      </w:r>
    </w:p>
    <w:p>
      <w:pPr>
        <w:pStyle w:val="Heading2"/>
        <w:spacing w:after="150" w:before="300"/>
      </w:pPr>
      <w:r>
        <w:t xml:space="preserve">Step 4 — Prioritisation Logic (Day 11) — Plain Code</w:t>
      </w:r>
    </w:p>
    <w:p>
      <w:pPr>
        <w:pStyle w:val="ListParagraph"/>
        <w:numPr>
          <w:ilvl w:val="0"/>
          <w:numId w:val="3"/>
        </w:numPr>
        <w:spacing w:after="100"/>
      </w:pPr>
      <w:r>
        <w:rPr>
          <w:sz w:val="22"/>
          <w:szCs w:val="22"/>
        </w:rPr>
        <w:t xml:space="preserve">A simple filter or SQL query (WHERE score &gt;= 85) produces the Tier A shortlist.</w:t>
      </w:r>
    </w:p>
    <w:p>
      <w:pPr>
        <w:pStyle w:val="ListParagraph"/>
        <w:numPr>
          <w:ilvl w:val="0"/>
          <w:numId w:val="3"/>
        </w:numPr>
        <w:spacing w:after="100"/>
      </w:pPr>
      <w:r>
        <w:rPr>
          <w:sz w:val="22"/>
          <w:szCs w:val="22"/>
        </w:rPr>
        <w:t xml:space="preserve">No LLM call involved at this step.</w:t>
      </w:r>
    </w:p>
    <w:p>
      <w:pPr>
        <w:pStyle w:val="Heading2"/>
        <w:spacing w:after="150" w:before="300"/>
      </w:pPr>
      <w:r>
        <w:t xml:space="preserve">Step 5 — Contact Discovery Agent (Day 12–15)</w:t>
      </w:r>
    </w:p>
    <w:p>
      <w:pPr>
        <w:pStyle w:val="ListParagraph"/>
        <w:numPr>
          <w:ilvl w:val="0"/>
          <w:numId w:val="2"/>
        </w:numPr>
        <w:spacing w:after="100"/>
      </w:pPr>
      <w:r>
        <w:rPr>
          <w:sz w:val="22"/>
          <w:szCs w:val="22"/>
        </w:rPr>
        <w:t xml:space="preserve">Trigger only for Tier A companies.</w:t>
      </w:r>
    </w:p>
    <w:p>
      <w:pPr>
        <w:pStyle w:val="ListParagraph"/>
        <w:numPr>
          <w:ilvl w:val="0"/>
          <w:numId w:val="2"/>
        </w:numPr>
        <w:spacing w:after="100"/>
      </w:pPr>
      <w:r>
        <w:rPr>
          <w:sz w:val="22"/>
          <w:szCs w:val="22"/>
        </w:rPr>
        <w:t xml:space="preserve">Pull text from compliant sources — company website, foundation page, annual report.</w:t>
      </w:r>
    </w:p>
    <w:p>
      <w:pPr>
        <w:pStyle w:val="ListParagraph"/>
        <w:numPr>
          <w:ilvl w:val="0"/>
          <w:numId w:val="2"/>
        </w:numPr>
        <w:spacing w:after="100"/>
      </w:pPr>
      <w:r>
        <w:rPr>
          <w:sz w:val="22"/>
          <w:szCs w:val="22"/>
        </w:rPr>
        <w:t xml:space="preserve">Use Claude to extract decision-maker roles and contact details strictly from the retrieved text — no inference beyond what is written.</w:t>
      </w:r>
    </w:p>
    <w:p>
      <w:pPr>
        <w:pStyle w:val="ListParagraph"/>
        <w:numPr>
          <w:ilvl w:val="0"/>
          <w:numId w:val="2"/>
        </w:numPr>
        <w:spacing w:after="100"/>
      </w:pPr>
      <w:r>
        <w:rPr>
          <w:sz w:val="22"/>
          <w:szCs w:val="22"/>
        </w:rPr>
        <w:t xml:space="preserve">Store source_url and a retrieval timestamp with every contact.</w:t>
      </w:r>
    </w:p>
    <w:p>
      <w:pPr>
        <w:pStyle w:val="ListParagraph"/>
        <w:numPr>
          <w:ilvl w:val="0"/>
          <w:numId w:val="2"/>
        </w:numPr>
        <w:spacing w:after="100"/>
      </w:pPr>
      <w:r>
        <w:rPr>
          <w:sz w:val="22"/>
          <w:szCs w:val="22"/>
        </w:rPr>
        <w:t xml:space="preserve">Update the database: contacts_json, status = "enriched."</w:t>
      </w:r>
    </w:p>
    <w:p>
      <w:pPr>
        <w:pStyle w:val="Heading2"/>
        <w:spacing w:after="150" w:before="300"/>
      </w:pPr>
      <w:r>
        <w:t xml:space="preserve">Step 6 — Compliance / Validation Agent (Day 16–17)</w:t>
      </w:r>
    </w:p>
    <w:p>
      <w:pPr>
        <w:pStyle w:val="ListParagraph"/>
        <w:numPr>
          <w:ilvl w:val="0"/>
          <w:numId w:val="2"/>
        </w:numPr>
        <w:spacing w:after="100"/>
      </w:pPr>
      <w:r>
        <w:rPr>
          <w:sz w:val="22"/>
          <w:szCs w:val="22"/>
        </w:rPr>
        <w:t xml:space="preserve">Check every record: is a source present? What is the confidence level?</w:t>
      </w:r>
    </w:p>
    <w:p>
      <w:pPr>
        <w:pStyle w:val="ListParagraph"/>
        <w:numPr>
          <w:ilvl w:val="0"/>
          <w:numId w:val="2"/>
        </w:numPr>
        <w:spacing w:after="100"/>
      </w:pPr>
      <w:r>
        <w:rPr>
          <w:sz w:val="22"/>
          <w:szCs w:val="22"/>
        </w:rPr>
        <w:t xml:space="preserve">Flag records with a missing source as "unverified."</w:t>
      </w:r>
    </w:p>
    <w:p>
      <w:pPr>
        <w:pStyle w:val="ListParagraph"/>
        <w:numPr>
          <w:ilvl w:val="0"/>
          <w:numId w:val="2"/>
        </w:numPr>
        <w:spacing w:after="100"/>
      </w:pPr>
      <w:r>
        <w:rPr>
          <w:sz w:val="22"/>
          <w:szCs w:val="22"/>
        </w:rPr>
        <w:t xml:space="preserve">This agent acts as a hard block before upload if governance rules are not met.</w:t>
      </w:r>
    </w:p>
    <w:p>
      <w:pPr>
        <w:pStyle w:val="Heading2"/>
        <w:spacing w:after="150" w:before="300"/>
      </w:pPr>
      <w:r>
        <w:t xml:space="preserve">Step 7 — CRM Prep / Field Mapper (Day 18) — Plain Code</w:t>
      </w:r>
    </w:p>
    <w:p>
      <w:pPr>
        <w:pStyle w:val="ListParagraph"/>
        <w:numPr>
          <w:ilvl w:val="0"/>
          <w:numId w:val="3"/>
        </w:numPr>
        <w:spacing w:after="100"/>
      </w:pPr>
      <w:r>
        <w:rPr>
          <w:sz w:val="22"/>
          <w:szCs w:val="22"/>
        </w:rPr>
        <w:t xml:space="preserve">A fixed mapping function converts research_json, score, and contacts_json into the Zoho field format.</w:t>
      </w:r>
    </w:p>
    <w:p>
      <w:pPr>
        <w:pStyle w:val="ListParagraph"/>
        <w:numPr>
          <w:ilvl w:val="0"/>
          <w:numId w:val="3"/>
        </w:numPr>
        <w:spacing w:after="100"/>
      </w:pPr>
      <w:r>
        <w:rPr>
          <w:sz w:val="22"/>
          <w:szCs w:val="22"/>
        </w:rPr>
        <w:t xml:space="preserve">Purely deterministic transformation — no AI.</w:t>
      </w:r>
    </w:p>
    <w:p>
      <w:pPr>
        <w:pStyle w:val="Heading2"/>
        <w:spacing w:after="150" w:before="300"/>
      </w:pPr>
      <w:r>
        <w:t xml:space="preserve">Step 8 — Approval Interface (Day 19–21)</w:t>
      </w:r>
    </w:p>
    <w:p>
      <w:pPr>
        <w:pStyle w:val="ListParagraph"/>
        <w:numPr>
          <w:ilvl w:val="0"/>
          <w:numId w:val="2"/>
        </w:numPr>
        <w:spacing w:after="100"/>
      </w:pPr>
      <w:r>
        <w:rPr>
          <w:sz w:val="22"/>
          <w:szCs w:val="22"/>
        </w:rPr>
        <w:t xml:space="preserve">Build a simple review table (React, or a Google Sheet for the MVP).</w:t>
      </w:r>
    </w:p>
    <w:p>
      <w:pPr>
        <w:pStyle w:val="ListParagraph"/>
        <w:numPr>
          <w:ilvl w:val="0"/>
          <w:numId w:val="2"/>
        </w:numPr>
        <w:spacing w:after="100"/>
      </w:pPr>
      <w:r>
        <w:rPr>
          <w:sz w:val="22"/>
          <w:szCs w:val="22"/>
        </w:rPr>
        <w:t xml:space="preserve">Columns: Company, Score, Tier, Contact, Source, Approve / Reject.</w:t>
      </w:r>
    </w:p>
    <w:p>
      <w:pPr>
        <w:pStyle w:val="ListParagraph"/>
        <w:numPr>
          <w:ilvl w:val="0"/>
          <w:numId w:val="2"/>
        </w:numPr>
        <w:spacing w:after="100"/>
      </w:pPr>
      <w:r>
        <w:rPr>
          <w:sz w:val="22"/>
          <w:szCs w:val="22"/>
        </w:rPr>
        <w:t xml:space="preserve">When a reviewer approves a record, approval_status is updated to "approved" in the database.</w:t>
      </w:r>
    </w:p>
    <w:p>
      <w:pPr>
        <w:pStyle w:val="Heading2"/>
        <w:spacing w:after="150" w:before="300"/>
      </w:pPr>
      <w:r>
        <w:t xml:space="preserve">Step 9 — Zoho Upload Handler (Day 22–24) — Plain Code</w:t>
      </w:r>
    </w:p>
    <w:p>
      <w:pPr>
        <w:pStyle w:val="ListParagraph"/>
        <w:numPr>
          <w:ilvl w:val="0"/>
          <w:numId w:val="2"/>
        </w:numPr>
        <w:spacing w:after="100"/>
      </w:pPr>
      <w:r>
        <w:rPr>
          <w:sz w:val="22"/>
          <w:szCs w:val="22"/>
        </w:rPr>
        <w:t xml:space="preserve">Set up Zoho OAuth2 (refresh token flow).</w:t>
      </w:r>
    </w:p>
    <w:p>
      <w:pPr>
        <w:pStyle w:val="ListParagraph"/>
        <w:numPr>
          <w:ilvl w:val="0"/>
          <w:numId w:val="2"/>
        </w:numPr>
        <w:spacing w:after="100"/>
      </w:pPr>
      <w:r>
        <w:rPr>
          <w:sz w:val="22"/>
          <w:szCs w:val="22"/>
        </w:rPr>
        <w:t xml:space="preserve">Before uploading, search Zoho for existing matches (by company name / email) to prevent duplicates.</w:t>
      </w:r>
    </w:p>
    <w:p>
      <w:pPr>
        <w:pStyle w:val="ListParagraph"/>
        <w:numPr>
          <w:ilvl w:val="0"/>
          <w:numId w:val="2"/>
        </w:numPr>
        <w:spacing w:after="100"/>
      </w:pPr>
      <w:r>
        <w:rPr>
          <w:sz w:val="22"/>
          <w:szCs w:val="22"/>
        </w:rPr>
        <w:t xml:space="preserve">Upload only records where approval_status = "approved."</w:t>
      </w:r>
    </w:p>
    <w:p>
      <w:pPr>
        <w:pStyle w:val="ListParagraph"/>
        <w:numPr>
          <w:ilvl w:val="0"/>
          <w:numId w:val="2"/>
        </w:numPr>
        <w:spacing w:after="100"/>
      </w:pPr>
      <w:r>
        <w:rPr>
          <w:sz w:val="22"/>
          <w:szCs w:val="22"/>
        </w:rPr>
        <w:t xml:space="preserve">Mark upload_status = "uploaded" once complete.</w:t>
      </w:r>
    </w:p>
    <w:p>
      <w:pPr>
        <w:pStyle w:val="Heading2"/>
        <w:spacing w:after="150" w:before="300"/>
      </w:pPr>
      <w:r>
        <w:t xml:space="preserve">Step 10 — Audit Logger (Ongoing, built in parallel)</w:t>
      </w:r>
    </w:p>
    <w:p>
      <w:pPr>
        <w:pStyle w:val="ListParagraph"/>
        <w:numPr>
          <w:ilvl w:val="0"/>
          <w:numId w:val="3"/>
        </w:numPr>
        <w:spacing w:after="100"/>
      </w:pPr>
      <w:r>
        <w:rPr>
          <w:sz w:val="22"/>
          <w:szCs w:val="22"/>
        </w:rPr>
        <w:t xml:space="preserve">Every step writes an entry to an audit_log table: action, agent_name, source, timestamp, decision.</w:t>
      </w:r>
    </w:p>
    <w:p>
      <w:pPr>
        <w:pStyle w:val="ListParagraph"/>
        <w:numPr>
          <w:ilvl w:val="0"/>
          <w:numId w:val="3"/>
        </w:numPr>
        <w:spacing w:after="100"/>
      </w:pPr>
      <w:r>
        <w:rPr>
          <w:sz w:val="22"/>
          <w:szCs w:val="22"/>
        </w:rPr>
        <w:t xml:space="preserve">This gives full traceability across the entire pipeline.</w:t>
      </w:r>
    </w:p>
    <w:p>
      <w:pPr>
        <w:pStyle w:val="Heading2"/>
        <w:spacing w:after="150" w:before="300"/>
      </w:pPr>
      <w:r>
        <w:t xml:space="preserve">Step 11 — End-to-End Testing (Day 25–27)</w:t>
      </w:r>
    </w:p>
    <w:p>
      <w:pPr>
        <w:pStyle w:val="ListParagraph"/>
        <w:numPr>
          <w:ilvl w:val="0"/>
          <w:numId w:val="2"/>
        </w:numPr>
        <w:spacing w:after="100"/>
      </w:pPr>
      <w:r>
        <w:rPr>
          <w:sz w:val="22"/>
          <w:szCs w:val="22"/>
        </w:rPr>
        <w:t xml:space="preserve">Build a golden test set of 20–30 known companies with manually verified expected output.</w:t>
      </w:r>
    </w:p>
    <w:p>
      <w:pPr>
        <w:pStyle w:val="ListParagraph"/>
        <w:numPr>
          <w:ilvl w:val="0"/>
          <w:numId w:val="2"/>
        </w:numPr>
        <w:spacing w:after="100"/>
      </w:pPr>
      <w:r>
        <w:rPr>
          <w:sz w:val="22"/>
          <w:szCs w:val="22"/>
        </w:rPr>
        <w:t xml:space="preserve">Run the full pipeline and check results against this set.</w:t>
      </w:r>
    </w:p>
    <w:p>
      <w:pPr>
        <w:pStyle w:val="ListParagraph"/>
        <w:numPr>
          <w:ilvl w:val="0"/>
          <w:numId w:val="2"/>
        </w:numPr>
        <w:spacing w:after="100"/>
      </w:pPr>
      <w:r>
        <w:rPr>
          <w:sz w:val="22"/>
          <w:szCs w:val="22"/>
        </w:rPr>
        <w:t xml:space="preserve">Test edge cases: missing data, duplicate companies, conflicting sources.</w:t>
      </w:r>
    </w:p>
    <w:p>
      <w:pPr>
        <w:pStyle w:val="Heading2"/>
        <w:spacing w:after="150" w:before="300"/>
      </w:pPr>
      <w:r>
        <w:t xml:space="preserve">Step 12 — Team Training Sessions (Parallel, ongoing)</w:t>
      </w:r>
    </w:p>
    <w:p>
      <w:pPr>
        <w:pStyle w:val="ListParagraph"/>
        <w:numPr>
          <w:ilvl w:val="0"/>
          <w:numId w:val="3"/>
        </w:numPr>
        <w:spacing w:after="100"/>
      </w:pPr>
      <w:r>
        <w:rPr>
          <w:sz w:val="22"/>
          <w:szCs w:val="22"/>
        </w:rPr>
        <w:t xml:space="preserve">After each phase is completed, run a short demo session for the wider (non-technical) team.</w:t>
      </w:r>
    </w:p>
    <w:p>
      <w:pPr>
        <w:pStyle w:val="ListParagraph"/>
        <w:numPr>
          <w:ilvl w:val="0"/>
          <w:numId w:val="3"/>
        </w:numPr>
        <w:spacing w:after="100"/>
      </w:pPr>
      <w:r>
        <w:rPr>
          <w:sz w:val="22"/>
          <w:szCs w:val="22"/>
        </w:rPr>
        <w:t xml:space="preserve">Use the pillar-mapping / office-analogy reference to connect what they see to concepts from their MAS course.</w:t>
      </w:r>
    </w:p>
    <w:p>
      <w:r>
        <w:br w:type="page"/>
      </w:r>
    </w:p>
    <w:p>
      <w:pPr>
        <w:pStyle w:val="Heading1"/>
        <w:spacing w:after="200" w:before="400"/>
      </w:pPr>
      <w:r>
        <w:t xml:space="preserve">6. Summary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5C" w:val="clear"/>
            <w:tcMar>
              <w:top w:type="dxa" w:w="80"/>
              <w:left w:type="dxa" w:w="100"/>
              <w:bottom w:type="dxa" w:w="80"/>
              <w:right w:type="dxa" w:w="100"/>
            </w:tcMar>
          </w:tcPr>
          <w:p>
            <w:r>
              <w:rPr>
                <w:b/>
                <w:bCs/>
                <w:color w:val="FFFFFF"/>
                <w:sz w:val="20"/>
                <w:szCs w:val="20"/>
              </w:rPr>
              <w:t xml:space="preserve">Week</w:t>
            </w:r>
          </w:p>
        </w:tc>
        <w:tc>
          <w:tcPr>
            <w:tcW w:type="dxa" w:w="7150"/>
            <w:shd w:fill="1F4E5C" w:val="clear"/>
            <w:tcMar>
              <w:top w:type="dxa" w:w="80"/>
              <w:left w:type="dxa" w:w="100"/>
              <w:bottom w:type="dxa" w:w="80"/>
              <w:right w:type="dxa" w:w="100"/>
            </w:tcMar>
          </w:tcPr>
          <w:p>
            <w:r>
              <w:rPr>
                <w:b/>
                <w:bCs/>
                <w:color w:val="FFFFFF"/>
                <w:sz w:val="20"/>
                <w:szCs w:val="20"/>
              </w:rPr>
              <w:t xml:space="preserve">Focus</w:t>
            </w:r>
          </w:p>
        </w:tc>
      </w:tr>
      <w:tr>
        <w:tc>
          <w:tcPr>
            <w:tcW w:type="dxa" w:w="2200"/>
            <w:tcMar>
              <w:top w:type="dxa" w:w="80"/>
              <w:left w:type="dxa" w:w="100"/>
              <w:bottom w:type="dxa" w:w="80"/>
              <w:right w:type="dxa" w:w="100"/>
            </w:tcMar>
          </w:tcPr>
          <w:p>
            <w:r>
              <w:rPr>
                <w:sz w:val="20"/>
                <w:szCs w:val="20"/>
              </w:rPr>
              <w:t xml:space="preserve">Week 1</w:t>
            </w:r>
          </w:p>
        </w:tc>
        <w:tc>
          <w:tcPr>
            <w:tcW w:type="dxa" w:w="7150"/>
            <w:tcMar>
              <w:top w:type="dxa" w:w="80"/>
              <w:left w:type="dxa" w:w="100"/>
              <w:bottom w:type="dxa" w:w="80"/>
              <w:right w:type="dxa" w:w="100"/>
            </w:tcMar>
          </w:tcPr>
          <w:p>
            <w:r>
              <w:rPr>
                <w:sz w:val="20"/>
                <w:szCs w:val="20"/>
              </w:rPr>
              <w:t xml:space="preserve">Foundation setup, Input Manager, Research Agent</w:t>
            </w:r>
          </w:p>
        </w:tc>
      </w:tr>
      <w:tr>
        <w:tc>
          <w:tcPr>
            <w:tcW w:type="dxa" w:w="2200"/>
            <w:tcMar>
              <w:top w:type="dxa" w:w="80"/>
              <w:left w:type="dxa" w:w="100"/>
              <w:bottom w:type="dxa" w:w="80"/>
              <w:right w:type="dxa" w:w="100"/>
            </w:tcMar>
          </w:tcPr>
          <w:p>
            <w:r>
              <w:rPr>
                <w:sz w:val="20"/>
                <w:szCs w:val="20"/>
              </w:rPr>
              <w:t xml:space="preserve">Week 2</w:t>
            </w:r>
          </w:p>
        </w:tc>
        <w:tc>
          <w:tcPr>
            <w:tcW w:type="dxa" w:w="7150"/>
            <w:tcMar>
              <w:top w:type="dxa" w:w="80"/>
              <w:left w:type="dxa" w:w="100"/>
              <w:bottom w:type="dxa" w:w="80"/>
              <w:right w:type="dxa" w:w="100"/>
            </w:tcMar>
          </w:tcPr>
          <w:p>
            <w:r>
              <w:rPr>
                <w:sz w:val="20"/>
                <w:szCs w:val="20"/>
              </w:rPr>
              <w:t xml:space="preserve">Scoring Agent, Prioritisation Logic, Contact Discovery Agent</w:t>
            </w:r>
          </w:p>
        </w:tc>
      </w:tr>
      <w:tr>
        <w:tc>
          <w:tcPr>
            <w:tcW w:type="dxa" w:w="2200"/>
            <w:tcMar>
              <w:top w:type="dxa" w:w="80"/>
              <w:left w:type="dxa" w:w="100"/>
              <w:bottom w:type="dxa" w:w="80"/>
              <w:right w:type="dxa" w:w="100"/>
            </w:tcMar>
          </w:tcPr>
          <w:p>
            <w:r>
              <w:rPr>
                <w:sz w:val="20"/>
                <w:szCs w:val="20"/>
              </w:rPr>
              <w:t xml:space="preserve">Week 3</w:t>
            </w:r>
          </w:p>
        </w:tc>
        <w:tc>
          <w:tcPr>
            <w:tcW w:type="dxa" w:w="7150"/>
            <w:tcMar>
              <w:top w:type="dxa" w:w="80"/>
              <w:left w:type="dxa" w:w="100"/>
              <w:bottom w:type="dxa" w:w="80"/>
              <w:right w:type="dxa" w:w="100"/>
            </w:tcMar>
          </w:tcPr>
          <w:p>
            <w:r>
              <w:rPr>
                <w:sz w:val="20"/>
                <w:szCs w:val="20"/>
              </w:rPr>
              <w:t xml:space="preserve">Compliance/Validation Agent, CRM Prep, Approval Interface</w:t>
            </w:r>
          </w:p>
        </w:tc>
      </w:tr>
      <w:tr>
        <w:tc>
          <w:tcPr>
            <w:tcW w:type="dxa" w:w="2200"/>
            <w:tcMar>
              <w:top w:type="dxa" w:w="80"/>
              <w:left w:type="dxa" w:w="100"/>
              <w:bottom w:type="dxa" w:w="80"/>
              <w:right w:type="dxa" w:w="100"/>
            </w:tcMar>
          </w:tcPr>
          <w:p>
            <w:r>
              <w:rPr>
                <w:sz w:val="20"/>
                <w:szCs w:val="20"/>
              </w:rPr>
              <w:t xml:space="preserve">Week 4</w:t>
            </w:r>
          </w:p>
        </w:tc>
        <w:tc>
          <w:tcPr>
            <w:tcW w:type="dxa" w:w="7150"/>
            <w:tcMar>
              <w:top w:type="dxa" w:w="80"/>
              <w:left w:type="dxa" w:w="100"/>
              <w:bottom w:type="dxa" w:w="80"/>
              <w:right w:type="dxa" w:w="100"/>
            </w:tcMar>
          </w:tcPr>
          <w:p>
            <w:r>
              <w:rPr>
                <w:sz w:val="20"/>
                <w:szCs w:val="20"/>
              </w:rPr>
              <w:t xml:space="preserve">Zoho Upload Handler, Audit Logger, full end-to-end testing</w:t>
            </w:r>
          </w:p>
        </w:tc>
      </w:tr>
    </w:tbl>
    <w:p>
      <w:pPr>
        <w:pStyle w:val="Heading1"/>
        <w:spacing w:after="200" w:before="400"/>
      </w:pPr>
      <w:r>
        <w:t xml:space="preserve">7. Key Principles to Hold Throughout the Build</w:t>
      </w:r>
    </w:p>
    <w:p>
      <w:pPr>
        <w:pStyle w:val="ListParagraph"/>
        <w:numPr>
          <w:ilvl w:val="0"/>
          <w:numId w:val="3"/>
        </w:numPr>
        <w:spacing w:after="100"/>
      </w:pPr>
      <w:r>
        <w:rPr>
          <w:sz w:val="22"/>
          <w:szCs w:val="22"/>
        </w:rPr>
        <w:t xml:space="preserve">The database is the single source of truth — no component should keep its own separate memory.</w:t>
      </w:r>
    </w:p>
    <w:p>
      <w:pPr>
        <w:pStyle w:val="ListParagraph"/>
        <w:numPr>
          <w:ilvl w:val="0"/>
          <w:numId w:val="3"/>
        </w:numPr>
        <w:spacing w:after="100"/>
      </w:pPr>
      <w:r>
        <w:rPr>
          <w:sz w:val="22"/>
          <w:szCs w:val="22"/>
        </w:rPr>
        <w:t xml:space="preserve">Every AI agent has a narrow, explicit goal and a strict output schema (Pydantic) — it should not be free to decide things outside its defined role.</w:t>
      </w:r>
    </w:p>
    <w:p>
      <w:pPr>
        <w:pStyle w:val="ListParagraph"/>
        <w:numPr>
          <w:ilvl w:val="0"/>
          <w:numId w:val="3"/>
        </w:numPr>
        <w:spacing w:after="100"/>
      </w:pPr>
      <w:r>
        <w:rPr>
          <w:sz w:val="22"/>
          <w:szCs w:val="22"/>
        </w:rPr>
        <w:t xml:space="preserve">Any field that cannot be verified is marked "Not Found," never guessed.</w:t>
      </w:r>
    </w:p>
    <w:p>
      <w:pPr>
        <w:pStyle w:val="ListParagraph"/>
        <w:numPr>
          <w:ilvl w:val="0"/>
          <w:numId w:val="3"/>
        </w:numPr>
        <w:spacing w:after="100"/>
      </w:pPr>
      <w:r>
        <w:rPr>
          <w:sz w:val="22"/>
          <w:szCs w:val="22"/>
        </w:rPr>
        <w:t xml:space="preserve">No record reaches Zoho CRM without going through the human approval step.</w:t>
      </w:r>
    </w:p>
    <w:p>
      <w:pPr>
        <w:pStyle w:val="ListParagraph"/>
        <w:numPr>
          <w:ilvl w:val="0"/>
          <w:numId w:val="3"/>
        </w:numPr>
        <w:spacing w:after="100"/>
      </w:pPr>
      <w:r>
        <w:rPr>
          <w:sz w:val="22"/>
          <w:szCs w:val="22"/>
        </w:rPr>
        <w:t xml:space="preserve">Only build with a heavier framework (like LangGraph) if the pipeline later needs real branching, retries, or multi-agent negotiation — not by default.</w:t>
      </w:r>
    </w:p>
    <w:p>
      <w:r>
        <w:br w:type="page"/>
      </w:r>
    </w:p>
    <w:p>
      <w:pPr>
        <w:pStyle w:val="Heading1"/>
        <w:spacing w:after="200" w:before="400"/>
      </w:pPr>
      <w:r>
        <w:t xml:space="preserve">8. Mapping the 16 Multi-Agent System Pillars to This Project</w:t>
      </w:r>
    </w:p>
    <w:p>
      <w:pPr>
        <w:spacing w:after="160"/>
        <w:jc w:val="both"/>
      </w:pPr>
      <w:r>
        <w:rPr>
          <w:sz w:val="22"/>
          <w:szCs w:val="22"/>
        </w:rPr>
        <w:t xml:space="preserve">The 16 pillars below come from standard Multi-Agent Systems (MAS) theory. Not every pillar needs a heavyweight implementation in a project of this size and shape — this system is a linear, single-pipeline design, not a network of autonomous agents negotiating with each other. The table below states, pillar by pillar, how much weight it gets here and exactly where it lives in the build. This mapping is also useful as a teaching reference: it shows the team where their MAS coursework connects to a real, working system, and — just as importantly — where good engineering means deliberately keeping something simple.</w:t>
      </w:r>
    </w:p>
    <w:p>
      <w:pPr>
        <w:pStyle w:val="Heading2"/>
        <w:spacing w:after="150" w:before="300"/>
      </w:pPr>
      <w:r>
        <w:t xml:space="preserve">8.1 Core Pillars — Fully Implemented</w:t>
      </w:r>
    </w:p>
    <w:p>
      <w:pPr>
        <w:spacing w:after="160"/>
        <w:jc w:val="both"/>
      </w:pPr>
      <w:r>
        <w:rPr>
          <w:sz w:val="22"/>
          <w:szCs w:val="22"/>
        </w:rPr>
        <w:t xml:space="preserve">These pillars are treated as non-negotiable and are built properly, because the project's reliability and trustworthiness depend on them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50"/>
        <w:gridCol w:w="6400"/>
      </w:tblGrid>
      <w:tr>
        <w:trPr>
          <w:tblHeader/>
        </w:trPr>
        <w:tc>
          <w:tcPr>
            <w:tcW w:type="dxa" w:w="500"/>
            <w:shd w:fill="1F4E5C" w:val="clear"/>
            <w:tcMar>
              <w:top w:type="dxa" w:w="80"/>
              <w:left w:type="dxa" w:w="100"/>
              <w:bottom w:type="dxa" w:w="80"/>
              <w:right w:type="dxa" w:w="100"/>
            </w:tcMar>
          </w:tcPr>
          <w:p>
            <w:r>
              <w:rPr>
                <w:b/>
                <w:bCs/>
                <w:color w:val="FFFFFF"/>
                <w:sz w:val="20"/>
                <w:szCs w:val="20"/>
              </w:rPr>
              <w:t xml:space="preserve">#</w:t>
            </w:r>
          </w:p>
        </w:tc>
        <w:tc>
          <w:tcPr>
            <w:tcW w:type="dxa" w:w="2450"/>
            <w:shd w:fill="1F4E5C" w:val="clear"/>
            <w:tcMar>
              <w:top w:type="dxa" w:w="80"/>
              <w:left w:type="dxa" w:w="100"/>
              <w:bottom w:type="dxa" w:w="80"/>
              <w:right w:type="dxa" w:w="100"/>
            </w:tcMar>
          </w:tcPr>
          <w:p>
            <w:r>
              <w:rPr>
                <w:b/>
                <w:bCs/>
                <w:color w:val="FFFFFF"/>
                <w:sz w:val="20"/>
                <w:szCs w:val="20"/>
              </w:rPr>
              <w:t xml:space="preserve">Pillar</w:t>
            </w:r>
          </w:p>
        </w:tc>
        <w:tc>
          <w:tcPr>
            <w:tcW w:type="dxa" w:w="6400"/>
            <w:shd w:fill="1F4E5C" w:val="clear"/>
            <w:tcMar>
              <w:top w:type="dxa" w:w="80"/>
              <w:left w:type="dxa" w:w="100"/>
              <w:bottom w:type="dxa" w:w="80"/>
              <w:right w:type="dxa" w:w="100"/>
            </w:tcMar>
          </w:tcPr>
          <w:p>
            <w:r>
              <w:rPr>
                <w:b/>
                <w:bCs/>
                <w:color w:val="FFFFFF"/>
                <w:sz w:val="20"/>
                <w:szCs w:val="20"/>
              </w:rPr>
              <w:t xml:space="preserve">How It Is Used in This Project</w:t>
            </w:r>
          </w:p>
        </w:tc>
      </w:tr>
      <w:tr>
        <w:tc>
          <w:tcPr>
            <w:tcW w:type="dxa" w:w="500"/>
            <w:tcMar>
              <w:top w:type="dxa" w:w="80"/>
              <w:left w:type="dxa" w:w="100"/>
              <w:bottom w:type="dxa" w:w="80"/>
              <w:right w:type="dxa" w:w="100"/>
            </w:tcMar>
          </w:tcPr>
          <w:p>
            <w:r>
              <w:rPr>
                <w:sz w:val="20"/>
                <w:szCs w:val="20"/>
              </w:rPr>
              <w:t xml:space="preserve">1</w:t>
            </w:r>
          </w:p>
        </w:tc>
        <w:tc>
          <w:tcPr>
            <w:tcW w:type="dxa" w:w="2450"/>
            <w:tcMar>
              <w:top w:type="dxa" w:w="80"/>
              <w:left w:type="dxa" w:w="100"/>
              <w:bottom w:type="dxa" w:w="80"/>
              <w:right w:type="dxa" w:w="100"/>
            </w:tcMar>
          </w:tcPr>
          <w:p>
            <w:r>
              <w:rPr>
                <w:sz w:val="20"/>
                <w:szCs w:val="20"/>
              </w:rPr>
              <w:t xml:space="preserve">Shared State &amp; Blackboard</w:t>
            </w:r>
          </w:p>
        </w:tc>
        <w:tc>
          <w:tcPr>
            <w:tcW w:type="dxa" w:w="6400"/>
            <w:tcMar>
              <w:top w:type="dxa" w:w="80"/>
              <w:left w:type="dxa" w:w="100"/>
              <w:bottom w:type="dxa" w:w="80"/>
              <w:right w:type="dxa" w:w="100"/>
            </w:tcMar>
          </w:tcPr>
          <w:p>
            <w:r>
              <w:rPr>
                <w:sz w:val="20"/>
                <w:szCs w:val="20"/>
              </w:rPr>
              <w:t xml:space="preserve">A single PostgreSQL companies table is the one shared source of truth. Every agent and module reads and writes to it — no component keeps a private copy of data, which prevents agents from contradicting each other.</w:t>
            </w:r>
          </w:p>
        </w:tc>
      </w:tr>
      <w:tr>
        <w:tc>
          <w:tcPr>
            <w:tcW w:type="dxa" w:w="500"/>
            <w:tcMar>
              <w:top w:type="dxa" w:w="80"/>
              <w:left w:type="dxa" w:w="100"/>
              <w:bottom w:type="dxa" w:w="80"/>
              <w:right w:type="dxa" w:w="100"/>
            </w:tcMar>
          </w:tcPr>
          <w:p>
            <w:r>
              <w:rPr>
                <w:sz w:val="20"/>
                <w:szCs w:val="20"/>
              </w:rPr>
              <w:t xml:space="preserve">5</w:t>
            </w:r>
          </w:p>
        </w:tc>
        <w:tc>
          <w:tcPr>
            <w:tcW w:type="dxa" w:w="2450"/>
            <w:tcMar>
              <w:top w:type="dxa" w:w="80"/>
              <w:left w:type="dxa" w:w="100"/>
              <w:bottom w:type="dxa" w:w="80"/>
              <w:right w:type="dxa" w:w="100"/>
            </w:tcMar>
          </w:tcPr>
          <w:p>
            <w:r>
              <w:rPr>
                <w:sz w:val="20"/>
                <w:szCs w:val="20"/>
              </w:rPr>
              <w:t xml:space="preserve">Agent Communication</w:t>
            </w:r>
          </w:p>
        </w:tc>
        <w:tc>
          <w:tcPr>
            <w:tcW w:type="dxa" w:w="6400"/>
            <w:tcMar>
              <w:top w:type="dxa" w:w="80"/>
              <w:left w:type="dxa" w:w="100"/>
              <w:bottom w:type="dxa" w:w="80"/>
              <w:right w:type="dxa" w:w="100"/>
            </w:tcMar>
          </w:tcPr>
          <w:p>
            <w:r>
              <w:rPr>
                <w:sz w:val="20"/>
                <w:szCs w:val="20"/>
              </w:rPr>
              <w:t xml:space="preserve">All handoffs between agents (Research → Scoring → Contact Discovery) use strict Pydantic schemas, not free-form text. This prevents meaning from being lost or distorted as data passes between stages.</w:t>
            </w:r>
          </w:p>
        </w:tc>
      </w:tr>
      <w:tr>
        <w:tc>
          <w:tcPr>
            <w:tcW w:type="dxa" w:w="500"/>
            <w:tcMar>
              <w:top w:type="dxa" w:w="80"/>
              <w:left w:type="dxa" w:w="100"/>
              <w:bottom w:type="dxa" w:w="80"/>
              <w:right w:type="dxa" w:w="100"/>
            </w:tcMar>
          </w:tcPr>
          <w:p>
            <w:r>
              <w:rPr>
                <w:sz w:val="20"/>
                <w:szCs w:val="20"/>
              </w:rPr>
              <w:t xml:space="preserve">8</w:t>
            </w:r>
          </w:p>
        </w:tc>
        <w:tc>
          <w:tcPr>
            <w:tcW w:type="dxa" w:w="2450"/>
            <w:tcMar>
              <w:top w:type="dxa" w:w="80"/>
              <w:left w:type="dxa" w:w="100"/>
              <w:bottom w:type="dxa" w:w="80"/>
              <w:right w:type="dxa" w:w="100"/>
            </w:tcMar>
          </w:tcPr>
          <w:p>
            <w:r>
              <w:rPr>
                <w:sz w:val="20"/>
                <w:szCs w:val="20"/>
              </w:rPr>
              <w:t xml:space="preserve">Memory &amp; Context</w:t>
            </w:r>
          </w:p>
        </w:tc>
        <w:tc>
          <w:tcPr>
            <w:tcW w:type="dxa" w:w="6400"/>
            <w:tcMar>
              <w:top w:type="dxa" w:w="80"/>
              <w:left w:type="dxa" w:w="100"/>
              <w:bottom w:type="dxa" w:w="80"/>
              <w:right w:type="dxa" w:w="100"/>
            </w:tcMar>
          </w:tcPr>
          <w:p>
            <w:r>
              <w:rPr>
                <w:sz w:val="20"/>
                <w:szCs w:val="20"/>
              </w:rPr>
              <w:t xml:space="preserve">Persistent state lives in PostgreSQL rather than in an LLM's context window. Before researching a company, the system checks whether it already exists in the database, so nothing is redone or forgotten.</w:t>
            </w:r>
          </w:p>
        </w:tc>
      </w:tr>
      <w:tr>
        <w:tc>
          <w:tcPr>
            <w:tcW w:type="dxa" w:w="500"/>
            <w:tcMar>
              <w:top w:type="dxa" w:w="80"/>
              <w:left w:type="dxa" w:w="100"/>
              <w:bottom w:type="dxa" w:w="80"/>
              <w:right w:type="dxa" w:w="100"/>
            </w:tcMar>
          </w:tcPr>
          <w:p>
            <w:r>
              <w:rPr>
                <w:sz w:val="20"/>
                <w:szCs w:val="20"/>
              </w:rPr>
              <w:t xml:space="preserve">10</w:t>
            </w:r>
          </w:p>
        </w:tc>
        <w:tc>
          <w:tcPr>
            <w:tcW w:type="dxa" w:w="2450"/>
            <w:tcMar>
              <w:top w:type="dxa" w:w="80"/>
              <w:left w:type="dxa" w:w="100"/>
              <w:bottom w:type="dxa" w:w="80"/>
              <w:right w:type="dxa" w:w="100"/>
            </w:tcMar>
          </w:tcPr>
          <w:p>
            <w:r>
              <w:rPr>
                <w:sz w:val="20"/>
                <w:szCs w:val="20"/>
              </w:rPr>
              <w:t xml:space="preserve">Human-in-the-Loop</w:t>
            </w:r>
          </w:p>
        </w:tc>
        <w:tc>
          <w:tcPr>
            <w:tcW w:type="dxa" w:w="6400"/>
            <w:tcMar>
              <w:top w:type="dxa" w:w="80"/>
              <w:left w:type="dxa" w:w="100"/>
              <w:bottom w:type="dxa" w:w="80"/>
              <w:right w:type="dxa" w:w="100"/>
            </w:tcMar>
          </w:tcPr>
          <w:p>
            <w:r>
              <w:rPr>
                <w:sz w:val="20"/>
                <w:szCs w:val="20"/>
              </w:rPr>
              <w:t xml:space="preserve">This is the central control of the whole system: no record is uploaded to Zoho CRM without explicit human approval through the approval interface. This is the project's most important safeguard.</w:t>
            </w:r>
          </w:p>
        </w:tc>
      </w:tr>
      <w:tr>
        <w:tc>
          <w:tcPr>
            <w:tcW w:type="dxa" w:w="500"/>
            <w:tcMar>
              <w:top w:type="dxa" w:w="80"/>
              <w:left w:type="dxa" w:w="100"/>
              <w:bottom w:type="dxa" w:w="80"/>
              <w:right w:type="dxa" w:w="100"/>
            </w:tcMar>
          </w:tcPr>
          <w:p>
            <w:r>
              <w:rPr>
                <w:sz w:val="20"/>
                <w:szCs w:val="20"/>
              </w:rPr>
              <w:t xml:space="preserve">13</w:t>
            </w:r>
          </w:p>
        </w:tc>
        <w:tc>
          <w:tcPr>
            <w:tcW w:type="dxa" w:w="2450"/>
            <w:tcMar>
              <w:top w:type="dxa" w:w="80"/>
              <w:left w:type="dxa" w:w="100"/>
              <w:bottom w:type="dxa" w:w="80"/>
              <w:right w:type="dxa" w:w="100"/>
            </w:tcMar>
          </w:tcPr>
          <w:p>
            <w:r>
              <w:rPr>
                <w:sz w:val="20"/>
                <w:szCs w:val="20"/>
              </w:rPr>
              <w:t xml:space="preserve">Governance &amp; Norms</w:t>
            </w:r>
          </w:p>
        </w:tc>
        <w:tc>
          <w:tcPr>
            <w:tcW w:type="dxa" w:w="6400"/>
            <w:tcMar>
              <w:top w:type="dxa" w:w="80"/>
              <w:left w:type="dxa" w:w="100"/>
              <w:bottom w:type="dxa" w:w="80"/>
              <w:right w:type="dxa" w:w="100"/>
            </w:tcMar>
          </w:tcPr>
          <w:p>
            <w:r>
              <w:rPr>
                <w:sz w:val="20"/>
                <w:szCs w:val="20"/>
              </w:rPr>
              <w:t xml:space="preserve">Rules such as "no hallucinated data," "no unauthorised scraping," and "source citation mandatory" are enforced in code — specifically by the Compliance / Validation Agent — not left as guidelines the AI is simply asked to follow.</w:t>
            </w:r>
          </w:p>
        </w:tc>
      </w:tr>
      <w:tr>
        <w:tc>
          <w:tcPr>
            <w:tcW w:type="dxa" w:w="500"/>
            <w:tcMar>
              <w:top w:type="dxa" w:w="80"/>
              <w:left w:type="dxa" w:w="100"/>
              <w:bottom w:type="dxa" w:w="80"/>
              <w:right w:type="dxa" w:w="100"/>
            </w:tcMar>
          </w:tcPr>
          <w:p>
            <w:r>
              <w:rPr>
                <w:sz w:val="20"/>
                <w:szCs w:val="20"/>
              </w:rPr>
              <w:t xml:space="preserve">16</w:t>
            </w:r>
          </w:p>
        </w:tc>
        <w:tc>
          <w:tcPr>
            <w:tcW w:type="dxa" w:w="2450"/>
            <w:tcMar>
              <w:top w:type="dxa" w:w="80"/>
              <w:left w:type="dxa" w:w="100"/>
              <w:bottom w:type="dxa" w:w="80"/>
              <w:right w:type="dxa" w:w="100"/>
            </w:tcMar>
          </w:tcPr>
          <w:p>
            <w:r>
              <w:rPr>
                <w:sz w:val="20"/>
                <w:szCs w:val="20"/>
              </w:rPr>
              <w:t xml:space="preserve">Frameworks &amp; Engineering</w:t>
            </w:r>
          </w:p>
        </w:tc>
        <w:tc>
          <w:tcPr>
            <w:tcW w:type="dxa" w:w="6400"/>
            <w:tcMar>
              <w:top w:type="dxa" w:w="80"/>
              <w:left w:type="dxa" w:w="100"/>
              <w:bottom w:type="dxa" w:w="80"/>
              <w:right w:type="dxa" w:w="100"/>
            </w:tcMar>
          </w:tcPr>
          <w:p>
            <w:r>
              <w:rPr>
                <w:sz w:val="20"/>
                <w:szCs w:val="20"/>
              </w:rPr>
              <w:t xml:space="preserve">Deliberately choosing plain Python plus Pydantic over a heavier orchestration framework (LangGraph, CrewAI, smolagent) is itself an application of this pillar — picking the simplest tool that fits a linear, predictable pipeline.</w:t>
            </w:r>
          </w:p>
        </w:tc>
      </w:tr>
    </w:tbl>
    <w:p>
      <w:pPr>
        <w:pStyle w:val="Heading2"/>
        <w:spacing w:after="150" w:before="300"/>
      </w:pPr>
      <w:r>
        <w:t xml:space="preserve">8.2 Applied in Lightweight Form</w:t>
      </w:r>
    </w:p>
    <w:p>
      <w:pPr>
        <w:spacing w:after="160"/>
        <w:jc w:val="both"/>
      </w:pPr>
      <w:r>
        <w:rPr>
          <w:sz w:val="22"/>
          <w:szCs w:val="22"/>
        </w:rPr>
        <w:t xml:space="preserve">These pillars matter, but a full, formal implementation would add complexity without adding real value here. Each gets a simple, practical version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50"/>
        <w:gridCol w:w="6400"/>
      </w:tblGrid>
      <w:tr>
        <w:trPr>
          <w:tblHeader/>
        </w:trPr>
        <w:tc>
          <w:tcPr>
            <w:tcW w:type="dxa" w:w="500"/>
            <w:shd w:fill="1F4E5C" w:val="clear"/>
            <w:tcMar>
              <w:top w:type="dxa" w:w="80"/>
              <w:left w:type="dxa" w:w="100"/>
              <w:bottom w:type="dxa" w:w="80"/>
              <w:right w:type="dxa" w:w="100"/>
            </w:tcMar>
          </w:tcPr>
          <w:p>
            <w:r>
              <w:rPr>
                <w:b/>
                <w:bCs/>
                <w:color w:val="FFFFFF"/>
                <w:sz w:val="20"/>
                <w:szCs w:val="20"/>
              </w:rPr>
              <w:t xml:space="preserve">#</w:t>
            </w:r>
          </w:p>
        </w:tc>
        <w:tc>
          <w:tcPr>
            <w:tcW w:type="dxa" w:w="2450"/>
            <w:shd w:fill="1F4E5C" w:val="clear"/>
            <w:tcMar>
              <w:top w:type="dxa" w:w="80"/>
              <w:left w:type="dxa" w:w="100"/>
              <w:bottom w:type="dxa" w:w="80"/>
              <w:right w:type="dxa" w:w="100"/>
            </w:tcMar>
          </w:tcPr>
          <w:p>
            <w:r>
              <w:rPr>
                <w:b/>
                <w:bCs/>
                <w:color w:val="FFFFFF"/>
                <w:sz w:val="20"/>
                <w:szCs w:val="20"/>
              </w:rPr>
              <w:t xml:space="preserve">Pillar</w:t>
            </w:r>
          </w:p>
        </w:tc>
        <w:tc>
          <w:tcPr>
            <w:tcW w:type="dxa" w:w="6400"/>
            <w:shd w:fill="1F4E5C" w:val="clear"/>
            <w:tcMar>
              <w:top w:type="dxa" w:w="80"/>
              <w:left w:type="dxa" w:w="100"/>
              <w:bottom w:type="dxa" w:w="80"/>
              <w:right w:type="dxa" w:w="100"/>
            </w:tcMar>
          </w:tcPr>
          <w:p>
            <w:r>
              <w:rPr>
                <w:b/>
                <w:bCs/>
                <w:color w:val="FFFFFF"/>
                <w:sz w:val="20"/>
                <w:szCs w:val="20"/>
              </w:rPr>
              <w:t xml:space="preserve">Lightweight Version Used Here</w:t>
            </w:r>
          </w:p>
        </w:tc>
      </w:tr>
      <w:tr>
        <w:tc>
          <w:tcPr>
            <w:tcW w:type="dxa" w:w="500"/>
            <w:tcMar>
              <w:top w:type="dxa" w:w="80"/>
              <w:left w:type="dxa" w:w="100"/>
              <w:bottom w:type="dxa" w:w="80"/>
              <w:right w:type="dxa" w:w="100"/>
            </w:tcMar>
          </w:tcPr>
          <w:p>
            <w:r>
              <w:rPr>
                <w:sz w:val="20"/>
                <w:szCs w:val="20"/>
              </w:rPr>
              <w:t xml:space="preserve">2</w:t>
            </w:r>
          </w:p>
        </w:tc>
        <w:tc>
          <w:tcPr>
            <w:tcW w:type="dxa" w:w="2450"/>
            <w:tcMar>
              <w:top w:type="dxa" w:w="80"/>
              <w:left w:type="dxa" w:w="100"/>
              <w:bottom w:type="dxa" w:w="80"/>
              <w:right w:type="dxa" w:w="100"/>
            </w:tcMar>
          </w:tcPr>
          <w:p>
            <w:r>
              <w:rPr>
                <w:sz w:val="20"/>
                <w:szCs w:val="20"/>
              </w:rPr>
              <w:t xml:space="preserve">Task Allocation &amp; Routing</w:t>
            </w:r>
          </w:p>
        </w:tc>
        <w:tc>
          <w:tcPr>
            <w:tcW w:type="dxa" w:w="6400"/>
            <w:tcMar>
              <w:top w:type="dxa" w:w="80"/>
              <w:left w:type="dxa" w:w="100"/>
              <w:bottom w:type="dxa" w:w="80"/>
              <w:right w:type="dxa" w:w="100"/>
            </w:tcMar>
          </w:tcPr>
          <w:p>
            <w:r>
              <w:rPr>
                <w:sz w:val="20"/>
                <w:szCs w:val="20"/>
              </w:rPr>
              <w:t xml:space="preserve">A simple if/else state machine reads each company's status field and routes it to the correct next agent. No dedicated routing engine is needed.</w:t>
            </w:r>
          </w:p>
        </w:tc>
      </w:tr>
      <w:tr>
        <w:tc>
          <w:tcPr>
            <w:tcW w:type="dxa" w:w="500"/>
            <w:tcMar>
              <w:top w:type="dxa" w:w="80"/>
              <w:left w:type="dxa" w:w="100"/>
              <w:bottom w:type="dxa" w:w="80"/>
              <w:right w:type="dxa" w:w="100"/>
            </w:tcMar>
          </w:tcPr>
          <w:p>
            <w:r>
              <w:rPr>
                <w:sz w:val="20"/>
                <w:szCs w:val="20"/>
              </w:rPr>
              <w:t xml:space="preserve">3</w:t>
            </w:r>
          </w:p>
        </w:tc>
        <w:tc>
          <w:tcPr>
            <w:tcW w:type="dxa" w:w="2450"/>
            <w:tcMar>
              <w:top w:type="dxa" w:w="80"/>
              <w:left w:type="dxa" w:w="100"/>
              <w:bottom w:type="dxa" w:w="80"/>
              <w:right w:type="dxa" w:w="100"/>
            </w:tcMar>
          </w:tcPr>
          <w:p>
            <w:r>
              <w:rPr>
                <w:sz w:val="20"/>
                <w:szCs w:val="20"/>
              </w:rPr>
              <w:t xml:space="preserve">Team Design &amp; Organisation</w:t>
            </w:r>
          </w:p>
        </w:tc>
        <w:tc>
          <w:tcPr>
            <w:tcW w:type="dxa" w:w="6400"/>
            <w:tcMar>
              <w:top w:type="dxa" w:w="80"/>
              <w:left w:type="dxa" w:w="100"/>
              <w:bottom w:type="dxa" w:w="80"/>
              <w:right w:type="dxa" w:w="100"/>
            </w:tcMar>
          </w:tcPr>
          <w:p>
            <w:r>
              <w:rPr>
                <w:sz w:val="20"/>
                <w:szCs w:val="20"/>
              </w:rPr>
              <w:t xml:space="preserve">Each module has clear, exclusive ownership of specific fields (e.g. only the Scoring Agent writes the score field), so two components never overwrite each other's work.</w:t>
            </w:r>
          </w:p>
        </w:tc>
      </w:tr>
      <w:tr>
        <w:tc>
          <w:tcPr>
            <w:tcW w:type="dxa" w:w="500"/>
            <w:tcMar>
              <w:top w:type="dxa" w:w="80"/>
              <w:left w:type="dxa" w:w="100"/>
              <w:bottom w:type="dxa" w:w="80"/>
              <w:right w:type="dxa" w:w="100"/>
            </w:tcMar>
          </w:tcPr>
          <w:p>
            <w:r>
              <w:rPr>
                <w:sz w:val="20"/>
                <w:szCs w:val="20"/>
              </w:rPr>
              <w:t xml:space="preserve">4</w:t>
            </w:r>
          </w:p>
        </w:tc>
        <w:tc>
          <w:tcPr>
            <w:tcW w:type="dxa" w:w="2450"/>
            <w:tcMar>
              <w:top w:type="dxa" w:w="80"/>
              <w:left w:type="dxa" w:w="100"/>
              <w:bottom w:type="dxa" w:w="80"/>
              <w:right w:type="dxa" w:w="100"/>
            </w:tcMar>
          </w:tcPr>
          <w:p>
            <w:r>
              <w:rPr>
                <w:sz w:val="20"/>
                <w:szCs w:val="20"/>
              </w:rPr>
              <w:t xml:space="preserve">Planning &amp; Decomposition</w:t>
            </w:r>
          </w:p>
        </w:tc>
        <w:tc>
          <w:tcPr>
            <w:tcW w:type="dxa" w:w="6400"/>
            <w:tcMar>
              <w:top w:type="dxa" w:w="80"/>
              <w:left w:type="dxa" w:w="100"/>
              <w:bottom w:type="dxa" w:w="80"/>
              <w:right w:type="dxa" w:w="100"/>
            </w:tcMar>
          </w:tcPr>
          <w:p>
            <w:r>
              <w:rPr>
                <w:sz w:val="20"/>
                <w:szCs w:val="20"/>
              </w:rPr>
              <w:t xml:space="preserve">Each company moves through an explicit checklist of stages (researched → scored → enriched → approved → uploaded), so no step can be silently skipped or duplicated.</w:t>
            </w:r>
          </w:p>
        </w:tc>
      </w:tr>
      <w:tr>
        <w:tc>
          <w:tcPr>
            <w:tcW w:type="dxa" w:w="500"/>
            <w:tcMar>
              <w:top w:type="dxa" w:w="80"/>
              <w:left w:type="dxa" w:w="100"/>
              <w:bottom w:type="dxa" w:w="80"/>
              <w:right w:type="dxa" w:w="100"/>
            </w:tcMar>
          </w:tcPr>
          <w:p>
            <w:r>
              <w:rPr>
                <w:sz w:val="20"/>
                <w:szCs w:val="20"/>
              </w:rPr>
              <w:t xml:space="preserve">6</w:t>
            </w:r>
          </w:p>
        </w:tc>
        <w:tc>
          <w:tcPr>
            <w:tcW w:type="dxa" w:w="2450"/>
            <w:tcMar>
              <w:top w:type="dxa" w:w="80"/>
              <w:left w:type="dxa" w:w="100"/>
              <w:bottom w:type="dxa" w:w="80"/>
              <w:right w:type="dxa" w:w="100"/>
            </w:tcMar>
          </w:tcPr>
          <w:p>
            <w:r>
              <w:rPr>
                <w:sz w:val="20"/>
                <w:szCs w:val="20"/>
              </w:rPr>
              <w:t xml:space="preserve">Negotiation &amp; Conflict</w:t>
            </w:r>
          </w:p>
        </w:tc>
        <w:tc>
          <w:tcPr>
            <w:tcW w:type="dxa" w:w="6400"/>
            <w:tcMar>
              <w:top w:type="dxa" w:w="80"/>
              <w:left w:type="dxa" w:w="100"/>
              <w:bottom w:type="dxa" w:w="80"/>
              <w:right w:type="dxa" w:w="100"/>
            </w:tcMar>
          </w:tcPr>
          <w:p>
            <w:r>
              <w:rPr>
                <w:sz w:val="20"/>
                <w:szCs w:val="20"/>
              </w:rPr>
              <w:t xml:space="preserve">When sources disagree (e.g. two different CSR spend figures), a fixed source-priority rule decides — official website, then annual report, then news. Unresolved conflicts are flagged for human review rather than settled by the agent.</w:t>
            </w:r>
          </w:p>
        </w:tc>
      </w:tr>
      <w:tr>
        <w:tc>
          <w:tcPr>
            <w:tcW w:type="dxa" w:w="500"/>
            <w:tcMar>
              <w:top w:type="dxa" w:w="80"/>
              <w:left w:type="dxa" w:w="100"/>
              <w:bottom w:type="dxa" w:w="80"/>
              <w:right w:type="dxa" w:w="100"/>
            </w:tcMar>
          </w:tcPr>
          <w:p>
            <w:r>
              <w:rPr>
                <w:sz w:val="20"/>
                <w:szCs w:val="20"/>
              </w:rPr>
              <w:t xml:space="preserve">7</w:t>
            </w:r>
          </w:p>
        </w:tc>
        <w:tc>
          <w:tcPr>
            <w:tcW w:type="dxa" w:w="2450"/>
            <w:tcMar>
              <w:top w:type="dxa" w:w="80"/>
              <w:left w:type="dxa" w:w="100"/>
              <w:bottom w:type="dxa" w:w="80"/>
              <w:right w:type="dxa" w:w="100"/>
            </w:tcMar>
          </w:tcPr>
          <w:p>
            <w:r>
              <w:rPr>
                <w:sz w:val="20"/>
                <w:szCs w:val="20"/>
              </w:rPr>
              <w:t xml:space="preserve">Agent Architecture (BDI)</w:t>
            </w:r>
          </w:p>
        </w:tc>
        <w:tc>
          <w:tcPr>
            <w:tcW w:type="dxa" w:w="6400"/>
            <w:tcMar>
              <w:top w:type="dxa" w:w="80"/>
              <w:left w:type="dxa" w:w="100"/>
              <w:bottom w:type="dxa" w:w="80"/>
              <w:right w:type="dxa" w:w="100"/>
            </w:tcMar>
          </w:tcPr>
          <w:p>
            <w:r>
              <w:rPr>
                <w:sz w:val="20"/>
                <w:szCs w:val="20"/>
              </w:rPr>
              <w:t xml:space="preserve">Each agent is given a narrow, explicit goal and a constrained output schema in its prompt, rather than a full formal belief-desire-intention architecture. This is enough to keep agents from drifting off-task.</w:t>
            </w:r>
          </w:p>
        </w:tc>
      </w:tr>
      <w:tr>
        <w:tc>
          <w:tcPr>
            <w:tcW w:type="dxa" w:w="500"/>
            <w:tcMar>
              <w:top w:type="dxa" w:w="80"/>
              <w:left w:type="dxa" w:w="100"/>
              <w:bottom w:type="dxa" w:w="80"/>
              <w:right w:type="dxa" w:w="100"/>
            </w:tcMar>
          </w:tcPr>
          <w:p>
            <w:r>
              <w:rPr>
                <w:sz w:val="20"/>
                <w:szCs w:val="20"/>
              </w:rPr>
              <w:t xml:space="preserve">9</w:t>
            </w:r>
          </w:p>
        </w:tc>
        <w:tc>
          <w:tcPr>
            <w:tcW w:type="dxa" w:w="2450"/>
            <w:tcMar>
              <w:top w:type="dxa" w:w="80"/>
              <w:left w:type="dxa" w:w="100"/>
              <w:bottom w:type="dxa" w:w="80"/>
              <w:right w:type="dxa" w:w="100"/>
            </w:tcMar>
          </w:tcPr>
          <w:p>
            <w:r>
              <w:rPr>
                <w:sz w:val="20"/>
                <w:szCs w:val="20"/>
              </w:rPr>
              <w:t xml:space="preserve">Learning &amp; Adaptation</w:t>
            </w:r>
          </w:p>
        </w:tc>
        <w:tc>
          <w:tcPr>
            <w:tcW w:type="dxa" w:w="6400"/>
            <w:tcMar>
              <w:top w:type="dxa" w:w="80"/>
              <w:left w:type="dxa" w:w="100"/>
              <w:bottom w:type="dxa" w:w="80"/>
              <w:right w:type="dxa" w:w="100"/>
            </w:tcMar>
          </w:tcPr>
          <w:p>
            <w:r>
              <w:rPr>
                <w:sz w:val="20"/>
                <w:szCs w:val="20"/>
              </w:rPr>
              <w:t xml:space="preserve">The system does not self-modify. Approval and rejection outcomes are reviewed manually on a regular cadence, and scoring weights are adjusted by a person — not automatically — to avoid unsupervised drift in a CRM-facing system.</w:t>
            </w:r>
          </w:p>
        </w:tc>
      </w:tr>
      <w:tr>
        <w:tc>
          <w:tcPr>
            <w:tcW w:type="dxa" w:w="500"/>
            <w:tcMar>
              <w:top w:type="dxa" w:w="80"/>
              <w:left w:type="dxa" w:w="100"/>
              <w:bottom w:type="dxa" w:w="80"/>
              <w:right w:type="dxa" w:w="100"/>
            </w:tcMar>
          </w:tcPr>
          <w:p>
            <w:r>
              <w:rPr>
                <w:sz w:val="20"/>
                <w:szCs w:val="20"/>
              </w:rPr>
              <w:t xml:space="preserve">12</w:t>
            </w:r>
          </w:p>
        </w:tc>
        <w:tc>
          <w:tcPr>
            <w:tcW w:type="dxa" w:w="2450"/>
            <w:tcMar>
              <w:top w:type="dxa" w:w="80"/>
              <w:left w:type="dxa" w:w="100"/>
              <w:bottom w:type="dxa" w:w="80"/>
              <w:right w:type="dxa" w:w="100"/>
            </w:tcMar>
          </w:tcPr>
          <w:p>
            <w:r>
              <w:rPr>
                <w:sz w:val="20"/>
                <w:szCs w:val="20"/>
              </w:rPr>
              <w:t xml:space="preserve">Trust &amp; Reputation</w:t>
            </w:r>
          </w:p>
        </w:tc>
        <w:tc>
          <w:tcPr>
            <w:tcW w:type="dxa" w:w="6400"/>
            <w:tcMar>
              <w:top w:type="dxa" w:w="80"/>
              <w:left w:type="dxa" w:w="100"/>
              <w:bottom w:type="dxa" w:w="80"/>
              <w:right w:type="dxa" w:w="100"/>
            </w:tcMar>
          </w:tcPr>
          <w:p>
            <w:r>
              <w:rPr>
                <w:sz w:val="20"/>
                <w:szCs w:val="20"/>
              </w:rPr>
              <w:t xml:space="preserve">Every source is tagged with a confidence level (e.g. "verified" vs. "unverified"), so low-confidence data is visibly flagged to the human reviewer instead of being treated the same as verified data.</w:t>
            </w:r>
          </w:p>
        </w:tc>
      </w:tr>
      <w:tr>
        <w:tc>
          <w:tcPr>
            <w:tcW w:type="dxa" w:w="500"/>
            <w:tcMar>
              <w:top w:type="dxa" w:w="80"/>
              <w:left w:type="dxa" w:w="100"/>
              <w:bottom w:type="dxa" w:w="80"/>
              <w:right w:type="dxa" w:w="100"/>
            </w:tcMar>
          </w:tcPr>
          <w:p>
            <w:r>
              <w:rPr>
                <w:sz w:val="20"/>
                <w:szCs w:val="20"/>
              </w:rPr>
              <w:t xml:space="preserve">14</w:t>
            </w:r>
          </w:p>
        </w:tc>
        <w:tc>
          <w:tcPr>
            <w:tcW w:type="dxa" w:w="2450"/>
            <w:tcMar>
              <w:top w:type="dxa" w:w="80"/>
              <w:left w:type="dxa" w:w="100"/>
              <w:bottom w:type="dxa" w:w="80"/>
              <w:right w:type="dxa" w:w="100"/>
            </w:tcMar>
          </w:tcPr>
          <w:p>
            <w:r>
              <w:rPr>
                <w:sz w:val="20"/>
                <w:szCs w:val="20"/>
              </w:rPr>
              <w:t xml:space="preserve">Simulation &amp; Testing</w:t>
            </w:r>
          </w:p>
        </w:tc>
        <w:tc>
          <w:tcPr>
            <w:tcW w:type="dxa" w:w="6400"/>
            <w:tcMar>
              <w:top w:type="dxa" w:w="80"/>
              <w:left w:type="dxa" w:w="100"/>
              <w:bottom w:type="dxa" w:w="80"/>
              <w:right w:type="dxa" w:w="100"/>
            </w:tcMar>
          </w:tcPr>
          <w:p>
            <w:r>
              <w:rPr>
                <w:sz w:val="20"/>
                <w:szCs w:val="20"/>
              </w:rPr>
              <w:t xml:space="preserve">A golden test set of 20–30 companies with manually verified expected output is used to check the pipeline before trusting it on new, unseen companies.</w:t>
            </w:r>
          </w:p>
        </w:tc>
      </w:tr>
      <w:tr>
        <w:tc>
          <w:tcPr>
            <w:tcW w:type="dxa" w:w="500"/>
            <w:tcMar>
              <w:top w:type="dxa" w:w="80"/>
              <w:left w:type="dxa" w:w="100"/>
              <w:bottom w:type="dxa" w:w="80"/>
              <w:right w:type="dxa" w:w="100"/>
            </w:tcMar>
          </w:tcPr>
          <w:p>
            <w:r>
              <w:rPr>
                <w:sz w:val="20"/>
                <w:szCs w:val="20"/>
              </w:rPr>
              <w:t xml:space="preserve">15</w:t>
            </w:r>
          </w:p>
        </w:tc>
        <w:tc>
          <w:tcPr>
            <w:tcW w:type="dxa" w:w="2450"/>
            <w:tcMar>
              <w:top w:type="dxa" w:w="80"/>
              <w:left w:type="dxa" w:w="100"/>
              <w:bottom w:type="dxa" w:w="80"/>
              <w:right w:type="dxa" w:w="100"/>
            </w:tcMar>
          </w:tcPr>
          <w:p>
            <w:r>
              <w:rPr>
                <w:sz w:val="20"/>
                <w:szCs w:val="20"/>
              </w:rPr>
              <w:t xml:space="preserve">Evaluation &amp; Failure Analysis</w:t>
            </w:r>
          </w:p>
        </w:tc>
        <w:tc>
          <w:tcPr>
            <w:tcW w:type="dxa" w:w="6400"/>
            <w:tcMar>
              <w:top w:type="dxa" w:w="80"/>
              <w:left w:type="dxa" w:w="100"/>
              <w:bottom w:type="dxa" w:w="80"/>
              <w:right w:type="dxa" w:w="100"/>
            </w:tcMar>
          </w:tcPr>
          <w:p>
            <w:r>
              <w:rPr>
                <w:sz w:val="20"/>
                <w:szCs w:val="20"/>
              </w:rPr>
              <w:t xml:space="preserve">The audit log feeds a small set of ongoing metrics — "Not Found" rate, human-override rate, duplicate-catch rate — reviewed periodically to catch quality drift early.</w:t>
            </w:r>
          </w:p>
        </w:tc>
      </w:tr>
    </w:tbl>
    <w:p>
      <w:pPr>
        <w:pStyle w:val="Heading2"/>
        <w:spacing w:after="150" w:before="300"/>
      </w:pPr>
      <w:r>
        <w:t xml:space="preserve">8.3 Out of Scope for This Project</w:t>
      </w:r>
    </w:p>
    <w:p>
      <w:pPr>
        <w:spacing w:after="160"/>
        <w:jc w:val="both"/>
      </w:pPr>
      <w:r>
        <w:rPr>
          <w:sz w:val="22"/>
          <w:szCs w:val="22"/>
        </w:rPr>
        <w:t xml:space="preserve">These pillars are part of general MAS theory but do not apply meaningfully to a text-and-data pipeline like this one. They are noted here for completeness, so the team understands they were considered and consciously left out rather than overlooked.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50"/>
      </w:tblGrid>
      <w:tr>
        <w:trPr>
          <w:tblHeader/>
        </w:trPr>
        <w:tc>
          <w:tcPr>
            <w:tcW w:type="dxa" w:w="500"/>
            <w:shd w:fill="1F4E5C" w:val="clear"/>
            <w:tcMar>
              <w:top w:type="dxa" w:w="80"/>
              <w:left w:type="dxa" w:w="100"/>
              <w:bottom w:type="dxa" w:w="80"/>
              <w:right w:type="dxa" w:w="100"/>
            </w:tcMar>
          </w:tcPr>
          <w:p>
            <w:r>
              <w:rPr>
                <w:b/>
                <w:bCs/>
                <w:color w:val="FFFFFF"/>
                <w:sz w:val="20"/>
                <w:szCs w:val="20"/>
              </w:rPr>
              <w:t xml:space="preserve">#</w:t>
            </w:r>
          </w:p>
        </w:tc>
        <w:tc>
          <w:tcPr>
            <w:tcW w:type="dxa" w:w="2900"/>
            <w:shd w:fill="1F4E5C" w:val="clear"/>
            <w:tcMar>
              <w:top w:type="dxa" w:w="80"/>
              <w:left w:type="dxa" w:w="100"/>
              <w:bottom w:type="dxa" w:w="80"/>
              <w:right w:type="dxa" w:w="100"/>
            </w:tcMar>
          </w:tcPr>
          <w:p>
            <w:r>
              <w:rPr>
                <w:b/>
                <w:bCs/>
                <w:color w:val="FFFFFF"/>
                <w:sz w:val="20"/>
                <w:szCs w:val="20"/>
              </w:rPr>
              <w:t xml:space="preserve">Pillar</w:t>
            </w:r>
          </w:p>
        </w:tc>
        <w:tc>
          <w:tcPr>
            <w:tcW w:type="dxa" w:w="5950"/>
            <w:shd w:fill="1F4E5C" w:val="clear"/>
            <w:tcMar>
              <w:top w:type="dxa" w:w="80"/>
              <w:left w:type="dxa" w:w="100"/>
              <w:bottom w:type="dxa" w:w="80"/>
              <w:right w:type="dxa" w:w="100"/>
            </w:tcMar>
          </w:tcPr>
          <w:p>
            <w:r>
              <w:rPr>
                <w:b/>
                <w:bCs/>
                <w:color w:val="FFFFFF"/>
                <w:sz w:val="20"/>
                <w:szCs w:val="20"/>
              </w:rPr>
              <w:t xml:space="preserve">Why It Does Not Apply Here</w:t>
            </w:r>
          </w:p>
        </w:tc>
      </w:tr>
      <w:tr>
        <w:tc>
          <w:tcPr>
            <w:tcW w:type="dxa" w:w="500"/>
            <w:tcMar>
              <w:top w:type="dxa" w:w="80"/>
              <w:left w:type="dxa" w:w="100"/>
              <w:bottom w:type="dxa" w:w="80"/>
              <w:right w:type="dxa" w:w="100"/>
            </w:tcMar>
          </w:tcPr>
          <w:p>
            <w:r>
              <w:rPr>
                <w:sz w:val="20"/>
                <w:szCs w:val="20"/>
              </w:rPr>
              <w:t xml:space="preserve">11</w:t>
            </w:r>
          </w:p>
        </w:tc>
        <w:tc>
          <w:tcPr>
            <w:tcW w:type="dxa" w:w="2900"/>
            <w:tcMar>
              <w:top w:type="dxa" w:w="80"/>
              <w:left w:type="dxa" w:w="100"/>
              <w:bottom w:type="dxa" w:w="80"/>
              <w:right w:type="dxa" w:w="100"/>
            </w:tcMar>
          </w:tcPr>
          <w:p>
            <w:r>
              <w:rPr>
                <w:sz w:val="20"/>
                <w:szCs w:val="20"/>
              </w:rPr>
              <w:t xml:space="preserve">Embodied &amp; Physical Agents</w:t>
            </w:r>
          </w:p>
        </w:tc>
        <w:tc>
          <w:tcPr>
            <w:tcW w:type="dxa" w:w="5950"/>
            <w:tcMar>
              <w:top w:type="dxa" w:w="80"/>
              <w:left w:type="dxa" w:w="100"/>
              <w:bottom w:type="dxa" w:w="80"/>
              <w:right w:type="dxa" w:w="100"/>
            </w:tcMar>
          </w:tcPr>
          <w:p>
            <w:r>
              <w:rPr>
                <w:sz w:val="20"/>
                <w:szCs w:val="20"/>
              </w:rPr>
              <w:t xml:space="preserve">This project has no physical robots or real-world sensors. The closest equivalents — API rate limits, data-licensing terms — are handled as ordinary engineering constraints rather than a dedicated pillar.</w:t>
            </w:r>
          </w:p>
        </w:tc>
      </w:tr>
    </w:tbl>
    <w:p>
      <w:pPr>
        <w:pStyle w:val="Heading1"/>
        <w:spacing w:after="200" w:before="400"/>
      </w:pPr>
      <w:r>
        <w:t xml:space="preserve">9. Why This Mapping Matters</w:t>
      </w:r>
    </w:p>
    <w:p>
      <w:pPr>
        <w:spacing w:after="160"/>
        <w:jc w:val="both"/>
      </w:pPr>
      <w:r>
        <w:rPr>
          <w:sz w:val="22"/>
          <w:szCs w:val="22"/>
        </w:rPr>
        <w:t xml:space="preserve">Presenting all 16 pillars as equally important would misrepresent how real systems get built. Part of the value of this project as a teaching example is showing that good engineering involves judgement: some theoretical concerns deserve full, careful implementation, some deserve a lightweight practical version, and some genuinely do not apply to the problem at hand. Walking through this mapping with the team turns their MAS coursework from abstract vocabulary into a concrete understanding of how — and how much — each concept shows up in a real, working AI system.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2026-07-11T16:51:39.452Z</dcterms:created>
  <dcterms:modified xsi:type="dcterms:W3CDTF">2026-07-11T16:51:39.465Z</dcterms:modified>
</cp:coreProperties>
</file>

<file path=docProps/custom.xml><?xml version="1.0" encoding="utf-8"?>
<Properties xmlns="http://schemas.openxmlformats.org/officeDocument/2006/custom-properties" xmlns:vt="http://schemas.openxmlformats.org/officeDocument/2006/docPropsVTypes"/>
</file>