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INTEGRATED RESEARCH SYNTHESIS</w:t>
        <w:br/>
      </w:r>
      <w:r>
        <w:rPr>
          <w:b/>
          <w:sz w:val="32"/>
        </w:rPr>
        <w:t>Phishing Email Detection: Base Architecture, Research Gaps,</w:t>
        <w:br/>
        <w:t>Empirical Observations, and Financial-Phishing Directions</w:t>
      </w:r>
    </w:p>
    <w:p>
      <w:pPr>
        <w:jc w:val="center"/>
      </w:pPr>
      <w:r>
        <w:rPr>
          <w:i/>
        </w:rPr>
        <w:br/>
        <w:t>Academic Research Assistant Report</w:t>
        <w:br/>
      </w:r>
      <w:r>
        <w:t>Prepared from the supplied base-paper analysis, comparison review, scanned research notes, and financial-phishing gap document.</w:t>
      </w:r>
      <w:r>
        <w:br/>
        <w:br/>
        <w:t>8 October 2026</w:t>
      </w:r>
    </w:p>
    <w:p>
      <w:r>
        <w:br w:type="page"/>
      </w:r>
    </w:p>
    <w:p>
      <w:pPr>
        <w:pStyle w:val="Heading1"/>
      </w:pPr>
      <w:r>
        <w:t>Executive Synthesis</w:t>
      </w:r>
    </w:p>
    <w:p>
      <w:r>
        <w:t>The supplied materials converge on a central observation: modern phishing detection is moving from single-signal, single-email classification toward systems that combine contextual language understanding, sender and URL evidence, robustness to adversarial manipulation, temporal context, and operational constraints such as false-positive rate, latency, calibration, and deployment cost.</w:t>
      </w:r>
    </w:p>
    <w:p>
      <w:r>
        <w:t>The base paper provides a strong deep-learning starting point—BERT, multi-head attention, CNN, BiGRU, and Mountain Gazelle Optimizer (MGO)—but its evidence is primarily text-only and is evaluated on one public dataset. The comparison review argues that simply adding more modules would create an unfocused 'kitchen-sink' architecture. Instead, a defensible next step is a layered, evidence-aware hybrid in which each signal has a defined purpose and every added component is justified through ablation, matched-FPR evaluation, robustness testing, and lifecycle measurements.</w:t>
      </w:r>
    </w:p>
    <w:p>
      <w:r>
        <w:t>The financial-phishing document narrows this general problem to a particularly practical research direction: conversation-level financial phishing combined with financial-intent detection. This preserves the project’s phishing-email focus while addressing a realistic weakness of traditional message-level classifiers.</w:t>
      </w:r>
    </w:p>
    <w:p>
      <w:pPr>
        <w:pStyle w:val="Heading1"/>
      </w:pPr>
      <w:r>
        <w:t>1. Base Paper Context &amp; Overview</w:t>
      </w:r>
    </w:p>
    <w:p>
      <w:pPr>
        <w:pStyle w:val="Heading2"/>
      </w:pPr>
      <w:r>
        <w:t>1.1 Paper identity and problem setting</w:t>
      </w:r>
    </w:p>
    <w:p>
      <w:r>
        <w:t>Base paper: “Improving phishing email detection performance through deep learning with adaptive optimization,” Scientific Reports, 2025, 15:36724. The proposed architecture is referred to here as **BCG-MHeadAttention-MGO**: BERT + CNN + BiGRU + Multi-Head Attention, with MGO used for hyperparameter tuning.</w:t>
      </w:r>
    </w:p>
    <w:p>
      <w:r>
        <w:t>The paper addresses the problem of detecting phishing versus safe email using a hybrid deep-learning classifier. Its underlying motivation is that rule-based, signature-based, and conventional NLP approaches can struggle with evolving or disguised phishing, while contextual language representations and hybrid feature extraction can capture more complex patterns.</w:t>
      </w:r>
    </w:p>
    <w:p>
      <w:pPr>
        <w:pStyle w:val="Heading2"/>
      </w:pPr>
      <w:r>
        <w:t>1.2 Dataset and input characteristics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Property</w:t>
            </w:r>
          </w:p>
        </w:tc>
        <w:tc>
          <w:tcPr>
            <w:tcW w:type="dxa" w:w="3312"/>
            <w:vAlign w:val="center"/>
            <w:shd w:fill="D9EAF7"/>
          </w:tcPr>
          <w:p>
            <w:r/>
            <w:r>
              <w:rPr>
                <w:b/>
                <w:sz w:val="18"/>
              </w:rPr>
              <w:t>Reported / inferred value</w:t>
            </w:r>
          </w:p>
        </w:tc>
        <w:tc>
          <w:tcPr>
            <w:tcW w:type="dxa" w:w="3312"/>
            <w:vAlign w:val="center"/>
            <w:shd w:fill="D9EAF7"/>
          </w:tcPr>
          <w:p>
            <w:r/>
            <w:r>
              <w:rPr>
                <w:b/>
                <w:sz w:val="18"/>
              </w:rPr>
              <w:t>Interpretation</w:t>
            </w:r>
          </w:p>
        </w:tc>
      </w:tr>
      <w:tr>
        <w:tc>
          <w:tcPr>
            <w:tcW w:type="dxa" w:w="3312"/>
            <w:vAlign w:val="center"/>
          </w:tcPr>
          <w:p>
            <w:r/>
            <w:r>
              <w:rPr>
                <w:b w:val="0"/>
                <w:sz w:val="18"/>
              </w:rPr>
              <w:t>Dataset</w:t>
            </w:r>
          </w:p>
        </w:tc>
        <w:tc>
          <w:tcPr>
            <w:tcW w:type="dxa" w:w="3312"/>
            <w:vAlign w:val="center"/>
          </w:tcPr>
          <w:p>
            <w:r/>
            <w:r>
              <w:rPr>
                <w:b w:val="0"/>
                <w:sz w:val="18"/>
              </w:rPr>
              <w:t>Kaggle Phishing Emails dataset (subhajournal/phishingemails)</w:t>
            </w:r>
          </w:p>
        </w:tc>
        <w:tc>
          <w:tcPr>
            <w:tcW w:type="dxa" w:w="3312"/>
            <w:vAlign w:val="center"/>
          </w:tcPr>
          <w:p>
            <w:r/>
            <w:r>
              <w:rPr>
                <w:b w:val="0"/>
                <w:sz w:val="18"/>
              </w:rPr>
              <w:t>Single public dataset</w:t>
            </w:r>
          </w:p>
        </w:tc>
      </w:tr>
      <w:tr>
        <w:tc>
          <w:tcPr>
            <w:tcW w:type="dxa" w:w="3312"/>
            <w:vAlign w:val="center"/>
          </w:tcPr>
          <w:p>
            <w:r/>
            <w:r>
              <w:rPr>
                <w:b w:val="0"/>
                <w:sz w:val="18"/>
              </w:rPr>
              <w:t>Total samples</w:t>
            </w:r>
          </w:p>
        </w:tc>
        <w:tc>
          <w:tcPr>
            <w:tcW w:type="dxa" w:w="3312"/>
            <w:vAlign w:val="center"/>
          </w:tcPr>
          <w:p>
            <w:r/>
            <w:r>
              <w:rPr>
                <w:b w:val="0"/>
                <w:sz w:val="18"/>
              </w:rPr>
              <w:t>18,650</w:t>
            </w:r>
          </w:p>
        </w:tc>
        <w:tc>
          <w:tcPr>
            <w:tcW w:type="dxa" w:w="3312"/>
            <w:vAlign w:val="center"/>
          </w:tcPr>
          <w:p>
            <w:r/>
            <w:r>
              <w:rPr>
                <w:b w:val="0"/>
                <w:sz w:val="18"/>
              </w:rPr>
              <w:t>Binary phishing/safe corpus</w:t>
            </w:r>
          </w:p>
        </w:tc>
      </w:tr>
      <w:tr>
        <w:tc>
          <w:tcPr>
            <w:tcW w:type="dxa" w:w="3312"/>
            <w:vAlign w:val="center"/>
          </w:tcPr>
          <w:p>
            <w:r/>
            <w:r>
              <w:rPr>
                <w:b w:val="0"/>
                <w:sz w:val="18"/>
              </w:rPr>
              <w:t>Class distribution</w:t>
            </w:r>
          </w:p>
        </w:tc>
        <w:tc>
          <w:tcPr>
            <w:tcW w:type="dxa" w:w="3312"/>
            <w:vAlign w:val="center"/>
          </w:tcPr>
          <w:p>
            <w:r/>
            <w:r>
              <w:rPr>
                <w:b w:val="0"/>
                <w:sz w:val="18"/>
              </w:rPr>
              <w:t>≈61% safe; ≈39% phishing</w:t>
            </w:r>
          </w:p>
        </w:tc>
        <w:tc>
          <w:tcPr>
            <w:tcW w:type="dxa" w:w="3312"/>
            <w:vAlign w:val="center"/>
          </w:tcPr>
          <w:p>
            <w:r/>
            <w:r>
              <w:rPr>
                <w:b w:val="0"/>
                <w:sz w:val="18"/>
              </w:rPr>
              <w:t>Moderate class imbalance</w:t>
            </w:r>
          </w:p>
        </w:tc>
      </w:tr>
      <w:tr>
        <w:tc>
          <w:tcPr>
            <w:tcW w:type="dxa" w:w="3312"/>
            <w:vAlign w:val="center"/>
          </w:tcPr>
          <w:p>
            <w:r/>
            <w:r>
              <w:rPr>
                <w:b w:val="0"/>
                <w:sz w:val="18"/>
              </w:rPr>
              <w:t>Cleaning</w:t>
            </w:r>
          </w:p>
        </w:tc>
        <w:tc>
          <w:tcPr>
            <w:tcW w:type="dxa" w:w="3312"/>
            <w:vAlign w:val="center"/>
          </w:tcPr>
          <w:p>
            <w:r/>
            <w:r>
              <w:rPr>
                <w:b w:val="0"/>
                <w:sz w:val="18"/>
              </w:rPr>
              <w:t>Empty-body emails removed</w:t>
            </w:r>
          </w:p>
        </w:tc>
        <w:tc>
          <w:tcPr>
            <w:tcW w:type="dxa" w:w="3312"/>
            <w:vAlign w:val="center"/>
          </w:tcPr>
          <w:p>
            <w:r/>
            <w:r>
              <w:rPr>
                <w:b w:val="0"/>
                <w:sz w:val="18"/>
              </w:rPr>
              <w:t>Other duplicate/data-quality handling not reported</w:t>
            </w:r>
          </w:p>
        </w:tc>
      </w:tr>
      <w:tr>
        <w:tc>
          <w:tcPr>
            <w:tcW w:type="dxa" w:w="3312"/>
            <w:vAlign w:val="center"/>
          </w:tcPr>
          <w:p>
            <w:r/>
            <w:r>
              <w:rPr>
                <w:b w:val="0"/>
                <w:sz w:val="18"/>
              </w:rPr>
              <w:t>Input used by model</w:t>
            </w:r>
          </w:p>
        </w:tc>
        <w:tc>
          <w:tcPr>
            <w:tcW w:type="dxa" w:w="3312"/>
            <w:vAlign w:val="center"/>
          </w:tcPr>
          <w:p>
            <w:r/>
            <w:r>
              <w:rPr>
                <w:b w:val="0"/>
                <w:sz w:val="18"/>
              </w:rPr>
              <w:t>Email text</w:t>
            </w:r>
          </w:p>
        </w:tc>
        <w:tc>
          <w:tcPr>
            <w:tcW w:type="dxa" w:w="3312"/>
            <w:vAlign w:val="center"/>
          </w:tcPr>
          <w:p>
            <w:r/>
            <w:r>
              <w:rPr>
                <w:b w:val="0"/>
                <w:sz w:val="18"/>
              </w:rPr>
              <w:t>Figure 2 indicates a text-only model input</w:t>
            </w:r>
          </w:p>
        </w:tc>
      </w:tr>
      <w:tr>
        <w:tc>
          <w:tcPr>
            <w:tcW w:type="dxa" w:w="3312"/>
            <w:vAlign w:val="center"/>
          </w:tcPr>
          <w:p>
            <w:r/>
            <w:r>
              <w:rPr>
                <w:b w:val="0"/>
                <w:sz w:val="18"/>
              </w:rPr>
              <w:t>Labels</w:t>
            </w:r>
          </w:p>
        </w:tc>
        <w:tc>
          <w:tcPr>
            <w:tcW w:type="dxa" w:w="3312"/>
            <w:vAlign w:val="center"/>
          </w:tcPr>
          <w:p>
            <w:r/>
            <w:r>
              <w:rPr>
                <w:b w:val="0"/>
                <w:sz w:val="18"/>
              </w:rPr>
              <w:t>Safe / phishing</w:t>
            </w:r>
          </w:p>
        </w:tc>
        <w:tc>
          <w:tcPr>
            <w:tcW w:type="dxa" w:w="3312"/>
            <w:vAlign w:val="center"/>
          </w:tcPr>
          <w:p>
            <w:r/>
            <w:r>
              <w:rPr>
                <w:b w:val="0"/>
                <w:sz w:val="18"/>
              </w:rPr>
              <w:t>Binary supervised target</w:t>
            </w:r>
          </w:p>
        </w:tc>
      </w:tr>
      <w:tr>
        <w:tc>
          <w:tcPr>
            <w:tcW w:type="dxa" w:w="3312"/>
            <w:vAlign w:val="center"/>
          </w:tcPr>
          <w:p>
            <w:r/>
            <w:r>
              <w:rPr>
                <w:b w:val="0"/>
                <w:sz w:val="18"/>
              </w:rPr>
              <w:t>Sender / metadata</w:t>
            </w:r>
          </w:p>
        </w:tc>
        <w:tc>
          <w:tcPr>
            <w:tcW w:type="dxa" w:w="3312"/>
            <w:vAlign w:val="center"/>
          </w:tcPr>
          <w:p>
            <w:r/>
            <w:r>
              <w:rPr>
                <w:b w:val="0"/>
                <w:sz w:val="18"/>
              </w:rPr>
              <w:t>Mentioned by paper but not shown in model pipeline</w:t>
            </w:r>
          </w:p>
        </w:tc>
        <w:tc>
          <w:tcPr>
            <w:tcW w:type="dxa" w:w="3312"/>
            <w:vAlign w:val="center"/>
          </w:tcPr>
          <w:p>
            <w:r/>
            <w:r>
              <w:rPr>
                <w:b w:val="0"/>
                <w:sz w:val="18"/>
              </w:rPr>
              <w:t>Their actual use is unclear</w:t>
            </w:r>
          </w:p>
        </w:tc>
      </w:tr>
      <w:tr>
        <w:tc>
          <w:tcPr>
            <w:tcW w:type="dxa" w:w="3312"/>
            <w:vAlign w:val="center"/>
          </w:tcPr>
          <w:p>
            <w:r/>
            <w:r>
              <w:rPr>
                <w:b w:val="0"/>
                <w:sz w:val="18"/>
              </w:rPr>
              <w:t>Split details</w:t>
            </w:r>
          </w:p>
        </w:tc>
        <w:tc>
          <w:tcPr>
            <w:tcW w:type="dxa" w:w="3312"/>
            <w:vAlign w:val="center"/>
          </w:tcPr>
          <w:p>
            <w:r/>
            <w:r>
              <w:rPr>
                <w:b w:val="0"/>
                <w:sz w:val="18"/>
              </w:rPr>
              <w:t>Not reported</w:t>
            </w:r>
          </w:p>
        </w:tc>
        <w:tc>
          <w:tcPr>
            <w:tcW w:type="dxa" w:w="3312"/>
            <w:vAlign w:val="center"/>
          </w:tcPr>
          <w:p>
            <w:r/>
            <w:r>
              <w:rPr>
                <w:b w:val="0"/>
                <w:sz w:val="18"/>
              </w:rPr>
              <w:t>Train/validation/test proportions and seed are unspecified</w:t>
            </w:r>
          </w:p>
        </w:tc>
      </w:tr>
    </w:tbl>
    <w:p/>
    <w:p>
      <w:r>
        <w:t>An important methodological distinction is therefore necessary: although the paper describes sender and metadata information in the dataset, the architecture shown in the paper uses “Email Text” as the model input. The supplied analysis consequently treats the implemented model as text-only.</w:t>
      </w:r>
    </w:p>
    <w:p>
      <w:pPr>
        <w:pStyle w:val="Heading2"/>
      </w:pPr>
      <w:r>
        <w:t>1.3 Architecture and component roles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Component</w:t>
            </w:r>
          </w:p>
        </w:tc>
        <w:tc>
          <w:tcPr>
            <w:tcW w:type="dxa" w:w="4968"/>
            <w:vAlign w:val="center"/>
            <w:shd w:fill="D9EAF7"/>
          </w:tcPr>
          <w:p>
            <w:r/>
            <w:r>
              <w:rPr>
                <w:b/>
                <w:sz w:val="18"/>
              </w:rPr>
              <w:t>Role in the proposed system</w:t>
            </w:r>
          </w:p>
        </w:tc>
      </w:tr>
      <w:tr>
        <w:tc>
          <w:tcPr>
            <w:tcW w:type="dxa" w:w="4968"/>
            <w:vAlign w:val="center"/>
          </w:tcPr>
          <w:p>
            <w:r/>
            <w:r>
              <w:rPr>
                <w:b w:val="0"/>
                <w:sz w:val="18"/>
              </w:rPr>
              <w:t>BERT</w:t>
            </w:r>
          </w:p>
        </w:tc>
        <w:tc>
          <w:tcPr>
            <w:tcW w:type="dxa" w:w="4968"/>
            <w:vAlign w:val="center"/>
          </w:tcPr>
          <w:p>
            <w:r/>
            <w:r>
              <w:rPr>
                <w:b w:val="0"/>
                <w:sz w:val="18"/>
              </w:rPr>
              <w:t>Produces contextual language representations; the supplied analysis describes a 768-dimensional pooled output.</w:t>
            </w:r>
          </w:p>
        </w:tc>
      </w:tr>
      <w:tr>
        <w:tc>
          <w:tcPr>
            <w:tcW w:type="dxa" w:w="4968"/>
            <w:vAlign w:val="center"/>
          </w:tcPr>
          <w:p>
            <w:r/>
            <w:r>
              <w:rPr>
                <w:b w:val="0"/>
                <w:sz w:val="18"/>
              </w:rPr>
              <w:t>Batch Normalization</w:t>
            </w:r>
          </w:p>
        </w:tc>
        <w:tc>
          <w:tcPr>
            <w:tcW w:type="dxa" w:w="4968"/>
            <w:vAlign w:val="center"/>
          </w:tcPr>
          <w:p>
            <w:r/>
            <w:r>
              <w:rPr>
                <w:b w:val="0"/>
                <w:sz w:val="18"/>
              </w:rPr>
              <w:t>Stabilizes activations after reshaping.</w:t>
            </w:r>
          </w:p>
        </w:tc>
      </w:tr>
      <w:tr>
        <w:tc>
          <w:tcPr>
            <w:tcW w:type="dxa" w:w="4968"/>
            <w:vAlign w:val="center"/>
          </w:tcPr>
          <w:p>
            <w:r/>
            <w:r>
              <w:rPr>
                <w:b w:val="0"/>
                <w:sz w:val="18"/>
              </w:rPr>
              <w:t>Multi-Head Attention</w:t>
            </w:r>
          </w:p>
        </w:tc>
        <w:tc>
          <w:tcPr>
            <w:tcW w:type="dxa" w:w="4968"/>
            <w:vAlign w:val="center"/>
          </w:tcPr>
          <w:p>
            <w:r/>
            <w:r>
              <w:rPr>
                <w:b w:val="0"/>
                <w:sz w:val="18"/>
              </w:rPr>
              <w:t>Models relationships across learned subspaces and emphasizes relevant interactions.</w:t>
            </w:r>
          </w:p>
        </w:tc>
      </w:tr>
      <w:tr>
        <w:tc>
          <w:tcPr>
            <w:tcW w:type="dxa" w:w="4968"/>
            <w:vAlign w:val="center"/>
          </w:tcPr>
          <w:p>
            <w:r/>
            <w:r>
              <w:rPr>
                <w:b w:val="0"/>
                <w:sz w:val="18"/>
              </w:rPr>
              <w:t>1D CNN</w:t>
            </w:r>
          </w:p>
        </w:tc>
        <w:tc>
          <w:tcPr>
            <w:tcW w:type="dxa" w:w="4968"/>
            <w:vAlign w:val="center"/>
          </w:tcPr>
          <w:p>
            <w:r/>
            <w:r>
              <w:rPr>
                <w:b w:val="0"/>
                <w:sz w:val="18"/>
              </w:rPr>
              <w:t>Extracts local n-gram/short-phrase patterns, followed by pooling.</w:t>
            </w:r>
          </w:p>
        </w:tc>
      </w:tr>
      <w:tr>
        <w:tc>
          <w:tcPr>
            <w:tcW w:type="dxa" w:w="4968"/>
            <w:vAlign w:val="center"/>
          </w:tcPr>
          <w:p>
            <w:r/>
            <w:r>
              <w:rPr>
                <w:b w:val="0"/>
                <w:sz w:val="18"/>
              </w:rPr>
              <w:t>Bidirectional GRU</w:t>
            </w:r>
          </w:p>
        </w:tc>
        <w:tc>
          <w:tcPr>
            <w:tcW w:type="dxa" w:w="4968"/>
            <w:vAlign w:val="center"/>
          </w:tcPr>
          <w:p>
            <w:r/>
            <w:r>
              <w:rPr>
                <w:b w:val="0"/>
                <w:sz w:val="18"/>
              </w:rPr>
              <w:t>Models sequential dependencies in both directions.</w:t>
            </w:r>
          </w:p>
        </w:tc>
      </w:tr>
      <w:tr>
        <w:tc>
          <w:tcPr>
            <w:tcW w:type="dxa" w:w="4968"/>
            <w:vAlign w:val="center"/>
          </w:tcPr>
          <w:p>
            <w:r/>
            <w:r>
              <w:rPr>
                <w:b w:val="0"/>
                <w:sz w:val="18"/>
              </w:rPr>
              <w:t>Dropout + Dense + Sigmoid</w:t>
            </w:r>
          </w:p>
        </w:tc>
        <w:tc>
          <w:tcPr>
            <w:tcW w:type="dxa" w:w="4968"/>
            <w:vAlign w:val="center"/>
          </w:tcPr>
          <w:p>
            <w:r/>
            <w:r>
              <w:rPr>
                <w:b w:val="0"/>
                <w:sz w:val="18"/>
              </w:rPr>
              <w:t>Regularization, projection, and binary phishing probability.</w:t>
            </w:r>
          </w:p>
        </w:tc>
      </w:tr>
      <w:tr>
        <w:tc>
          <w:tcPr>
            <w:tcW w:type="dxa" w:w="4968"/>
            <w:vAlign w:val="center"/>
          </w:tcPr>
          <w:p>
            <w:r/>
            <w:r>
              <w:rPr>
                <w:b w:val="0"/>
                <w:sz w:val="18"/>
              </w:rPr>
              <w:t>MGO</w:t>
            </w:r>
          </w:p>
        </w:tc>
        <w:tc>
          <w:tcPr>
            <w:tcW w:type="dxa" w:w="4968"/>
            <w:vAlign w:val="center"/>
          </w:tcPr>
          <w:p>
            <w:r/>
            <w:r>
              <w:rPr>
                <w:b w:val="0"/>
                <w:sz w:val="18"/>
              </w:rPr>
              <w:t>Searches for useful hyperparameters rather than relying solely on manual tuning.</w:t>
            </w:r>
          </w:p>
        </w:tc>
      </w:tr>
    </w:tbl>
    <w:p/>
    <w:p>
      <w:pPr>
        <w:pStyle w:val="Heading2"/>
      </w:pPr>
      <w:r>
        <w:t>1.4 End-to-end methodology</w:t>
      </w:r>
    </w:p>
    <w:p>
      <w:pPr>
        <w:pStyle w:val="ListNumber"/>
        <w:spacing w:after="40"/>
      </w:pPr>
      <w:r>
        <w:t>Load and clean the email corpus; empty-body emails are removed.</w:t>
      </w:r>
    </w:p>
    <w:p>
      <w:pPr>
        <w:pStyle w:val="ListNumber"/>
        <w:spacing w:after="40"/>
      </w:pPr>
      <w:r>
        <w:t>Tokenize email text using the BERT tokenizer.</w:t>
      </w:r>
    </w:p>
    <w:p>
      <w:pPr>
        <w:pStyle w:val="ListNumber"/>
        <w:spacing w:after="40"/>
      </w:pPr>
      <w:r>
        <w:t>Generate contextual BERT representations. The supplied paper analysis describes the input representation as token, segment, and position embeddings.</w:t>
      </w:r>
    </w:p>
    <w:p>
      <w:pPr>
        <w:pStyle w:val="ListNumber"/>
        <w:spacing w:after="40"/>
      </w:pPr>
      <w:r>
        <w:t>Apply reshaping and batch normalization before the downstream feature-processing stages.</w:t>
      </w:r>
    </w:p>
    <w:p>
      <w:pPr>
        <w:pStyle w:val="ListNumber"/>
        <w:spacing w:after="40"/>
      </w:pPr>
      <w:r>
        <w:t>Apply multi-head attention using scaled dot-product attention.</w:t>
      </w:r>
    </w:p>
    <w:p>
      <w:pPr>
        <w:pStyle w:val="ListNumber"/>
        <w:spacing w:after="40"/>
      </w:pPr>
      <w:r>
        <w:t>Apply 1D CNN and pooling to capture local textual patterns.</w:t>
      </w:r>
    </w:p>
    <w:p>
      <w:pPr>
        <w:pStyle w:val="ListNumber"/>
        <w:spacing w:after="40"/>
      </w:pPr>
      <w:r>
        <w:t>Use a Bidirectional GRU to model sequential dependencies.</w:t>
      </w:r>
    </w:p>
    <w:p>
      <w:pPr>
        <w:pStyle w:val="ListNumber"/>
        <w:spacing w:after="40"/>
      </w:pPr>
      <w:r>
        <w:t>Apply dropout and dense layers.</w:t>
      </w:r>
    </w:p>
    <w:p>
      <w:pPr>
        <w:pStyle w:val="ListNumber"/>
        <w:spacing w:after="40"/>
      </w:pPr>
      <w:r>
        <w:t>Use a sigmoid output for binary phishing probability and binary cross-entropy for training.</w:t>
      </w:r>
    </w:p>
    <w:p>
      <w:pPr>
        <w:pStyle w:val="ListNumber"/>
        <w:spacing w:after="40"/>
      </w:pPr>
      <w:r>
        <w:t>Use MGO to tune GRU units, dropout rate, and learning rate by minimizing validation loss.</w:t>
      </w:r>
    </w:p>
    <w:p>
      <w:pPr>
        <w:pStyle w:val="ListNumber"/>
        <w:spacing w:after="40"/>
      </w:pPr>
      <w:r>
        <w:t>Evaluate using accuracy, precision, recall, F1, confusion matrices, and reported statistical significance tests.</w:t>
      </w:r>
    </w:p>
    <w:p>
      <w:pPr>
        <w:pStyle w:val="Heading2"/>
      </w:pPr>
      <w:r>
        <w:t>1.5 MGO optimization</w:t>
      </w:r>
    </w:p>
    <w:p>
      <w:r>
        <w:t>MGO is described through four behavioral mechanisms: solitary territorial males, maternity herds, bachelor male herds, and migration for food. Together, these are intended to balance exploitation of promising solutions with exploration of the hyperparameter search space. The paper compares MGO with GWO, WOA, SSA, AVOA, GA, PSO, and PUMA, using a population of 10 and 50 iterations.</w:t>
      </w:r>
    </w:p>
    <w:p>
      <w:pPr>
        <w:pStyle w:val="Heading2"/>
      </w:pPr>
      <w:r>
        <w:t>1.6 Reported findings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Evaluation area</w:t>
            </w:r>
          </w:p>
        </w:tc>
        <w:tc>
          <w:tcPr>
            <w:tcW w:type="dxa" w:w="4968"/>
            <w:vAlign w:val="center"/>
            <w:shd w:fill="D9EAF7"/>
          </w:tcPr>
          <w:p>
            <w:r/>
            <w:r>
              <w:rPr>
                <w:b/>
                <w:sz w:val="18"/>
              </w:rPr>
              <w:t>Reported result / observation</w:t>
            </w:r>
          </w:p>
        </w:tc>
      </w:tr>
      <w:tr>
        <w:tc>
          <w:tcPr>
            <w:tcW w:type="dxa" w:w="4968"/>
            <w:vAlign w:val="center"/>
          </w:tcPr>
          <w:p>
            <w:r/>
            <w:r>
              <w:rPr>
                <w:b w:val="0"/>
                <w:sz w:val="18"/>
              </w:rPr>
              <w:t>BERT vs. GloVe</w:t>
            </w:r>
          </w:p>
        </w:tc>
        <w:tc>
          <w:tcPr>
            <w:tcW w:type="dxa" w:w="4968"/>
            <w:vAlign w:val="center"/>
          </w:tcPr>
          <w:p>
            <w:r/>
            <w:r>
              <w:rPr>
                <w:b w:val="0"/>
                <w:sz w:val="18"/>
              </w:rPr>
              <w:t>BERT-768 is reported to outperform GloVe variants; supplied analysis gives BERT accuracy 0.9722 and F1 0.9643.</w:t>
            </w:r>
          </w:p>
        </w:tc>
      </w:tr>
      <w:tr>
        <w:tc>
          <w:tcPr>
            <w:tcW w:type="dxa" w:w="4968"/>
            <w:vAlign w:val="center"/>
          </w:tcPr>
          <w:p>
            <w:r/>
            <w:r>
              <w:rPr>
                <w:b w:val="0"/>
                <w:sz w:val="18"/>
              </w:rPr>
              <w:t>Regularization ablation</w:t>
            </w:r>
          </w:p>
        </w:tc>
        <w:tc>
          <w:tcPr>
            <w:tcW w:type="dxa" w:w="4968"/>
            <w:vAlign w:val="center"/>
          </w:tcPr>
          <w:p>
            <w:r/>
            <w:r>
              <w:rPr>
                <w:b w:val="0"/>
                <w:sz w:val="18"/>
              </w:rPr>
              <w:t>L2 + dropout is reported as the strongest configuration.</w:t>
            </w:r>
          </w:p>
        </w:tc>
      </w:tr>
      <w:tr>
        <w:tc>
          <w:tcPr>
            <w:tcW w:type="dxa" w:w="4968"/>
            <w:vAlign w:val="center"/>
          </w:tcPr>
          <w:p>
            <w:r/>
            <w:r>
              <w:rPr>
                <w:b w:val="0"/>
                <w:sz w:val="18"/>
              </w:rPr>
              <w:t>Metaheuristic comparison</w:t>
            </w:r>
          </w:p>
        </w:tc>
        <w:tc>
          <w:tcPr>
            <w:tcW w:type="dxa" w:w="4968"/>
            <w:vAlign w:val="center"/>
          </w:tcPr>
          <w:p>
            <w:r/>
            <w:r>
              <w:rPr>
                <w:b w:val="0"/>
                <w:sz w:val="18"/>
              </w:rPr>
              <w:t>MGO is reported as better than GWO, WOA, SSA, AVOA, GA, PSO, and PUMA.</w:t>
            </w:r>
          </w:p>
        </w:tc>
      </w:tr>
      <w:tr>
        <w:tc>
          <w:tcPr>
            <w:tcW w:type="dxa" w:w="4968"/>
            <w:vAlign w:val="center"/>
          </w:tcPr>
          <w:p>
            <w:r/>
            <w:r>
              <w:rPr>
                <w:b w:val="0"/>
                <w:sz w:val="18"/>
              </w:rPr>
              <w:t>Deep-learning baselines</w:t>
            </w:r>
          </w:p>
        </w:tc>
        <w:tc>
          <w:tcPr>
            <w:tcW w:type="dxa" w:w="4968"/>
            <w:vAlign w:val="center"/>
          </w:tcPr>
          <w:p>
            <w:r/>
            <w:r>
              <w:rPr>
                <w:b w:val="0"/>
                <w:sz w:val="18"/>
              </w:rPr>
              <w:t>The proposed model is reported to outperform CNN, LSTM, BLSTM, GRU, CLSTM, RCNN, ServeNet, and CARL-Net.</w:t>
            </w:r>
          </w:p>
        </w:tc>
      </w:tr>
      <w:tr>
        <w:tc>
          <w:tcPr>
            <w:tcW w:type="dxa" w:w="4968"/>
            <w:vAlign w:val="center"/>
          </w:tcPr>
          <w:p>
            <w:r/>
            <w:r>
              <w:rPr>
                <w:b w:val="0"/>
                <w:sz w:val="18"/>
              </w:rPr>
              <w:t>Confusion matrix</w:t>
            </w:r>
          </w:p>
        </w:tc>
        <w:tc>
          <w:tcPr>
            <w:tcW w:type="dxa" w:w="4968"/>
            <w:vAlign w:val="center"/>
          </w:tcPr>
          <w:p>
            <w:r/>
            <w:r>
              <w:rPr>
                <w:b w:val="0"/>
                <w:sz w:val="18"/>
              </w:rPr>
              <w:t>TN 346, FP 14, FN 3, TP 230 in the supplied analysis.</w:t>
            </w:r>
          </w:p>
        </w:tc>
      </w:tr>
      <w:tr>
        <w:tc>
          <w:tcPr>
            <w:tcW w:type="dxa" w:w="4968"/>
            <w:vAlign w:val="center"/>
          </w:tcPr>
          <w:p>
            <w:r/>
            <w:r>
              <w:rPr>
                <w:b w:val="0"/>
                <w:sz w:val="18"/>
              </w:rPr>
              <w:t>Operational implication</w:t>
            </w:r>
          </w:p>
        </w:tc>
        <w:tc>
          <w:tcPr>
            <w:tcW w:type="dxa" w:w="4968"/>
            <w:vAlign w:val="center"/>
          </w:tcPr>
          <w:p>
            <w:r/>
            <w:r>
              <w:rPr>
                <w:b w:val="0"/>
                <w:sz w:val="18"/>
              </w:rPr>
              <w:t>The model has fewer false negatives than false positives, but the paper’s claim of balanced errors should be interpreted carefully.</w:t>
            </w:r>
          </w:p>
        </w:tc>
      </w:tr>
    </w:tbl>
    <w:p/>
    <w:p>
      <w:pPr>
        <w:pStyle w:val="Heading2"/>
      </w:pPr>
      <w:r>
        <w:t>1.7 Critical limitations of the base paper</w:t>
      </w:r>
    </w:p>
    <w:p>
      <w:pPr>
        <w:pStyle w:val="ListBullet"/>
        <w:spacing w:after="40"/>
      </w:pPr>
      <w:r>
        <w:t>Numerical inconsistencies exist between the abstract/conclusion, tables, and confusion-matrix-derived values.</w:t>
      </w:r>
    </w:p>
    <w:p>
      <w:pPr>
        <w:pStyle w:val="ListBullet"/>
        <w:spacing w:after="40"/>
      </w:pPr>
      <w:r>
        <w:t>The reported test set is inferred to be only about 593 emails; the train/validation/test split is not explicitly reported.</w:t>
      </w:r>
    </w:p>
    <w:p>
      <w:pPr>
        <w:pStyle w:val="ListBullet"/>
        <w:spacing w:after="40"/>
      </w:pPr>
      <w:r>
        <w:t>The paper uses a single dataset and does not establish cross-dataset or out-of-distribution generalization.</w:t>
      </w:r>
    </w:p>
    <w:p>
      <w:pPr>
        <w:pStyle w:val="ListBullet"/>
        <w:spacing w:after="40"/>
      </w:pPr>
      <w:r>
        <w:t>There are no repeated-seed results, confidence intervals, or clearly named statistical procedures for the p-values.</w:t>
      </w:r>
    </w:p>
    <w:p>
      <w:pPr>
        <w:pStyle w:val="ListBullet"/>
        <w:spacing w:after="40"/>
      </w:pPr>
      <w:r>
        <w:t>Baseline comparisons mix several sources of improvement—BERT, attention, hybrid architecture, and MGO—so MGO’s isolated contribution is not cleanly identified.</w:t>
      </w:r>
    </w:p>
    <w:p>
      <w:pPr>
        <w:pStyle w:val="ListBullet"/>
        <w:spacing w:after="40"/>
      </w:pPr>
      <w:r>
        <w:t>There is no direct BERT + attention + CNN + GRU model without MGO as a central ablation.</w:t>
      </w:r>
    </w:p>
    <w:p>
      <w:pPr>
        <w:pStyle w:val="ListBullet"/>
        <w:spacing w:after="40"/>
      </w:pPr>
      <w:r>
        <w:t>Hyperparameter ranges, final tuned values, batch size, optimizer type, CNN configuration, number of attention heads, and BERT freezing/fine-tuning details are not fully reported.</w:t>
      </w:r>
    </w:p>
    <w:p>
      <w:pPr>
        <w:pStyle w:val="ListBullet"/>
        <w:spacing w:after="40"/>
      </w:pPr>
      <w:r>
        <w:t>The architecture appears to rely on a BERT pooled representation before downstream reshaping; this raises a methodological question about whether CNN/GRU are operating on genuine token-level sequences.</w:t>
      </w:r>
    </w:p>
    <w:p>
      <w:pPr>
        <w:pStyle w:val="ListBullet"/>
        <w:spacing w:after="40"/>
      </w:pPr>
      <w:r>
        <w:t>The model is text-only and does not explicitly integrate headers, URLs, attachments, sender reputation, authentication evidence, or recipient context.</w:t>
      </w:r>
    </w:p>
    <w:p>
      <w:pPr>
        <w:pStyle w:val="ListBullet"/>
        <w:spacing w:after="40"/>
      </w:pPr>
      <w:r>
        <w:t>Robustness to adversarial rewriting, obfuscation, unseen phishing families, or LLM-generated phishing is not demonstrated.</w:t>
      </w:r>
    </w:p>
    <w:p>
      <w:pPr>
        <w:pStyle w:val="ListBullet"/>
        <w:spacing w:after="40"/>
      </w:pPr>
      <w:r>
        <w:t>Real-time deployment is claimed without latency, throughput, memory, or GPU/CPU cost measurements.</w:t>
      </w:r>
    </w:p>
    <w:p>
      <w:pPr>
        <w:pStyle w:val="ListBullet"/>
        <w:spacing w:after="40"/>
      </w:pPr>
      <w:r>
        <w:t>Explainability is absent from the evaluation and is identified as future work.</w:t>
      </w:r>
    </w:p>
    <w:p>
      <w:pPr>
        <w:spacing w:before="60"/>
      </w:pPr>
      <w:r>
        <w:rPr>
          <w:i/>
          <w:color w:val="5A5A5A"/>
          <w:sz w:val="18"/>
        </w:rPr>
        <w:t>Base-paper metrics, architecture details, and limitations in this section follow the base-paper analysis supplied in the request.</w:t>
      </w:r>
    </w:p>
    <w:p>
      <w:pPr>
        <w:pStyle w:val="Heading1"/>
      </w:pPr>
      <w:r>
        <w:t>2. Literature Comparison, Gaps, and Limitations</w:t>
      </w:r>
    </w:p>
    <w:p>
      <w:r>
        <w:t>The comparison review examines a prospective fusion of three design families—TriFuse, ARES-Phish, and T-MAGF. Its explicit caveat is important: the three approaches have no empirical results in the supplied review, and the review is therefore a design-level feasibility assessment rather than evidence that the proposed hybrid already works.</w:t>
      </w:r>
    </w:p>
    <w:p>
      <w:r>
        <w:t>The review gives a 7/10 architectural-feasibility assessment for a constrained Tier-A scope, versus 4/10 for a full union of all modules. It also rates novelty at 5/10 for pure aggregation and 7/10 if a principled formulation, dataset audit, and adaptive-attack results are delivered.</w:t>
      </w:r>
    </w:p>
    <w:p>
      <w:pPr>
        <w:spacing w:before="60"/>
      </w:pPr>
      <w:r>
        <w:rPr>
          <w:i/>
          <w:color w:val="5A5A5A"/>
          <w:sz w:val="18"/>
        </w:rPr>
        <w:t>Source: Hybrid Phishing Detector: Synthesis and Feasibility Review, pp. 1–2.</w:t>
      </w:r>
    </w:p>
    <w:p>
      <w:pPr>
        <w:pStyle w:val="Heading2"/>
      </w:pPr>
      <w:r>
        <w:t>2.1 What should be retained, and what should be cut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Approach</w:t>
            </w:r>
          </w:p>
        </w:tc>
        <w:tc>
          <w:tcPr>
            <w:tcW w:type="dxa" w:w="3312"/>
            <w:vAlign w:val="center"/>
            <w:shd w:fill="D9EAF7"/>
          </w:tcPr>
          <w:p>
            <w:r/>
            <w:r>
              <w:rPr>
                <w:b/>
                <w:sz w:val="18"/>
              </w:rPr>
              <w:t>Recommended contribution</w:t>
            </w:r>
          </w:p>
        </w:tc>
        <w:tc>
          <w:tcPr>
            <w:tcW w:type="dxa" w:w="3312"/>
            <w:vAlign w:val="center"/>
            <w:shd w:fill="D9EAF7"/>
          </w:tcPr>
          <w:p>
            <w:r/>
            <w:r>
              <w:rPr>
                <w:b/>
                <w:sz w:val="18"/>
              </w:rPr>
              <w:t>Elements to cut/defer</w:t>
            </w:r>
          </w:p>
        </w:tc>
      </w:tr>
      <w:tr>
        <w:tc>
          <w:tcPr>
            <w:tcW w:type="dxa" w:w="3312"/>
            <w:vAlign w:val="center"/>
          </w:tcPr>
          <w:p>
            <w:r/>
            <w:r>
              <w:rPr>
                <w:b w:val="0"/>
                <w:sz w:val="18"/>
              </w:rPr>
              <w:t>TriFuse</w:t>
            </w:r>
          </w:p>
        </w:tc>
        <w:tc>
          <w:tcPr>
            <w:tcW w:type="dxa" w:w="3312"/>
            <w:vAlign w:val="center"/>
          </w:tcPr>
          <w:p>
            <w:r/>
            <w:r>
              <w:rPr>
                <w:b w:val="0"/>
                <w:sz w:val="18"/>
              </w:rPr>
              <w:t>Availability-masked bottleneck fusion; FPR-constrained objective; canonicalization delta; disjoint calibration split; conformal abstention; teacher/student cascade.</w:t>
            </w:r>
          </w:p>
        </w:tc>
        <w:tc>
          <w:tcPr>
            <w:tcW w:type="dxa" w:w="3312"/>
            <w:vAlign w:val="center"/>
          </w:tcPr>
          <w:p>
            <w:r/>
            <w:r>
              <w:rPr>
                <w:b w:val="0"/>
                <w:sz w:val="18"/>
              </w:rPr>
              <w:t>Vision stream initially; embedding-only FGM as a headline robustness claim.</w:t>
            </w:r>
          </w:p>
        </w:tc>
      </w:tr>
      <w:tr>
        <w:tc>
          <w:tcPr>
            <w:tcW w:type="dxa" w:w="3312"/>
            <w:vAlign w:val="center"/>
          </w:tcPr>
          <w:p>
            <w:r/>
            <w:r>
              <w:rPr>
                <w:b w:val="0"/>
                <w:sz w:val="18"/>
              </w:rPr>
              <w:t>ARES-Phish</w:t>
            </w:r>
          </w:p>
        </w:tc>
        <w:tc>
          <w:tcPr>
            <w:tcW w:type="dxa" w:w="3312"/>
            <w:vAlign w:val="center"/>
          </w:tcPr>
          <w:p>
            <w:r/>
            <w:r>
              <w:rPr>
                <w:b w:val="0"/>
                <w:sz w:val="18"/>
              </w:rPr>
              <w:t>Leakage-controlled protocols; held-out attack-family benchmark; staged training; authentication treated as evidence rather than truth; replay-based adaptation; evidence readout.</w:t>
            </w:r>
          </w:p>
        </w:tc>
        <w:tc>
          <w:tcPr>
            <w:tcW w:type="dxa" w:w="3312"/>
            <w:vAlign w:val="center"/>
          </w:tcPr>
          <w:p>
            <w:r/>
            <w:r>
              <w:rPr>
                <w:b w:val="0"/>
                <w:sz w:val="18"/>
              </w:rPr>
              <w:t>EWC as headline contribution; convex-combination gate as core fusion; InfoNCE as written.</w:t>
            </w:r>
          </w:p>
        </w:tc>
      </w:tr>
      <w:tr>
        <w:tc>
          <w:tcPr>
            <w:tcW w:type="dxa" w:w="3312"/>
            <w:vAlign w:val="center"/>
          </w:tcPr>
          <w:p>
            <w:r/>
            <w:r>
              <w:rPr>
                <w:b w:val="0"/>
                <w:sz w:val="18"/>
              </w:rPr>
              <w:t>T-MAGF</w:t>
            </w:r>
          </w:p>
        </w:tc>
        <w:tc>
          <w:tcPr>
            <w:tcW w:type="dxa" w:w="3312"/>
            <w:vAlign w:val="center"/>
          </w:tcPr>
          <w:p>
            <w:r/>
            <w:r>
              <w:rPr>
                <w:b w:val="0"/>
                <w:sz w:val="18"/>
              </w:rPr>
              <w:t>Temporal F1/FPR evaluation; selective deep inspection; modality dropout; multilingual experiments; awareness of external-intelligence leakage.</w:t>
            </w:r>
          </w:p>
        </w:tc>
        <w:tc>
          <w:tcPr>
            <w:tcW w:type="dxa" w:w="3312"/>
            <w:vAlign w:val="center"/>
          </w:tcPr>
          <w:p>
            <w:r/>
            <w:r>
              <w:rPr>
                <w:b w:val="0"/>
                <w:sz w:val="18"/>
              </w:rPr>
              <w:t>Time embedding; MMD and temporal-consistency losses; per-email graph; hierarchical sentence encoder; always-on use of every modality.</w:t>
            </w:r>
          </w:p>
        </w:tc>
      </w:tr>
    </w:tbl>
    <w:p/>
    <w:p>
      <w:pPr>
        <w:pStyle w:val="Heading2"/>
      </w:pPr>
      <w:r>
        <w:t>2.2 Layered fusion strategy</w:t>
      </w:r>
    </w:p>
    <w:p>
      <w:r>
        <w:t>The review recommends three functional layers rather than a flat accumulation of modules.</w:t>
      </w:r>
    </w:p>
    <w:p>
      <w:pPr>
        <w:pStyle w:val="ListNumber"/>
        <w:spacing w:after="40"/>
      </w:pPr>
      <w:r>
        <w:t>Representation and fusion: text, headers, and URLs are represented separately; missing modalities are explicitly gated; a bottleneck cross-attention mechanism performs the main fusion.</w:t>
      </w:r>
    </w:p>
    <w:p>
      <w:pPr>
        <w:pStyle w:val="ListNumber"/>
        <w:spacing w:after="40"/>
      </w:pPr>
      <w:r>
        <w:t>Training objective: formulate learning as constrained risk minimization, combining classification, supervised contrastive learning, consistency regularization, and an FPR constraint. A primal-dual update is preferred to a fixed FPR penalty.</w:t>
      </w:r>
    </w:p>
    <w:p>
      <w:pPr>
        <w:pStyle w:val="ListNumber"/>
        <w:spacing w:after="40"/>
      </w:pPr>
      <w:r>
        <w:t>Decision and lifecycle: use a cascade in which cheap stages triage mail and deeper stages inspect uncertain cases, with joint thresholds, recalibration, replay, and regression checks.</w:t>
      </w:r>
    </w:p>
    <w:p>
      <w:pPr>
        <w:spacing w:before="60"/>
      </w:pPr>
      <w:r>
        <w:rPr>
          <w:i/>
          <w:color w:val="5A5A5A"/>
          <w:sz w:val="18"/>
        </w:rPr>
        <w:t>The review’s layered design and bottleneck-fusion recommendation are described on pp. 3–4 of the supplied comparison PDF.</w:t>
      </w:r>
    </w:p>
    <w:p>
      <w:pPr>
        <w:pStyle w:val="Heading2"/>
      </w:pPr>
      <w:r>
        <w:t>2.3 Core methodological limitations revealed by the comparison</w:t>
      </w:r>
    </w:p>
    <w:p>
      <w:pPr>
        <w:pStyle w:val="ListBullet"/>
        <w:spacing w:after="40"/>
      </w:pPr>
      <w:r>
        <w:t>**Text-only shortcuts:** A detector can appear strong while exploiting superficial lexical patterns. The review recommends explicit shortcut probes for header-only, URL-only, source-ID, era-ID, and delta-only classifiers.</w:t>
      </w:r>
    </w:p>
    <w:p>
      <w:pPr>
        <w:pStyle w:val="ListBullet"/>
        <w:spacing w:after="40"/>
      </w:pPr>
      <w:r>
        <w:t>**False-positive control:** Accuracy alone is inadequate for security email detection. The review emphasizes TPR at matched FPR and explicitly warns against evaluating only at a fixed threshold.</w:t>
      </w:r>
    </w:p>
    <w:p>
      <w:pPr>
        <w:pStyle w:val="ListBullet"/>
        <w:spacing w:after="40"/>
      </w:pPr>
      <w:r>
        <w:t>**Temporal drift:** Email distributions change over time and across sources. Static validation can therefore overestimate deployment performance.</w:t>
      </w:r>
    </w:p>
    <w:p>
      <w:pPr>
        <w:pStyle w:val="ListBullet"/>
        <w:spacing w:after="40"/>
      </w:pPr>
      <w:r>
        <w:t>**Adversarial adaptation:** Attackers can paraphrase, use homoglyphs, force lookup failures, evade cheap cascade stages, or exploit missing-modality behavior.</w:t>
      </w:r>
    </w:p>
    <w:p>
      <w:pPr>
        <w:pStyle w:val="ListBullet"/>
        <w:spacing w:after="40"/>
      </w:pPr>
      <w:r>
        <w:t>**Missingness confounds:** If an external lookup fails more often for one class, “missing” can become an unintended label shortcut.</w:t>
      </w:r>
    </w:p>
    <w:p>
      <w:pPr>
        <w:pStyle w:val="ListBullet"/>
        <w:spacing w:after="40"/>
      </w:pPr>
      <w:r>
        <w:t>**Loss interference:** Classification, contrastive, consistency, and FPR losses can pull gradients in different directions.</w:t>
      </w:r>
    </w:p>
    <w:p>
      <w:pPr>
        <w:pStyle w:val="ListBullet"/>
        <w:spacing w:after="40"/>
      </w:pPr>
      <w:r>
        <w:t>**Memory and latency:** Contrastive views and adversarial steps increase training cost; graph/DNS/RDAP lookups and rendering can exceed strict inline-email latency budgets.</w:t>
      </w:r>
    </w:p>
    <w:p>
      <w:pPr>
        <w:pStyle w:val="ListBullet"/>
        <w:spacing w:after="40"/>
      </w:pPr>
      <w:r>
        <w:t>**Cascade error compounding:** Every stage introduces opportunities for false positives or false negatives, so stage-wise budgets must be explicitly accounted for.</w:t>
      </w:r>
    </w:p>
    <w:p>
      <w:pPr>
        <w:pStyle w:val="ListBullet"/>
        <w:spacing w:after="40"/>
      </w:pPr>
      <w:r>
        <w:t>**Synthetic-attack overfitting:** Robustness to known synthetic attack families does not establish robustness to unseen families.</w:t>
      </w:r>
    </w:p>
    <w:p>
      <w:pPr>
        <w:pStyle w:val="Heading2"/>
      </w:pPr>
      <w:r>
        <w:t>2.4 Novelty: what is and is not a defensible contribution</w:t>
      </w:r>
    </w:p>
    <w:p>
      <w:r>
        <w:t>The comparison review explicitly rejects the claim that novelty comes from simply stacking known techniques. Its stronger position is that novelty should come from either (1) a distinctive problem formulation or (2) a non-obvious interaction among components that is experimentally shown to be necessary.</w:t>
      </w:r>
    </w:p>
    <w:p>
      <w:r>
        <w:t>For the present project, this implies that “BERT + CNN + GRU + attention + MGO + more features” is not, by itself, a compelling research contribution. A stronger contribution would be a clearly defined financial-phishing problem, a principled multi-signal architecture, and evidence showing which signals improve recall or reduce false positives under controlled distribution shift and adversarial conditions.</w:t>
      </w:r>
    </w:p>
    <w:p>
      <w:pPr>
        <w:pStyle w:val="Heading2"/>
      </w:pPr>
      <w:r>
        <w:t>2.5 Recommended experimental discipline</w:t>
      </w:r>
    </w:p>
    <w:p>
      <w:pPr>
        <w:pStyle w:val="ListBullet"/>
        <w:spacing w:after="40"/>
      </w:pPr>
      <w:r>
        <w:t>Use at least five random seeds.</w:t>
      </w:r>
    </w:p>
    <w:p>
      <w:pPr>
        <w:pStyle w:val="ListBullet"/>
        <w:spacing w:after="40"/>
      </w:pPr>
      <w:r>
        <w:t>Bootstrap by campaign because emails are not necessarily independent.</w:t>
      </w:r>
    </w:p>
    <w:p>
      <w:pPr>
        <w:pStyle w:val="ListBullet"/>
        <w:spacing w:after="40"/>
      </w:pPr>
      <w:r>
        <w:t>Apply multiplicity correction such as Holm correction across comparisons.</w:t>
      </w:r>
    </w:p>
    <w:p>
      <w:pPr>
        <w:pStyle w:val="ListBullet"/>
        <w:spacing w:after="40"/>
      </w:pPr>
      <w:r>
        <w:t>Compare TPR/recall at matched FPR rather than only fixed thresholds.</w:t>
      </w:r>
    </w:p>
    <w:p>
      <w:pPr>
        <w:pStyle w:val="ListBullet"/>
        <w:spacing w:after="40"/>
      </w:pPr>
      <w:r>
        <w:t>Report the number of legitimate emails supporting every low-FPR claim.</w:t>
      </w:r>
    </w:p>
    <w:p>
      <w:pPr>
        <w:pStyle w:val="ListBullet"/>
        <w:spacing w:after="40"/>
      </w:pPr>
      <w:r>
        <w:t>Use a small encoder such as MiniLM or DistilBERT for rapid ablation sweeps and confirm headline findings with a larger encoder.</w:t>
      </w:r>
    </w:p>
    <w:p>
      <w:pPr>
        <w:pStyle w:val="ListBullet"/>
        <w:spacing w:after="40"/>
      </w:pPr>
      <w:r>
        <w:t>Require an ablation to show that a component improves its designated metric beyond the uncertainty interval.</w:t>
      </w:r>
    </w:p>
    <w:p>
      <w:pPr>
        <w:pStyle w:val="ListBullet"/>
        <w:spacing w:after="40"/>
      </w:pPr>
      <w:r>
        <w:t>Move components that fail the ablation and matched-FPR tests to the appendix or future work.</w:t>
      </w:r>
    </w:p>
    <w:p>
      <w:pPr>
        <w:spacing w:before="60"/>
      </w:pPr>
      <w:r>
        <w:rPr>
          <w:i/>
          <w:color w:val="5A5A5A"/>
          <w:sz w:val="18"/>
        </w:rPr>
        <w:t>These recommendations are synthesized from the review’s Sections 2.5–3.2, including the anti-kitchen-sink gate and ablation roadmap.</w:t>
      </w:r>
    </w:p>
    <w:p>
      <w:pPr>
        <w:pStyle w:val="Heading2"/>
      </w:pPr>
      <w:r>
        <w:t>2.6 Comparison with the base paper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Dimension</w:t>
            </w:r>
          </w:p>
        </w:tc>
        <w:tc>
          <w:tcPr>
            <w:tcW w:type="dxa" w:w="2484"/>
            <w:vAlign w:val="center"/>
            <w:shd w:fill="D9EAF7"/>
          </w:tcPr>
          <w:p>
            <w:r/>
            <w:r>
              <w:rPr>
                <w:b/>
                <w:sz w:val="18"/>
              </w:rPr>
              <w:t>Base paper</w:t>
            </w:r>
          </w:p>
        </w:tc>
        <w:tc>
          <w:tcPr>
            <w:tcW w:type="dxa" w:w="2484"/>
            <w:vAlign w:val="center"/>
            <w:shd w:fill="D9EAF7"/>
          </w:tcPr>
          <w:p>
            <w:r/>
            <w:r>
              <w:rPr>
                <w:b/>
                <w:sz w:val="18"/>
              </w:rPr>
              <w:t>Comparison review implication</w:t>
            </w:r>
          </w:p>
        </w:tc>
        <w:tc>
          <w:tcPr>
            <w:tcW w:type="dxa" w:w="2484"/>
            <w:vAlign w:val="center"/>
            <w:shd w:fill="D9EAF7"/>
          </w:tcPr>
          <w:p>
            <w:r/>
            <w:r>
              <w:rPr>
                <w:b/>
                <w:sz w:val="18"/>
              </w:rPr>
              <w:t>Research consequence</w:t>
            </w:r>
          </w:p>
        </w:tc>
      </w:tr>
      <w:tr>
        <w:tc>
          <w:tcPr>
            <w:tcW w:type="dxa" w:w="2484"/>
            <w:vAlign w:val="center"/>
          </w:tcPr>
          <w:p>
            <w:r/>
            <w:r>
              <w:rPr>
                <w:b w:val="0"/>
                <w:sz w:val="18"/>
              </w:rPr>
              <w:t>Input</w:t>
            </w:r>
          </w:p>
        </w:tc>
        <w:tc>
          <w:tcPr>
            <w:tcW w:type="dxa" w:w="2484"/>
            <w:vAlign w:val="center"/>
          </w:tcPr>
          <w:p>
            <w:r/>
            <w:r>
              <w:rPr>
                <w:b w:val="0"/>
                <w:sz w:val="18"/>
              </w:rPr>
              <w:t>Primarily email text</w:t>
            </w:r>
          </w:p>
        </w:tc>
        <w:tc>
          <w:tcPr>
            <w:tcW w:type="dxa" w:w="2484"/>
            <w:vAlign w:val="center"/>
          </w:tcPr>
          <w:p>
            <w:r/>
            <w:r>
              <w:rPr>
                <w:b w:val="0"/>
                <w:sz w:val="18"/>
              </w:rPr>
              <w:t>Use text + header + URL evidence with availability awareness</w:t>
            </w:r>
          </w:p>
        </w:tc>
        <w:tc>
          <w:tcPr>
            <w:tcW w:type="dxa" w:w="2484"/>
            <w:vAlign w:val="center"/>
          </w:tcPr>
          <w:p>
            <w:r/>
            <w:r>
              <w:rPr>
                <w:b w:val="0"/>
                <w:sz w:val="18"/>
              </w:rPr>
              <w:t>Move from text-only to multi-signal detection.</w:t>
            </w:r>
          </w:p>
        </w:tc>
      </w:tr>
      <w:tr>
        <w:tc>
          <w:tcPr>
            <w:tcW w:type="dxa" w:w="2484"/>
            <w:vAlign w:val="center"/>
          </w:tcPr>
          <w:p>
            <w:r/>
            <w:r>
              <w:rPr>
                <w:b w:val="0"/>
                <w:sz w:val="18"/>
              </w:rPr>
              <w:t>Optimization</w:t>
            </w:r>
          </w:p>
        </w:tc>
        <w:tc>
          <w:tcPr>
            <w:tcW w:type="dxa" w:w="2484"/>
            <w:vAlign w:val="center"/>
          </w:tcPr>
          <w:p>
            <w:r/>
            <w:r>
              <w:rPr>
                <w:b w:val="0"/>
                <w:sz w:val="18"/>
              </w:rPr>
              <w:t>MGO tunes selected hyperparameters</w:t>
            </w:r>
          </w:p>
        </w:tc>
        <w:tc>
          <w:tcPr>
            <w:tcW w:type="dxa" w:w="2484"/>
            <w:vAlign w:val="center"/>
          </w:tcPr>
          <w:p>
            <w:r/>
            <w:r>
              <w:rPr>
                <w:b w:val="0"/>
                <w:sz w:val="18"/>
              </w:rPr>
              <w:t>Optimization should serve a constrained security objective</w:t>
            </w:r>
          </w:p>
        </w:tc>
        <w:tc>
          <w:tcPr>
            <w:tcW w:type="dxa" w:w="2484"/>
            <w:vAlign w:val="center"/>
          </w:tcPr>
          <w:p>
            <w:r/>
            <w:r>
              <w:rPr>
                <w:b w:val="0"/>
                <w:sz w:val="18"/>
              </w:rPr>
              <w:t>Tune for recall/FPR/robustness, not only validation loss.</w:t>
            </w:r>
          </w:p>
        </w:tc>
      </w:tr>
      <w:tr>
        <w:tc>
          <w:tcPr>
            <w:tcW w:type="dxa" w:w="2484"/>
            <w:vAlign w:val="center"/>
          </w:tcPr>
          <w:p>
            <w:r/>
            <w:r>
              <w:rPr>
                <w:b w:val="0"/>
                <w:sz w:val="18"/>
              </w:rPr>
              <w:t>Evaluation</w:t>
            </w:r>
          </w:p>
        </w:tc>
        <w:tc>
          <w:tcPr>
            <w:tcW w:type="dxa" w:w="2484"/>
            <w:vAlign w:val="center"/>
          </w:tcPr>
          <w:p>
            <w:r/>
            <w:r>
              <w:rPr>
                <w:b w:val="0"/>
                <w:sz w:val="18"/>
              </w:rPr>
              <w:t>Accuracy, precision, recall, F1 and p-values</w:t>
            </w:r>
          </w:p>
        </w:tc>
        <w:tc>
          <w:tcPr>
            <w:tcW w:type="dxa" w:w="2484"/>
            <w:vAlign w:val="center"/>
          </w:tcPr>
          <w:p>
            <w:r/>
            <w:r>
              <w:rPr>
                <w:b w:val="0"/>
                <w:sz w:val="18"/>
              </w:rPr>
              <w:t>Use matched-FPR, temporal, robustness and calibration evaluation</w:t>
            </w:r>
          </w:p>
        </w:tc>
        <w:tc>
          <w:tcPr>
            <w:tcW w:type="dxa" w:w="2484"/>
            <w:vAlign w:val="center"/>
          </w:tcPr>
          <w:p>
            <w:r/>
            <w:r>
              <w:rPr>
                <w:b w:val="0"/>
                <w:sz w:val="18"/>
              </w:rPr>
              <w:t>Make false-positive stability a primary metric.</w:t>
            </w:r>
          </w:p>
        </w:tc>
      </w:tr>
      <w:tr>
        <w:tc>
          <w:tcPr>
            <w:tcW w:type="dxa" w:w="2484"/>
            <w:vAlign w:val="center"/>
          </w:tcPr>
          <w:p>
            <w:r/>
            <w:r>
              <w:rPr>
                <w:b w:val="0"/>
                <w:sz w:val="18"/>
              </w:rPr>
              <w:t>Generalization</w:t>
            </w:r>
          </w:p>
        </w:tc>
        <w:tc>
          <w:tcPr>
            <w:tcW w:type="dxa" w:w="2484"/>
            <w:vAlign w:val="center"/>
          </w:tcPr>
          <w:p>
            <w:r/>
            <w:r>
              <w:rPr>
                <w:b w:val="0"/>
                <w:sz w:val="18"/>
              </w:rPr>
              <w:t>Single public dataset</w:t>
            </w:r>
          </w:p>
        </w:tc>
        <w:tc>
          <w:tcPr>
            <w:tcW w:type="dxa" w:w="2484"/>
            <w:vAlign w:val="center"/>
          </w:tcPr>
          <w:p>
            <w:r/>
            <w:r>
              <w:rPr>
                <w:b w:val="0"/>
                <w:sz w:val="18"/>
              </w:rPr>
              <w:t>Hold out attack families and time/source domains</w:t>
            </w:r>
          </w:p>
        </w:tc>
        <w:tc>
          <w:tcPr>
            <w:tcW w:type="dxa" w:w="2484"/>
            <w:vAlign w:val="center"/>
          </w:tcPr>
          <w:p>
            <w:r/>
            <w:r>
              <w:rPr>
                <w:b w:val="0"/>
                <w:sz w:val="18"/>
              </w:rPr>
              <w:t>Test cross-domain and temporal generalization.</w:t>
            </w:r>
          </w:p>
        </w:tc>
      </w:tr>
      <w:tr>
        <w:tc>
          <w:tcPr>
            <w:tcW w:type="dxa" w:w="2484"/>
            <w:vAlign w:val="center"/>
          </w:tcPr>
          <w:p>
            <w:r/>
            <w:r>
              <w:rPr>
                <w:b w:val="0"/>
                <w:sz w:val="18"/>
              </w:rPr>
              <w:t>Robustness</w:t>
            </w:r>
          </w:p>
        </w:tc>
        <w:tc>
          <w:tcPr>
            <w:tcW w:type="dxa" w:w="2484"/>
            <w:vAlign w:val="center"/>
          </w:tcPr>
          <w:p>
            <w:r/>
            <w:r>
              <w:rPr>
                <w:b w:val="0"/>
                <w:sz w:val="18"/>
              </w:rPr>
              <w:t>Not systematically tested</w:t>
            </w:r>
          </w:p>
        </w:tc>
        <w:tc>
          <w:tcPr>
            <w:tcW w:type="dxa" w:w="2484"/>
            <w:vAlign w:val="center"/>
          </w:tcPr>
          <w:p>
            <w:r/>
            <w:r>
              <w:rPr>
                <w:b w:val="0"/>
                <w:sz w:val="18"/>
              </w:rPr>
              <w:t>Adaptive attacks and forced missingness are required</w:t>
            </w:r>
          </w:p>
        </w:tc>
        <w:tc>
          <w:tcPr>
            <w:tcW w:type="dxa" w:w="2484"/>
            <w:vAlign w:val="center"/>
          </w:tcPr>
          <w:p>
            <w:r/>
            <w:r>
              <w:rPr>
                <w:b w:val="0"/>
                <w:sz w:val="18"/>
              </w:rPr>
              <w:t>Include attacker-aware evaluation.</w:t>
            </w:r>
          </w:p>
        </w:tc>
      </w:tr>
      <w:tr>
        <w:tc>
          <w:tcPr>
            <w:tcW w:type="dxa" w:w="2484"/>
            <w:vAlign w:val="center"/>
          </w:tcPr>
          <w:p>
            <w:r/>
            <w:r>
              <w:rPr>
                <w:b w:val="0"/>
                <w:sz w:val="18"/>
              </w:rPr>
              <w:t>Deployment</w:t>
            </w:r>
          </w:p>
        </w:tc>
        <w:tc>
          <w:tcPr>
            <w:tcW w:type="dxa" w:w="2484"/>
            <w:vAlign w:val="center"/>
          </w:tcPr>
          <w:p>
            <w:r/>
            <w:r>
              <w:rPr>
                <w:b w:val="0"/>
                <w:sz w:val="18"/>
              </w:rPr>
              <w:t>Real-time suitability claimed without latency evidence</w:t>
            </w:r>
          </w:p>
        </w:tc>
        <w:tc>
          <w:tcPr>
            <w:tcW w:type="dxa" w:w="2484"/>
            <w:vAlign w:val="center"/>
          </w:tcPr>
          <w:p>
            <w:r/>
            <w:r>
              <w:rPr>
                <w:b w:val="0"/>
                <w:sz w:val="18"/>
              </w:rPr>
              <w:t>Use cascade, p50/p95/p99 latency and throughput</w:t>
            </w:r>
          </w:p>
        </w:tc>
        <w:tc>
          <w:tcPr>
            <w:tcW w:type="dxa" w:w="2484"/>
            <w:vAlign w:val="center"/>
          </w:tcPr>
          <w:p>
            <w:r/>
            <w:r>
              <w:rPr>
                <w:b w:val="0"/>
                <w:sz w:val="18"/>
              </w:rPr>
              <w:t>Measure cost and latency explicitly.</w:t>
            </w:r>
          </w:p>
        </w:tc>
      </w:tr>
      <w:tr>
        <w:tc>
          <w:tcPr>
            <w:tcW w:type="dxa" w:w="2484"/>
            <w:vAlign w:val="center"/>
          </w:tcPr>
          <w:p>
            <w:r/>
            <w:r>
              <w:rPr>
                <w:b w:val="0"/>
                <w:sz w:val="18"/>
              </w:rPr>
              <w:t>Explainability</w:t>
            </w:r>
          </w:p>
        </w:tc>
        <w:tc>
          <w:tcPr>
            <w:tcW w:type="dxa" w:w="2484"/>
            <w:vAlign w:val="center"/>
          </w:tcPr>
          <w:p>
            <w:r/>
            <w:r>
              <w:rPr>
                <w:b w:val="0"/>
                <w:sz w:val="18"/>
              </w:rPr>
              <w:t>Future work</w:t>
            </w:r>
          </w:p>
        </w:tc>
        <w:tc>
          <w:tcPr>
            <w:tcW w:type="dxa" w:w="2484"/>
            <w:vAlign w:val="center"/>
          </w:tcPr>
          <w:p>
            <w:r/>
            <w:r>
              <w:rPr>
                <w:b w:val="0"/>
                <w:sz w:val="18"/>
              </w:rPr>
              <w:t>Evidence readout and modality attribution can be built into fusion</w:t>
            </w:r>
          </w:p>
        </w:tc>
        <w:tc>
          <w:tcPr>
            <w:tcW w:type="dxa" w:w="2484"/>
            <w:vAlign w:val="center"/>
          </w:tcPr>
          <w:p>
            <w:r/>
            <w:r>
              <w:rPr>
                <w:b w:val="0"/>
                <w:sz w:val="18"/>
              </w:rPr>
              <w:t>Make explanations part of evaluation rather than an afterthought.</w:t>
            </w:r>
          </w:p>
        </w:tc>
      </w:tr>
    </w:tbl>
    <w:p/>
    <w:p>
      <w:pPr>
        <w:pStyle w:val="Heading1"/>
      </w:pPr>
      <w:r>
        <w:t>3. Supplementary Notes &amp; Empirical Observations</w:t>
      </w:r>
    </w:p>
    <w:p>
      <w:r>
        <w:t>The scanned nine-page notebook contains handwritten observations from several related papers and repeatedly returns to four themes: URL-specific information, AI-generated phishing/stylometry, explainability and deployment, and the need to simplify the base architecture while broadening the evidence channels.</w:t>
      </w:r>
    </w:p>
    <w:p>
      <w:pPr>
        <w:spacing w:before="60"/>
      </w:pPr>
      <w:r>
        <w:rPr>
          <w:i/>
          <w:color w:val="5A5A5A"/>
          <w:sz w:val="18"/>
        </w:rPr>
        <w:t>Source: Scanned_20261008-1326.pdf. The PDF contains images rather than machine-readable text; the following is a transcription/synthesis of the visible handwritten notes.</w:t>
      </w:r>
    </w:p>
    <w:p>
      <w:pPr>
        <w:pStyle w:val="Heading2"/>
      </w:pPr>
      <w:r>
        <w:t>3.1 URL-based phishing detection notes</w:t>
      </w:r>
    </w:p>
    <w:p>
      <w:r>
        <w:t>Page 1 sketches a URL-focused pipeline: URL → URL features → NLP/word-vector features → approximately 40 NLP-based features → ML classifier → phishing/legitimate decision. The note emphasizes URL-specific information such as URL length, domain structure, subdomains, URL tokens, and suspicious words. A second diagram proposes combining email text through BERT/attention with URL features before feature fusion and classification.</w:t>
      </w:r>
    </w:p>
    <w:p>
      <w:r>
        <w:t>Research implication: the notes support the argument that URL evidence should not be treated as a replacement for semantic email modeling. Instead, it can become a complementary channel whose contribution is measured independently and then fused with textual representations.</w:t>
      </w:r>
    </w:p>
    <w:p>
      <w:pPr>
        <w:pStyle w:val="Heading2"/>
      </w:pPr>
      <w:r>
        <w:t>3.2 AI-generated phishing and stylometric observations</w:t>
      </w:r>
    </w:p>
    <w:p>
      <w:r>
        <w:t>Pages 1–2 discuss a paper on evaluating spam filters and stylometric detection of AI-generated phishing emails. The notes identify stylometric/linguistic features such as imperative-verb counts, clause-density patterns, first-person pronouns, and sentence structure, followed by conventional classifiers such as logistic regression, SVM, random forest, and an XGBoost-style model.</w:t>
      </w:r>
    </w:p>
    <w:p>
      <w:r>
        <w:t>The handwritten notes identify limitations around generalization and the use of a limited AI-generated phishing set, and propose evaluating the base BCG-MHeadAttention-MGO detector on phishing generated by multiple LLMs. They also propose testing whether adding stylometric/psycholinguistic features improves recall.</w:t>
      </w:r>
    </w:p>
    <w:p>
      <w:r>
        <w:t>This is consistent with the broader comparison review: robustness should be demonstrated against unseen attack families rather than inferred from performance on one synthetic generator.</w:t>
      </w:r>
    </w:p>
    <w:p>
      <w:pPr>
        <w:pStyle w:val="Heading2"/>
      </w:pPr>
      <w:r>
        <w:t>3.3 Explainability and practical deployment</w:t>
      </w:r>
    </w:p>
    <w:p>
      <w:r>
        <w:t>Pages 2, 7, and 8 summarize an “Explainable AI + web deployment” direction. The notes highlight two practical advantages: LIME-based explanations showing which features contributed to a prediction, and an actual web application demonstrating deployment rather than only offline experimentation.</w:t>
      </w:r>
    </w:p>
    <w:p>
      <w:r>
        <w:t>The handwritten architecture uses email sender/date/subject/body, preprocessing such as TF-IDF/Word2Vec, conventional classifiers, and LIME for explanation. The notes contrast this simpler deployment-oriented architecture with the base paper’s much more sophisticated deep architecture.</w:t>
      </w:r>
    </w:p>
    <w:p>
      <w:r>
        <w:t>The resulting research question is not simply “add XAI.” It is whether a high-performing contextual detector can provide faithful, useful evidence while remaining practical to deploy. The notes suggest a possible path of using the BERT + CNN + MHA + BiGRU + MGO model as the deep detector, adding an explainability layer, and exposing it through a lightweight API.</w:t>
      </w:r>
    </w:p>
    <w:p>
      <w:pPr>
        <w:pStyle w:val="Heading2"/>
      </w:pPr>
      <w:r>
        <w:t>3.4 HELPHED and broader feature coverage</w:t>
      </w:r>
    </w:p>
    <w:p>
      <w:r>
        <w:t>Page 3 refers to HELPHED as a hybrid ensemble learning approach and notes that it uses a broader email feature set, including body/header/URL information and system or contextual features. The observation is that the base paper is more advanced in deep semantic modeling, while HELPHED-style systems provide broader coverage of email evidence.</w:t>
      </w:r>
    </w:p>
    <w:p>
      <w:r>
        <w:t>The useful synthesis is therefore not to copy every HELPHED feature, but to identify which non-text channels can provide information unavailable to a text-only BERT model.</w:t>
      </w:r>
    </w:p>
    <w:p>
      <w:pPr>
        <w:pStyle w:val="Heading2"/>
      </w:pPr>
      <w:r>
        <w:t>3.5 BERT + CNN enterprise-detection notes</w:t>
      </w:r>
    </w:p>
    <w:p>
      <w:r>
        <w:t>Page 9 sketches an enterprise phishing detector using BERT → contextual features → CNN → classification. The notes state that the simpler BERT + CNN architecture may be easier to deploy than the base architecture and recommend an ablation sequence:</w:t>
      </w:r>
    </w:p>
    <w:p>
      <w:pPr>
        <w:pStyle w:val="ListBullet"/>
        <w:spacing w:after="40"/>
      </w:pPr>
      <w:r>
        <w:t>BERT</w:t>
      </w:r>
    </w:p>
    <w:p>
      <w:pPr>
        <w:pStyle w:val="ListBullet"/>
        <w:spacing w:after="40"/>
      </w:pPr>
      <w:r>
        <w:t>BERT + CNN</w:t>
      </w:r>
    </w:p>
    <w:p>
      <w:pPr>
        <w:pStyle w:val="ListBullet"/>
        <w:spacing w:after="40"/>
      </w:pPr>
      <w:r>
        <w:t>BERT + MHA + CNN</w:t>
      </w:r>
    </w:p>
    <w:p>
      <w:pPr>
        <w:pStyle w:val="ListBullet"/>
        <w:spacing w:after="40"/>
      </w:pPr>
      <w:r>
        <w:t>BERT + MHA + CNN + BiGRU</w:t>
      </w:r>
    </w:p>
    <w:p>
      <w:pPr>
        <w:pStyle w:val="ListBullet"/>
        <w:spacing w:after="40"/>
      </w:pPr>
      <w:r>
        <w:t>BERT + MHA + CNN + BiGRU + MGO</w:t>
      </w:r>
    </w:p>
    <w:p>
      <w:r>
        <w:t>This is a particularly valuable experimental idea because it isolates the marginal contribution of each architectural block instead of comparing only the final hybrid model against unrelated baselines.</w:t>
      </w:r>
    </w:p>
    <w:p>
      <w:pPr>
        <w:pStyle w:val="Heading2"/>
      </w:pPr>
      <w:r>
        <w:t>3.6 Overall synthesis of the scanned notes</w:t>
      </w:r>
    </w:p>
    <w:p>
      <w:pPr>
        <w:pStyle w:val="ListBullet"/>
        <w:spacing w:after="40"/>
      </w:pPr>
      <w:r>
        <w:t>The base model is strong in contextual language representation but weak in explicit non-text evidence.</w:t>
      </w:r>
    </w:p>
    <w:p>
      <w:pPr>
        <w:pStyle w:val="ListBullet"/>
        <w:spacing w:after="40"/>
      </w:pPr>
      <w:r>
        <w:t>URL structure, sender/header evidence, and financial context can provide complementary signals.</w:t>
      </w:r>
    </w:p>
    <w:p>
      <w:pPr>
        <w:pStyle w:val="ListBullet"/>
        <w:spacing w:after="40"/>
      </w:pPr>
      <w:r>
        <w:t>AI-generated phishing creates a clear need for cross-generator evaluation.</w:t>
      </w:r>
    </w:p>
    <w:p>
      <w:pPr>
        <w:pStyle w:val="ListBullet"/>
        <w:spacing w:after="40"/>
      </w:pPr>
      <w:r>
        <w:t>Stylometric/psycholinguistic features are a possible robustness signal, but they should be tested rather than assumed useful.</w:t>
      </w:r>
    </w:p>
    <w:p>
      <w:pPr>
        <w:pStyle w:val="ListBullet"/>
        <w:spacing w:after="40"/>
      </w:pPr>
      <w:r>
        <w:t>Explainability and deployment are practical research dimensions, not merely presentation features.</w:t>
      </w:r>
    </w:p>
    <w:p>
      <w:pPr>
        <w:pStyle w:val="ListBullet"/>
        <w:spacing w:after="40"/>
      </w:pPr>
      <w:r>
        <w:t>Ablation should establish whether each architectural component actually contributes.</w:t>
      </w:r>
    </w:p>
    <w:p>
      <w:pPr>
        <w:pStyle w:val="Heading1"/>
      </w:pPr>
      <w:r>
        <w:t>4. Practical Case Studies: Recent Financial Phishing Detection</w:t>
      </w:r>
    </w:p>
    <w:p>
      <w:r>
        <w:t>Important source limitation: the supplied financial-phishing document is a research-gap analysis rather than a catalog of named real-world incidents with measured detection outcomes. It focuses on banking, payment, invoice, financial-transaction, business-email-compromise (BEC), and account-takeover phishing. Accordingly, this section synthesizes the threat scenarios and detection opportunities described by the source without inventing incident-specific statistics or outcomes.</w:t>
      </w:r>
    </w:p>
    <w:p>
      <w:pPr>
        <w:spacing w:before="60"/>
      </w:pPr>
      <w:r>
        <w:rPr>
          <w:i/>
          <w:color w:val="5A5A5A"/>
          <w:sz w:val="18"/>
        </w:rPr>
        <w:t>Source: Financial_Phishing_Research_Gaps.docx, especially the executive summary and Sections 1–6.</w:t>
      </w:r>
    </w:p>
    <w:p>
      <w:pPr>
        <w:pStyle w:val="Heading2"/>
      </w:pPr>
      <w:r>
        <w:t>4.1 Conversation-level BEC escalation</w:t>
      </w:r>
    </w:p>
    <w:p>
      <w:r>
        <w:t>Threat vector: a conversation begins as legitimate-looking communication and gradually shifts toward invoices, payment, payroll, or bank-account changes. The attack therefore depends on conversational evolution rather than a single obviously malicious message.</w:t>
      </w:r>
    </w:p>
    <w:p>
      <w:r>
        <w:t>Detection mechanism proposed by the source: model the evolution of the conversation and detect the point at which a legitimate-looking interaction becomes financially motivated BEC.</w:t>
      </w:r>
    </w:p>
    <w:p>
      <w:r>
        <w:t>Expected research outcome: earlier identification of financially motivated manipulation than a single-email classifier that evaluates each message independently.</w:t>
      </w:r>
    </w:p>
    <w:p>
      <w:pPr>
        <w:pStyle w:val="Heading2"/>
      </w:pPr>
      <w:r>
        <w:t>4.2 Financial-intent detection</w:t>
      </w:r>
    </w:p>
    <w:p>
      <w:r>
        <w:t>Threat vector: the attacker attempts to induce a specific financial action. The source identifies invoice payment, bank-account change, payroll diversion, wire transfer, and ACH transfer as example intents.</w:t>
      </w:r>
    </w:p>
    <w:p>
      <w:r>
        <w:t>Detection mechanism: extend binary phishing detection into a joint task—determine whether the email is phishing and, if so, infer the financial action being induced.</w:t>
      </w:r>
    </w:p>
    <w:p>
      <w:r>
        <w:t>This changes the output from a generic phishing score into a security-relevant explanation such as: “phishing likely; intended action = bank-account change.”</w:t>
      </w:r>
    </w:p>
    <w:p>
      <w:pPr>
        <w:pStyle w:val="Heading2"/>
      </w:pPr>
      <w:r>
        <w:t>4.3 Lookalike domains + content + financial intent</w:t>
      </w:r>
    </w:p>
    <w:p>
      <w:r>
        <w:t>Threat vector: supplier or executive impersonation using attacker-controlled lookalike domains. The source notes that SPF/DKIM/DMARC and domain-similarity mechanisms already exist, but authentication alone does not establish trust because an attacker can operate infrastructure that authenticates correctly.</w:t>
      </w:r>
    </w:p>
    <w:p>
      <w:r>
        <w:t>Detection mechanism: jointly analyze domain similarity, sender identity, email semantics, financial request content, impersonation cues, and recipient context.</w:t>
      </w:r>
    </w:p>
    <w:p>
      <w:pPr>
        <w:pStyle w:val="Heading2"/>
      </w:pPr>
      <w:r>
        <w:t>4.4 AI-generated financial phishing</w:t>
      </w:r>
    </w:p>
    <w:p>
      <w:r>
        <w:t>Threat vector: LLMs can generate convincing executive-impersonation, invoice-fraud, and payment-request emails. The source highlights a cross-model problem: a detector trained on phishing produced by one LLM may lose performance when the attacker switches to another model or prompting strategy.</w:t>
      </w:r>
    </w:p>
    <w:p>
      <w:r>
        <w:t>Detection mechanism: train/evaluate for cross-model generalization and explicitly hold out generating models during testing.</w:t>
      </w:r>
    </w:p>
    <w:p>
      <w:pPr>
        <w:pStyle w:val="Heading2"/>
      </w:pPr>
      <w:r>
        <w:t>4.5 Email → account takeover → financial fraud</w:t>
      </w:r>
    </w:p>
    <w:p>
      <w:r>
        <w:t>Threat vector: phishing may be only the first stage of a larger chain involving account compromise, inbox-rule manipulation, bank-detail modification, payroll diversion, or fraudulent transactions.</w:t>
      </w:r>
    </w:p>
    <w:p>
      <w:r>
        <w:t>Detection mechanism: connect email evidence to later security events rather than treating the email as an isolated classification problem.</w:t>
      </w:r>
    </w:p>
    <w:p>
      <w:r>
        <w:t>The source describes this as largely unsolved as a unified email problem because the required evidence crosses email security, identity protection, and transaction-monitoring domains.</w:t>
      </w:r>
    </w:p>
    <w:p>
      <w:pPr>
        <w:pStyle w:val="Heading2"/>
      </w:pPr>
      <w:r>
        <w:t>4.6 Hidden or indirect financial intent</w:t>
      </w:r>
    </w:p>
    <w:p>
      <w:r>
        <w:t>Threat vector: the attacker establishes trust before making an explicit payment request. Early messages may therefore contain few or no obvious financial keywords.</w:t>
      </w:r>
    </w:p>
    <w:p>
      <w:r>
        <w:t>Detection mechanism: conversation context and relational cues should expose latent financial intent before the explicit transaction stage.</w:t>
      </w:r>
    </w:p>
    <w:p>
      <w:pPr>
        <w:pStyle w:val="Heading2"/>
      </w:pPr>
      <w:r>
        <w:t>4.7 Priority ranking from the supplied financial-phishing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Priority</w:t>
            </w:r>
          </w:p>
        </w:tc>
        <w:tc>
          <w:tcPr>
            <w:tcW w:type="dxa" w:w="3312"/>
            <w:vAlign w:val="center"/>
            <w:shd w:fill="D9EAF7"/>
          </w:tcPr>
          <w:p>
            <w:r/>
            <w:r>
              <w:rPr>
                <w:b/>
                <w:sz w:val="18"/>
              </w:rPr>
              <w:t>Research direction</w:t>
            </w:r>
          </w:p>
        </w:tc>
        <w:tc>
          <w:tcPr>
            <w:tcW w:type="dxa" w:w="3312"/>
            <w:vAlign w:val="center"/>
            <w:shd w:fill="D9EAF7"/>
          </w:tcPr>
          <w:p>
            <w:r/>
            <w:r>
              <w:rPr>
                <w:b/>
                <w:sz w:val="18"/>
              </w:rPr>
              <w:t>Assessment</w:t>
            </w:r>
          </w:p>
        </w:tc>
      </w:tr>
      <w:tr>
        <w:tc>
          <w:tcPr>
            <w:tcW w:type="dxa" w:w="3312"/>
            <w:vAlign w:val="center"/>
          </w:tcPr>
          <w:p>
            <w:r/>
            <w:r>
              <w:rPr>
                <w:b w:val="0"/>
                <w:sz w:val="18"/>
              </w:rPr>
              <w:t>1</w:t>
            </w:r>
          </w:p>
        </w:tc>
        <w:tc>
          <w:tcPr>
            <w:tcW w:type="dxa" w:w="3312"/>
            <w:vAlign w:val="center"/>
          </w:tcPr>
          <w:p>
            <w:r/>
            <w:r>
              <w:rPr>
                <w:b w:val="0"/>
                <w:sz w:val="18"/>
              </w:rPr>
              <w:t>Conversation-level financial phishing + financial intent</w:t>
            </w:r>
          </w:p>
        </w:tc>
        <w:tc>
          <w:tcPr>
            <w:tcW w:type="dxa" w:w="3312"/>
            <w:vAlign w:val="center"/>
          </w:tcPr>
          <w:p>
            <w:r/>
            <w:r>
              <w:rPr>
                <w:b w:val="0"/>
                <w:sz w:val="18"/>
              </w:rPr>
              <w:t>Most directly aligned with phishing email and a clear research question.</w:t>
            </w:r>
          </w:p>
        </w:tc>
      </w:tr>
      <w:tr>
        <w:tc>
          <w:tcPr>
            <w:tcW w:type="dxa" w:w="3312"/>
            <w:vAlign w:val="center"/>
          </w:tcPr>
          <w:p>
            <w:r/>
            <w:r>
              <w:rPr>
                <w:b w:val="0"/>
                <w:sz w:val="18"/>
              </w:rPr>
              <w:t>2</w:t>
            </w:r>
          </w:p>
        </w:tc>
        <w:tc>
          <w:tcPr>
            <w:tcW w:type="dxa" w:w="3312"/>
            <w:vAlign w:val="center"/>
          </w:tcPr>
          <w:p>
            <w:r/>
            <w:r>
              <w:rPr>
                <w:b w:val="0"/>
                <w:sz w:val="18"/>
              </w:rPr>
              <w:t>Multi-signal financial-intent detection</w:t>
            </w:r>
          </w:p>
        </w:tc>
        <w:tc>
          <w:tcPr>
            <w:tcW w:type="dxa" w:w="3312"/>
            <w:vAlign w:val="center"/>
          </w:tcPr>
          <w:p>
            <w:r/>
            <w:r>
              <w:rPr>
                <w:b w:val="0"/>
                <w:sz w:val="18"/>
              </w:rPr>
              <w:t>Highly practical; combines sender/domain, semantics, impersonation, urgency, invoices, payment instructions, and intent.</w:t>
            </w:r>
          </w:p>
        </w:tc>
      </w:tr>
      <w:tr>
        <w:tc>
          <w:tcPr>
            <w:tcW w:type="dxa" w:w="3312"/>
            <w:vAlign w:val="center"/>
          </w:tcPr>
          <w:p>
            <w:r/>
            <w:r>
              <w:rPr>
                <w:b w:val="0"/>
                <w:sz w:val="18"/>
              </w:rPr>
              <w:t>3</w:t>
            </w:r>
          </w:p>
        </w:tc>
        <w:tc>
          <w:tcPr>
            <w:tcW w:type="dxa" w:w="3312"/>
            <w:vAlign w:val="center"/>
          </w:tcPr>
          <w:p>
            <w:r/>
            <w:r>
              <w:rPr>
                <w:b w:val="0"/>
                <w:sz w:val="18"/>
              </w:rPr>
              <w:t>AI-generated financial phishing with cross-model generalization</w:t>
            </w:r>
          </w:p>
        </w:tc>
        <w:tc>
          <w:tcPr>
            <w:tcW w:type="dxa" w:w="3312"/>
            <w:vAlign w:val="center"/>
          </w:tcPr>
          <w:p>
            <w:r/>
            <w:r>
              <w:rPr>
                <w:b w:val="0"/>
                <w:sz w:val="18"/>
              </w:rPr>
              <w:t>Current and research-oriented; strong robustness direction.</w:t>
            </w:r>
          </w:p>
        </w:tc>
      </w:tr>
      <w:tr>
        <w:tc>
          <w:tcPr>
            <w:tcW w:type="dxa" w:w="3312"/>
            <w:vAlign w:val="center"/>
          </w:tcPr>
          <w:p>
            <w:r/>
            <w:r>
              <w:rPr>
                <w:b w:val="0"/>
                <w:sz w:val="18"/>
              </w:rPr>
              <w:t>4</w:t>
            </w:r>
          </w:p>
        </w:tc>
        <w:tc>
          <w:tcPr>
            <w:tcW w:type="dxa" w:w="3312"/>
            <w:vAlign w:val="center"/>
          </w:tcPr>
          <w:p>
            <w:r/>
            <w:r>
              <w:rPr>
                <w:b w:val="0"/>
                <w:sz w:val="18"/>
              </w:rPr>
              <w:t>Email → account takeover → financial fraud chain</w:t>
            </w:r>
          </w:p>
        </w:tc>
        <w:tc>
          <w:tcPr>
            <w:tcW w:type="dxa" w:w="3312"/>
            <w:vAlign w:val="center"/>
          </w:tcPr>
          <w:p>
            <w:r/>
            <w:r>
              <w:rPr>
                <w:b w:val="0"/>
                <w:sz w:val="18"/>
              </w:rPr>
              <w:t>Very interesting but substantially harder because it crosses security domains.</w:t>
            </w:r>
          </w:p>
        </w:tc>
      </w:tr>
      <w:tr>
        <w:tc>
          <w:tcPr>
            <w:tcW w:type="dxa" w:w="3312"/>
            <w:vAlign w:val="center"/>
          </w:tcPr>
          <w:p>
            <w:r/>
            <w:r>
              <w:rPr>
                <w:b w:val="0"/>
                <w:sz w:val="18"/>
              </w:rPr>
              <w:t>5</w:t>
            </w:r>
          </w:p>
        </w:tc>
        <w:tc>
          <w:tcPr>
            <w:tcW w:type="dxa" w:w="3312"/>
            <w:vAlign w:val="center"/>
          </w:tcPr>
          <w:p>
            <w:r/>
            <w:r>
              <w:rPr>
                <w:b w:val="0"/>
                <w:sz w:val="18"/>
              </w:rPr>
              <w:t>Lookalike domain + financial intent</w:t>
            </w:r>
          </w:p>
        </w:tc>
        <w:tc>
          <w:tcPr>
            <w:tcW w:type="dxa" w:w="3312"/>
            <w:vAlign w:val="center"/>
          </w:tcPr>
          <w:p>
            <w:r/>
            <w:r>
              <w:rPr>
                <w:b w:val="0"/>
                <w:sz w:val="18"/>
              </w:rPr>
              <w:t>Strong subsystem/component; weaker as the entire project by itself.</w:t>
            </w:r>
          </w:p>
        </w:tc>
      </w:tr>
    </w:tbl>
    <w:p/>
    <w:p>
      <w:pPr>
        <w:pStyle w:val="Heading1"/>
      </w:pPr>
      <w:r>
        <w:t>5. Integrated Research Gap and Recommended Direction</w:t>
      </w:r>
    </w:p>
    <w:p>
      <w:r>
        <w:t>When the four source groups are read together, the most defensible gap is not the absence of phishing detectors. The gap is the separation of signals and objectives: the base paper primarily models email text; related approaches introduce headers, URLs, authentication, temporal behavior, robustness, explainability, and deployment; the financial analysis identifies conversation evolution and financial intent as especially important for modern BEC.</w:t>
      </w:r>
    </w:p>
    <w:p>
      <w:r>
        <w:t>A coherent research direction is therefore a **multi-signal, conversation-aware financial phishing detector** that uses the base BERT-centered architecture as a semantic backbone, but does not blindly preserve every downstream component.</w:t>
      </w:r>
    </w:p>
    <w:p>
      <w:pPr>
        <w:pStyle w:val="Heading2"/>
      </w:pPr>
      <w:r>
        <w:t>5.1 Proposed research question</w:t>
      </w:r>
    </w:p>
    <w:p>
      <w:r>
        <w:t>Can a conversation-aware, multi-signal phishing detector combine email semantics, sender/header evidence, URL characteristics, and financial intent to detect financially motivated phishing/BEC earlier and at a controlled false-positive rate, while remaining robust to AI-generated and adversarially modified messages?</w:t>
      </w:r>
    </w:p>
    <w:p>
      <w:pPr>
        <w:pStyle w:val="Heading2"/>
      </w:pPr>
      <w:r>
        <w:t>5.2 Proposed high-level architecture</w:t>
      </w:r>
    </w:p>
    <w:p>
      <w:r>
        <w:t>The following is a synthesis/recommendation derived from the supplied materials, not an experimentally validated architecture.</w:t>
      </w:r>
    </w:p>
    <w:p>
      <w:pPr>
        <w:pStyle w:val="ListNumber"/>
        <w:spacing w:after="40"/>
      </w:pPr>
      <w:r>
        <w:t>Email conversation ingestion: retain message order and relevant prior-message context.</w:t>
      </w:r>
    </w:p>
    <w:p>
      <w:pPr>
        <w:pStyle w:val="ListNumber"/>
        <w:spacing w:after="40"/>
      </w:pPr>
      <w:r>
        <w:t>Text channel: BERT/DistilBERT-style contextual encoder for subject and body; preserve token-level representations if CNN/attention/sequence layers are used.</w:t>
      </w:r>
    </w:p>
    <w:p>
      <w:pPr>
        <w:pStyle w:val="ListNumber"/>
        <w:spacing w:after="40"/>
      </w:pPr>
      <w:r>
        <w:t>Header/sender channel: sender identity, reply-to relationships, authentication outcomes, and canonicalization deltas.</w:t>
      </w:r>
    </w:p>
    <w:p>
      <w:pPr>
        <w:pStyle w:val="ListNumber"/>
        <w:spacing w:after="40"/>
      </w:pPr>
      <w:r>
        <w:t>URL channel: URL lexical/structural features, suspicious tokens, domain similarity, and optionally cached graph information.</w:t>
      </w:r>
    </w:p>
    <w:p>
      <w:pPr>
        <w:pStyle w:val="ListNumber"/>
        <w:spacing w:after="40"/>
      </w:pPr>
      <w:r>
        <w:t>Financial-intent channel: classify or score actions such as invoice payment, bank-account change, payroll diversion, wire transfer, or ACH transfer.</w:t>
      </w:r>
    </w:p>
    <w:p>
      <w:pPr>
        <w:pStyle w:val="ListNumber"/>
        <w:spacing w:after="40"/>
      </w:pPr>
      <w:r>
        <w:t>Availability-aware fusion: use gated bottleneck cross-attention so missing or delayed evidence is represented explicitly rather than becoming a hidden label shortcut.</w:t>
      </w:r>
    </w:p>
    <w:p>
      <w:pPr>
        <w:pStyle w:val="ListNumber"/>
        <w:spacing w:after="40"/>
      </w:pPr>
      <w:r>
        <w:t>Classification: phishing probability plus financial-intent class/probability.</w:t>
      </w:r>
    </w:p>
    <w:p>
      <w:pPr>
        <w:pStyle w:val="ListNumber"/>
        <w:spacing w:after="40"/>
      </w:pPr>
      <w:r>
        <w:t>Calibration and decision layer: choose thresholds using a validation/calibration split and report performance at matched FPR.</w:t>
      </w:r>
    </w:p>
    <w:p>
      <w:pPr>
        <w:pStyle w:val="ListNumber"/>
        <w:spacing w:after="40"/>
      </w:pPr>
      <w:r>
        <w:t>Robustness layer: evaluate paraphrase, homoglyph, AI-generated, and cross-generator attacks.</w:t>
      </w:r>
    </w:p>
    <w:p>
      <w:pPr>
        <w:pStyle w:val="ListNumber"/>
        <w:spacing w:after="40"/>
      </w:pPr>
      <w:r>
        <w:t>Lifecycle layer: monitor temporal drift, replay representative data, regression-test updates, and recalibrate after model changes.</w:t>
      </w:r>
    </w:p>
    <w:p>
      <w:pPr>
        <w:pStyle w:val="Heading2"/>
      </w:pPr>
      <w:r>
        <w:t>5.3 What should happen to BERT + MHA + CNN + BiGRU + MGO?</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Component</w:t>
            </w:r>
          </w:p>
        </w:tc>
        <w:tc>
          <w:tcPr>
            <w:tcW w:type="dxa" w:w="3312"/>
            <w:vAlign w:val="center"/>
            <w:shd w:fill="D9EAF7"/>
          </w:tcPr>
          <w:p>
            <w:r/>
            <w:r>
              <w:rPr>
                <w:b/>
                <w:sz w:val="18"/>
              </w:rPr>
              <w:t>Recommendation</w:t>
            </w:r>
          </w:p>
        </w:tc>
        <w:tc>
          <w:tcPr>
            <w:tcW w:type="dxa" w:w="3312"/>
            <w:vAlign w:val="center"/>
            <w:shd w:fill="D9EAF7"/>
          </w:tcPr>
          <w:p>
            <w:r/>
            <w:r>
              <w:rPr>
                <w:b/>
                <w:sz w:val="18"/>
              </w:rPr>
              <w:t>Reason</w:t>
            </w:r>
          </w:p>
        </w:tc>
      </w:tr>
      <w:tr>
        <w:tc>
          <w:tcPr>
            <w:tcW w:type="dxa" w:w="3312"/>
            <w:vAlign w:val="center"/>
          </w:tcPr>
          <w:p>
            <w:r/>
            <w:r>
              <w:rPr>
                <w:b w:val="0"/>
                <w:sz w:val="18"/>
              </w:rPr>
              <w:t>BERT</w:t>
            </w:r>
          </w:p>
        </w:tc>
        <w:tc>
          <w:tcPr>
            <w:tcW w:type="dxa" w:w="3312"/>
            <w:vAlign w:val="center"/>
          </w:tcPr>
          <w:p>
            <w:r/>
            <w:r>
              <w:rPr>
                <w:b w:val="0"/>
                <w:sz w:val="18"/>
              </w:rPr>
              <w:t>Keep as semantic backbone; test smaller encoder first</w:t>
            </w:r>
          </w:p>
        </w:tc>
        <w:tc>
          <w:tcPr>
            <w:tcW w:type="dxa" w:w="3312"/>
            <w:vAlign w:val="center"/>
          </w:tcPr>
          <w:p>
            <w:r/>
            <w:r>
              <w:rPr>
                <w:b w:val="0"/>
                <w:sz w:val="18"/>
              </w:rPr>
              <w:t>Strong contextual representation; smaller models make ablations feasible.</w:t>
            </w:r>
          </w:p>
        </w:tc>
      </w:tr>
      <w:tr>
        <w:tc>
          <w:tcPr>
            <w:tcW w:type="dxa" w:w="3312"/>
            <w:vAlign w:val="center"/>
          </w:tcPr>
          <w:p>
            <w:r/>
            <w:r>
              <w:rPr>
                <w:b w:val="0"/>
                <w:sz w:val="18"/>
              </w:rPr>
              <w:t>Multi-Head Attention</w:t>
            </w:r>
          </w:p>
        </w:tc>
        <w:tc>
          <w:tcPr>
            <w:tcW w:type="dxa" w:w="3312"/>
            <w:vAlign w:val="center"/>
          </w:tcPr>
          <w:p>
            <w:r/>
            <w:r>
              <w:rPr>
                <w:b w:val="0"/>
                <w:sz w:val="18"/>
              </w:rPr>
              <w:t>Keep only if token/context interaction improves matched-FPR metrics</w:t>
            </w:r>
          </w:p>
        </w:tc>
        <w:tc>
          <w:tcPr>
            <w:tcW w:type="dxa" w:w="3312"/>
            <w:vAlign w:val="center"/>
          </w:tcPr>
          <w:p>
            <w:r/>
            <w:r>
              <w:rPr>
                <w:b w:val="0"/>
                <w:sz w:val="18"/>
              </w:rPr>
              <w:t>Must demonstrate incremental value.</w:t>
            </w:r>
          </w:p>
        </w:tc>
      </w:tr>
      <w:tr>
        <w:tc>
          <w:tcPr>
            <w:tcW w:type="dxa" w:w="3312"/>
            <w:vAlign w:val="center"/>
          </w:tcPr>
          <w:p>
            <w:r/>
            <w:r>
              <w:rPr>
                <w:b w:val="0"/>
                <w:sz w:val="18"/>
              </w:rPr>
              <w:t>CNN</w:t>
            </w:r>
          </w:p>
        </w:tc>
        <w:tc>
          <w:tcPr>
            <w:tcW w:type="dxa" w:w="3312"/>
            <w:vAlign w:val="center"/>
          </w:tcPr>
          <w:p>
            <w:r/>
            <w:r>
              <w:rPr>
                <w:b w:val="0"/>
                <w:sz w:val="18"/>
              </w:rPr>
              <w:t>Ablate explicitly</w:t>
            </w:r>
          </w:p>
        </w:tc>
        <w:tc>
          <w:tcPr>
            <w:tcW w:type="dxa" w:w="3312"/>
            <w:vAlign w:val="center"/>
          </w:tcPr>
          <w:p>
            <w:r/>
            <w:r>
              <w:rPr>
                <w:b w:val="0"/>
                <w:sz w:val="18"/>
              </w:rPr>
              <w:t>Useful for local patterns but may be redundant with transformer representations.</w:t>
            </w:r>
          </w:p>
        </w:tc>
      </w:tr>
      <w:tr>
        <w:tc>
          <w:tcPr>
            <w:tcW w:type="dxa" w:w="3312"/>
            <w:vAlign w:val="center"/>
          </w:tcPr>
          <w:p>
            <w:r/>
            <w:r>
              <w:rPr>
                <w:b w:val="0"/>
                <w:sz w:val="18"/>
              </w:rPr>
              <w:t>BiGRU</w:t>
            </w:r>
          </w:p>
        </w:tc>
        <w:tc>
          <w:tcPr>
            <w:tcW w:type="dxa" w:w="3312"/>
            <w:vAlign w:val="center"/>
          </w:tcPr>
          <w:p>
            <w:r/>
            <w:r>
              <w:rPr>
                <w:b w:val="0"/>
                <w:sz w:val="18"/>
              </w:rPr>
              <w:t>Ablate explicitly</w:t>
            </w:r>
          </w:p>
        </w:tc>
        <w:tc>
          <w:tcPr>
            <w:tcW w:type="dxa" w:w="3312"/>
            <w:vAlign w:val="center"/>
          </w:tcPr>
          <w:p>
            <w:r/>
            <w:r>
              <w:rPr>
                <w:b w:val="0"/>
                <w:sz w:val="18"/>
              </w:rPr>
              <w:t>Its benefit is questionable if only a pooled BERT vector is passed downstream.</w:t>
            </w:r>
          </w:p>
        </w:tc>
      </w:tr>
      <w:tr>
        <w:tc>
          <w:tcPr>
            <w:tcW w:type="dxa" w:w="3312"/>
            <w:vAlign w:val="center"/>
          </w:tcPr>
          <w:p>
            <w:r/>
            <w:r>
              <w:rPr>
                <w:b w:val="0"/>
                <w:sz w:val="18"/>
              </w:rPr>
              <w:t>MGO</w:t>
            </w:r>
          </w:p>
        </w:tc>
        <w:tc>
          <w:tcPr>
            <w:tcW w:type="dxa" w:w="3312"/>
            <w:vAlign w:val="center"/>
          </w:tcPr>
          <w:p>
            <w:r/>
            <w:r>
              <w:rPr>
                <w:b w:val="0"/>
                <w:sz w:val="18"/>
              </w:rPr>
              <w:t>Treat as an optimization variable, not the core novelty</w:t>
            </w:r>
          </w:p>
        </w:tc>
        <w:tc>
          <w:tcPr>
            <w:tcW w:type="dxa" w:w="3312"/>
            <w:vAlign w:val="center"/>
          </w:tcPr>
          <w:p>
            <w:r/>
            <w:r>
              <w:rPr>
                <w:b w:val="0"/>
                <w:sz w:val="18"/>
              </w:rPr>
              <w:t>Need a direct comparison against the same architecture without MGO and with standard tuning.</w:t>
            </w:r>
          </w:p>
        </w:tc>
      </w:tr>
      <w:tr>
        <w:tc>
          <w:tcPr>
            <w:tcW w:type="dxa" w:w="3312"/>
            <w:vAlign w:val="center"/>
          </w:tcPr>
          <w:p>
            <w:r/>
            <w:r>
              <w:rPr>
                <w:b w:val="0"/>
                <w:sz w:val="18"/>
              </w:rPr>
              <w:t>URL/header channels</w:t>
            </w:r>
          </w:p>
        </w:tc>
        <w:tc>
          <w:tcPr>
            <w:tcW w:type="dxa" w:w="3312"/>
            <w:vAlign w:val="center"/>
          </w:tcPr>
          <w:p>
            <w:r/>
            <w:r>
              <w:rPr>
                <w:b w:val="0"/>
                <w:sz w:val="18"/>
              </w:rPr>
              <w:t>Add as separate evidence channels</w:t>
            </w:r>
          </w:p>
        </w:tc>
        <w:tc>
          <w:tcPr>
            <w:tcW w:type="dxa" w:w="3312"/>
            <w:vAlign w:val="center"/>
          </w:tcPr>
          <w:p>
            <w:r/>
            <w:r>
              <w:rPr>
                <w:b w:val="0"/>
                <w:sz w:val="18"/>
              </w:rPr>
              <w:t>Addresses a major limitation of the text-only base pipeline.</w:t>
            </w:r>
          </w:p>
        </w:tc>
      </w:tr>
      <w:tr>
        <w:tc>
          <w:tcPr>
            <w:tcW w:type="dxa" w:w="3312"/>
            <w:vAlign w:val="center"/>
          </w:tcPr>
          <w:p>
            <w:r/>
            <w:r>
              <w:rPr>
                <w:b w:val="0"/>
                <w:sz w:val="18"/>
              </w:rPr>
              <w:t>Conversation context</w:t>
            </w:r>
          </w:p>
        </w:tc>
        <w:tc>
          <w:tcPr>
            <w:tcW w:type="dxa" w:w="3312"/>
            <w:vAlign w:val="center"/>
          </w:tcPr>
          <w:p>
            <w:r/>
            <w:r>
              <w:rPr>
                <w:b w:val="0"/>
                <w:sz w:val="18"/>
              </w:rPr>
              <w:t>High priority</w:t>
            </w:r>
          </w:p>
        </w:tc>
        <w:tc>
          <w:tcPr>
            <w:tcW w:type="dxa" w:w="3312"/>
            <w:vAlign w:val="center"/>
          </w:tcPr>
          <w:p>
            <w:r/>
            <w:r>
              <w:rPr>
                <w:b w:val="0"/>
                <w:sz w:val="18"/>
              </w:rPr>
              <w:t>Directly addresses the recommended financial-phishing gap.</w:t>
            </w:r>
          </w:p>
        </w:tc>
      </w:tr>
      <w:tr>
        <w:tc>
          <w:tcPr>
            <w:tcW w:type="dxa" w:w="3312"/>
            <w:vAlign w:val="center"/>
          </w:tcPr>
          <w:p>
            <w:r/>
            <w:r>
              <w:rPr>
                <w:b w:val="0"/>
                <w:sz w:val="18"/>
              </w:rPr>
              <w:t>Financial intent</w:t>
            </w:r>
          </w:p>
        </w:tc>
        <w:tc>
          <w:tcPr>
            <w:tcW w:type="dxa" w:w="3312"/>
            <w:vAlign w:val="center"/>
          </w:tcPr>
          <w:p>
            <w:r/>
            <w:r>
              <w:rPr>
                <w:b w:val="0"/>
                <w:sz w:val="18"/>
              </w:rPr>
              <w:t>High priority</w:t>
            </w:r>
          </w:p>
        </w:tc>
        <w:tc>
          <w:tcPr>
            <w:tcW w:type="dxa" w:w="3312"/>
            <w:vAlign w:val="center"/>
          </w:tcPr>
          <w:p>
            <w:r/>
            <w:r>
              <w:rPr>
                <w:b w:val="0"/>
                <w:sz w:val="18"/>
              </w:rPr>
              <w:t>Turns binary detection into actionable financial-risk detection.</w:t>
            </w:r>
          </w:p>
        </w:tc>
      </w:tr>
      <w:tr>
        <w:tc>
          <w:tcPr>
            <w:tcW w:type="dxa" w:w="3312"/>
            <w:vAlign w:val="center"/>
          </w:tcPr>
          <w:p>
            <w:r/>
            <w:r>
              <w:rPr>
                <w:b w:val="0"/>
                <w:sz w:val="18"/>
              </w:rPr>
              <w:t>XAI</w:t>
            </w:r>
          </w:p>
        </w:tc>
        <w:tc>
          <w:tcPr>
            <w:tcW w:type="dxa" w:w="3312"/>
            <w:vAlign w:val="center"/>
          </w:tcPr>
          <w:p>
            <w:r/>
            <w:r>
              <w:rPr>
                <w:b w:val="0"/>
                <w:sz w:val="18"/>
              </w:rPr>
              <w:t>Evaluate as an evidence layer</w:t>
            </w:r>
          </w:p>
        </w:tc>
        <w:tc>
          <w:tcPr>
            <w:tcW w:type="dxa" w:w="3312"/>
            <w:vAlign w:val="center"/>
          </w:tcPr>
          <w:p>
            <w:r/>
            <w:r>
              <w:rPr>
                <w:b w:val="0"/>
                <w:sz w:val="18"/>
              </w:rPr>
              <w:t>Useful for analyst trust and deployment, but faithfulness must be measured.</w:t>
            </w:r>
          </w:p>
        </w:tc>
      </w:tr>
    </w:tbl>
    <w:p/>
    <w:p>
      <w:pPr>
        <w:pStyle w:val="Heading2"/>
      </w:pPr>
      <w:r>
        <w:t>5.4 Essential ablation sequence</w:t>
      </w:r>
    </w:p>
    <w:p>
      <w:pPr>
        <w:pStyle w:val="ListNumber"/>
        <w:spacing w:after="40"/>
      </w:pPr>
      <w:r>
        <w:t>BERT-only baseline.</w:t>
      </w:r>
    </w:p>
    <w:p>
      <w:pPr>
        <w:pStyle w:val="ListNumber"/>
        <w:spacing w:after="40"/>
      </w:pPr>
      <w:r>
        <w:t>BERT + CNN.</w:t>
      </w:r>
    </w:p>
    <w:p>
      <w:pPr>
        <w:pStyle w:val="ListNumber"/>
        <w:spacing w:after="40"/>
      </w:pPr>
      <w:r>
        <w:t>BERT + MHA + CNN.</w:t>
      </w:r>
    </w:p>
    <w:p>
      <w:pPr>
        <w:pStyle w:val="ListNumber"/>
        <w:spacing w:after="40"/>
      </w:pPr>
      <w:r>
        <w:t>BERT + MHA + CNN + BiGRU.</w:t>
      </w:r>
    </w:p>
    <w:p>
      <w:pPr>
        <w:pStyle w:val="ListNumber"/>
        <w:spacing w:after="40"/>
      </w:pPr>
      <w:r>
        <w:t>Same architecture + MGO.</w:t>
      </w:r>
    </w:p>
    <w:p>
      <w:pPr>
        <w:pStyle w:val="ListNumber"/>
        <w:spacing w:after="40"/>
      </w:pPr>
      <w:r>
        <w:t>Best text model + URL channel.</w:t>
      </w:r>
    </w:p>
    <w:p>
      <w:pPr>
        <w:pStyle w:val="ListNumber"/>
        <w:spacing w:after="40"/>
      </w:pPr>
      <w:r>
        <w:t>Best text + URL + header/sender channels.</w:t>
      </w:r>
    </w:p>
    <w:p>
      <w:pPr>
        <w:pStyle w:val="ListNumber"/>
        <w:spacing w:after="40"/>
      </w:pPr>
      <w:r>
        <w:t>Best multi-signal model + financial-intent head.</w:t>
      </w:r>
    </w:p>
    <w:p>
      <w:pPr>
        <w:pStyle w:val="ListNumber"/>
        <w:spacing w:after="40"/>
      </w:pPr>
      <w:r>
        <w:t>Conversation-aware version.</w:t>
      </w:r>
    </w:p>
    <w:p>
      <w:pPr>
        <w:pStyle w:val="ListNumber"/>
        <w:spacing w:after="40"/>
      </w:pPr>
      <w:r>
        <w:t>Robustness and cross-generator evaluation of the final model.</w:t>
      </w:r>
    </w:p>
    <w:p>
      <w:r>
        <w:t>This sequence directly incorporates the strongest handwritten recommendation from page 9 of the scanned notes while extending it toward the financial-phishing research gap.</w:t>
      </w:r>
    </w:p>
    <w:p>
      <w:pPr>
        <w:pStyle w:val="Heading1"/>
      </w:pPr>
      <w:r>
        <w:t>6. Evaluation Framework</w:t>
      </w:r>
    </w:p>
    <w:p>
      <w:r>
        <w:t>The integrated evaluation should be designed to answer not only “Is the model accurate?” but also “Does it remain safe and useful when the data distribution, attacker behavior, and available evidence change?”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Evaluation dimension</w:t>
            </w:r>
          </w:p>
        </w:tc>
        <w:tc>
          <w:tcPr>
            <w:tcW w:type="dxa" w:w="4968"/>
            <w:vAlign w:val="center"/>
            <w:shd w:fill="D9EAF7"/>
          </w:tcPr>
          <w:p>
            <w:r/>
            <w:r>
              <w:rPr>
                <w:b/>
                <w:sz w:val="18"/>
              </w:rPr>
              <w:t>Required evidence</w:t>
            </w:r>
          </w:p>
        </w:tc>
      </w:tr>
      <w:tr>
        <w:tc>
          <w:tcPr>
            <w:tcW w:type="dxa" w:w="4968"/>
            <w:vAlign w:val="center"/>
          </w:tcPr>
          <w:p>
            <w:r/>
            <w:r>
              <w:rPr>
                <w:b w:val="0"/>
                <w:sz w:val="18"/>
              </w:rPr>
              <w:t>Classification</w:t>
            </w:r>
          </w:p>
        </w:tc>
        <w:tc>
          <w:tcPr>
            <w:tcW w:type="dxa" w:w="4968"/>
            <w:vAlign w:val="center"/>
          </w:tcPr>
          <w:p>
            <w:r/>
            <w:r>
              <w:rPr>
                <w:b w:val="0"/>
                <w:sz w:val="18"/>
              </w:rPr>
              <w:t>Accuracy, precision, recall/TPR, F1, confusion matrix.</w:t>
            </w:r>
          </w:p>
        </w:tc>
      </w:tr>
      <w:tr>
        <w:tc>
          <w:tcPr>
            <w:tcW w:type="dxa" w:w="4968"/>
            <w:vAlign w:val="center"/>
          </w:tcPr>
          <w:p>
            <w:r/>
            <w:r>
              <w:rPr>
                <w:b w:val="0"/>
                <w:sz w:val="18"/>
              </w:rPr>
              <w:t>False-positive control</w:t>
            </w:r>
          </w:p>
        </w:tc>
        <w:tc>
          <w:tcPr>
            <w:tcW w:type="dxa" w:w="4968"/>
            <w:vAlign w:val="center"/>
          </w:tcPr>
          <w:p>
            <w:r/>
            <w:r>
              <w:rPr>
                <w:b w:val="0"/>
                <w:sz w:val="18"/>
              </w:rPr>
              <w:t>TPR/recall at fixed FPR targets; report the number of negatives behind each estimate.</w:t>
            </w:r>
          </w:p>
        </w:tc>
      </w:tr>
      <w:tr>
        <w:tc>
          <w:tcPr>
            <w:tcW w:type="dxa" w:w="4968"/>
            <w:vAlign w:val="center"/>
          </w:tcPr>
          <w:p>
            <w:r/>
            <w:r>
              <w:rPr>
                <w:b w:val="0"/>
                <w:sz w:val="18"/>
              </w:rPr>
              <w:t>Calibration</w:t>
            </w:r>
          </w:p>
        </w:tc>
        <w:tc>
          <w:tcPr>
            <w:tcW w:type="dxa" w:w="4968"/>
            <w:vAlign w:val="center"/>
          </w:tcPr>
          <w:p>
            <w:r/>
            <w:r>
              <w:rPr>
                <w:b w:val="0"/>
                <w:sz w:val="18"/>
              </w:rPr>
              <w:t>ECE or related calibration measures; reliability under temporal shift.</w:t>
            </w:r>
          </w:p>
        </w:tc>
      </w:tr>
      <w:tr>
        <w:tc>
          <w:tcPr>
            <w:tcW w:type="dxa" w:w="4968"/>
            <w:vAlign w:val="center"/>
          </w:tcPr>
          <w:p>
            <w:r/>
            <w:r>
              <w:rPr>
                <w:b w:val="0"/>
                <w:sz w:val="18"/>
              </w:rPr>
              <w:t>Temporal generalization</w:t>
            </w:r>
          </w:p>
        </w:tc>
        <w:tc>
          <w:tcPr>
            <w:tcW w:type="dxa" w:w="4968"/>
            <w:vAlign w:val="center"/>
          </w:tcPr>
          <w:p>
            <w:r/>
            <w:r>
              <w:rPr>
                <w:b w:val="0"/>
                <w:sz w:val="18"/>
              </w:rPr>
              <w:t>Train on earlier periods, test on later periods; report F1(t) and FPR(t).</w:t>
            </w:r>
          </w:p>
        </w:tc>
      </w:tr>
      <w:tr>
        <w:tc>
          <w:tcPr>
            <w:tcW w:type="dxa" w:w="4968"/>
            <w:vAlign w:val="center"/>
          </w:tcPr>
          <w:p>
            <w:r/>
            <w:r>
              <w:rPr>
                <w:b w:val="0"/>
                <w:sz w:val="18"/>
              </w:rPr>
              <w:t>Cross-domain generalization</w:t>
            </w:r>
          </w:p>
        </w:tc>
        <w:tc>
          <w:tcPr>
            <w:tcW w:type="dxa" w:w="4968"/>
            <w:vAlign w:val="center"/>
          </w:tcPr>
          <w:p>
            <w:r/>
            <w:r>
              <w:rPr>
                <w:b w:val="0"/>
                <w:sz w:val="18"/>
              </w:rPr>
              <w:t>Hold out sources, campaigns, organizations, or attack families where feasible.</w:t>
            </w:r>
          </w:p>
        </w:tc>
      </w:tr>
      <w:tr>
        <w:tc>
          <w:tcPr>
            <w:tcW w:type="dxa" w:w="4968"/>
            <w:vAlign w:val="center"/>
          </w:tcPr>
          <w:p>
            <w:r/>
            <w:r>
              <w:rPr>
                <w:b w:val="0"/>
                <w:sz w:val="18"/>
              </w:rPr>
              <w:t>AI-generated phishing</w:t>
            </w:r>
          </w:p>
        </w:tc>
        <w:tc>
          <w:tcPr>
            <w:tcW w:type="dxa" w:w="4968"/>
            <w:vAlign w:val="center"/>
          </w:tcPr>
          <w:p>
            <w:r/>
            <w:r>
              <w:rPr>
                <w:b w:val="0"/>
                <w:sz w:val="18"/>
              </w:rPr>
              <w:t>Train/test across different LLM generators; hold out at least one generator.</w:t>
            </w:r>
          </w:p>
        </w:tc>
      </w:tr>
      <w:tr>
        <w:tc>
          <w:tcPr>
            <w:tcW w:type="dxa" w:w="4968"/>
            <w:vAlign w:val="center"/>
          </w:tcPr>
          <w:p>
            <w:r/>
            <w:r>
              <w:rPr>
                <w:b w:val="0"/>
                <w:sz w:val="18"/>
              </w:rPr>
              <w:t>Adversarial robustness</w:t>
            </w:r>
          </w:p>
        </w:tc>
        <w:tc>
          <w:tcPr>
            <w:tcW w:type="dxa" w:w="4968"/>
            <w:vAlign w:val="center"/>
          </w:tcPr>
          <w:p>
            <w:r/>
            <w:r>
              <w:rPr>
                <w:b w:val="0"/>
                <w:sz w:val="18"/>
              </w:rPr>
              <w:t>Paraphrase, homoglyph, URL manipulation, and forced-missing-evidence tests.</w:t>
            </w:r>
          </w:p>
        </w:tc>
      </w:tr>
      <w:tr>
        <w:tc>
          <w:tcPr>
            <w:tcW w:type="dxa" w:w="4968"/>
            <w:vAlign w:val="center"/>
          </w:tcPr>
          <w:p>
            <w:r/>
            <w:r>
              <w:rPr>
                <w:b w:val="0"/>
                <w:sz w:val="18"/>
              </w:rPr>
              <w:t>Ablation</w:t>
            </w:r>
          </w:p>
        </w:tc>
        <w:tc>
          <w:tcPr>
            <w:tcW w:type="dxa" w:w="4968"/>
            <w:vAlign w:val="center"/>
          </w:tcPr>
          <w:p>
            <w:r/>
            <w:r>
              <w:rPr>
                <w:b w:val="0"/>
                <w:sz w:val="18"/>
              </w:rPr>
              <w:t>Paired comparisons with confidence intervals and multiple-seed evaluation.</w:t>
            </w:r>
          </w:p>
        </w:tc>
      </w:tr>
      <w:tr>
        <w:tc>
          <w:tcPr>
            <w:tcW w:type="dxa" w:w="4968"/>
            <w:vAlign w:val="center"/>
          </w:tcPr>
          <w:p>
            <w:r/>
            <w:r>
              <w:rPr>
                <w:b w:val="0"/>
                <w:sz w:val="18"/>
              </w:rPr>
              <w:t>Deployment</w:t>
            </w:r>
          </w:p>
        </w:tc>
        <w:tc>
          <w:tcPr>
            <w:tcW w:type="dxa" w:w="4968"/>
            <w:vAlign w:val="center"/>
          </w:tcPr>
          <w:p>
            <w:r/>
            <w:r>
              <w:rPr>
                <w:b w:val="0"/>
                <w:sz w:val="18"/>
              </w:rPr>
              <w:t>p50/p95/p99 latency, throughput, memory, and escalation rate.</w:t>
            </w:r>
          </w:p>
        </w:tc>
      </w:tr>
      <w:tr>
        <w:tc>
          <w:tcPr>
            <w:tcW w:type="dxa" w:w="4968"/>
            <w:vAlign w:val="center"/>
          </w:tcPr>
          <w:p>
            <w:r/>
            <w:r>
              <w:rPr>
                <w:b w:val="0"/>
                <w:sz w:val="18"/>
              </w:rPr>
              <w:t>Explainability</w:t>
            </w:r>
          </w:p>
        </w:tc>
        <w:tc>
          <w:tcPr>
            <w:tcW w:type="dxa" w:w="4968"/>
            <w:vAlign w:val="center"/>
          </w:tcPr>
          <w:p>
            <w:r/>
            <w:r>
              <w:rPr>
                <w:b w:val="0"/>
                <w:sz w:val="18"/>
              </w:rPr>
              <w:t>Feature/channel attribution plus faithfulness or counterfactual checks.</w:t>
            </w:r>
          </w:p>
        </w:tc>
      </w:tr>
      <w:tr>
        <w:tc>
          <w:tcPr>
            <w:tcW w:type="dxa" w:w="4968"/>
            <w:vAlign w:val="center"/>
          </w:tcPr>
          <w:p>
            <w:r/>
            <w:r>
              <w:rPr>
                <w:b w:val="0"/>
                <w:sz w:val="18"/>
              </w:rPr>
              <w:t>Lifecycle</w:t>
            </w:r>
          </w:p>
        </w:tc>
        <w:tc>
          <w:tcPr>
            <w:tcW w:type="dxa" w:w="4968"/>
            <w:vAlign w:val="center"/>
          </w:tcPr>
          <w:p>
            <w:r/>
            <w:r>
              <w:rPr>
                <w:b w:val="0"/>
                <w:sz w:val="18"/>
              </w:rPr>
              <w:t>Drift monitoring, replay/adaptation, recalibration, and regression testing.</w:t>
            </w:r>
          </w:p>
        </w:tc>
      </w:tr>
    </w:tbl>
    <w:p/>
    <w:p>
      <w:pPr>
        <w:pStyle w:val="Heading2"/>
      </w:pPr>
      <w:r>
        <w:t>6.1 Statistical and dataset controls</w:t>
      </w:r>
    </w:p>
    <w:p>
      <w:pPr>
        <w:pStyle w:val="ListBullet"/>
        <w:spacing w:after="40"/>
      </w:pPr>
      <w:r>
        <w:t>Use at least five seeds for core experiments.</w:t>
      </w:r>
    </w:p>
    <w:p>
      <w:pPr>
        <w:pStyle w:val="ListBullet"/>
        <w:spacing w:after="40"/>
      </w:pPr>
      <w:r>
        <w:t>Deduplicate emails and document how campaigns/conversations are separated.</w:t>
      </w:r>
    </w:p>
    <w:p>
      <w:pPr>
        <w:pStyle w:val="ListBullet"/>
        <w:spacing w:after="40"/>
      </w:pPr>
      <w:r>
        <w:t>Avoid leakage across related messages when constructing train/test splits.</w:t>
      </w:r>
    </w:p>
    <w:p>
      <w:pPr>
        <w:pStyle w:val="ListBullet"/>
        <w:spacing w:after="40"/>
      </w:pPr>
      <w:r>
        <w:t>Use campaign-level or conversation-level bootstrap where possible.</w:t>
      </w:r>
    </w:p>
    <w:p>
      <w:pPr>
        <w:pStyle w:val="ListBullet"/>
        <w:spacing w:after="40"/>
      </w:pPr>
      <w:r>
        <w:t>Apply correction for multiple statistical comparisons.</w:t>
      </w:r>
    </w:p>
    <w:p>
      <w:pPr>
        <w:pStyle w:val="ListBullet"/>
        <w:spacing w:after="40"/>
      </w:pPr>
      <w:r>
        <w:t>Keep a separate calibration split rather than tuning thresholds on the final test set.</w:t>
      </w:r>
    </w:p>
    <w:p>
      <w:pPr>
        <w:pStyle w:val="ListBullet"/>
        <w:spacing w:after="40"/>
      </w:pPr>
      <w:r>
        <w:t>For very low FPR claims, ensure the legitimate-mail sample is large enough to support the desired confidence.</w:t>
      </w:r>
    </w:p>
    <w:p>
      <w:pPr>
        <w:pStyle w:val="Heading1"/>
      </w:pPr>
      <w:r>
        <w:t>7. Evidence Boundaries and Remaining Unanswered Questions</w:t>
      </w:r>
    </w:p>
    <w:p>
      <w:r>
        <w:t>Several conclusions in this report are recommendations rather than demonstrated findings. The comparison review itself states that its proposed hybrid is design-level and that the cited component approaches need verification before being used as established empirical evidence. Likewise, the scanned notebook contains personal research notes, some of which are abbreviated or difficult to read. These observations are therefore used as research leads rather than as definitive claims.</w:t>
      </w:r>
    </w:p>
    <w:p>
      <w:pPr>
        <w:pStyle w:val="ListBullet"/>
        <w:spacing w:after="40"/>
      </w:pPr>
      <w:r>
        <w:t>The supplied materials do not establish that the proposed multi-signal architecture will outperform the base model; that is an empirical question.</w:t>
      </w:r>
    </w:p>
    <w:p>
      <w:pPr>
        <w:pStyle w:val="ListBullet"/>
        <w:spacing w:after="40"/>
      </w:pPr>
      <w:r>
        <w:t>The financial-phishing source does not provide named incident-level case studies or measured detection outcomes; the case-study section therefore describes threat scenarios and research mechanisms rather than inventing incident statistics.</w:t>
      </w:r>
    </w:p>
    <w:p>
      <w:pPr>
        <w:pStyle w:val="ListBullet"/>
        <w:spacing w:after="40"/>
      </w:pPr>
      <w:r>
        <w:t>The comparison review’s 7/10 feasibility and 5/10–7/10 novelty scores are judgments from that document, not external peer-review scores.</w:t>
      </w:r>
    </w:p>
    <w:p>
      <w:pPr>
        <w:pStyle w:val="ListBullet"/>
        <w:spacing w:after="40"/>
      </w:pPr>
      <w:r>
        <w:t>Any literature claims named in the comparison review should be checked against original papers before inclusion in a final publication.</w:t>
      </w:r>
    </w:p>
    <w:p>
      <w:pPr>
        <w:pStyle w:val="ListBullet"/>
        <w:spacing w:after="40"/>
      </w:pPr>
      <w:r>
        <w:t>The exact best encoder, fusion mechanism, loss combination, and optimizer remain open experimental questions.</w:t>
      </w:r>
    </w:p>
    <w:p>
      <w:pPr>
        <w:pStyle w:val="Heading1"/>
      </w:pPr>
      <w:r>
        <w:t>8. Conclusion</w:t>
      </w:r>
    </w:p>
    <w:p>
      <w:r>
        <w:t>The supplied materials support a clear progression from a strong but relatively isolated text classifier toward a more realistic financial-phishing research problem. The base BCG-MHeadAttention-MGO paper demonstrates the value of contextual deep learning and adaptive hyperparameter optimization, but its single-dataset, text-centric evaluation leaves substantial questions about generalization, cost, robustness, explainability, and deployment.</w:t>
      </w:r>
    </w:p>
    <w:p>
      <w:r>
        <w:t>The comparison review provides the methodological correction: do not solve the limitations by indiscriminately adding modules. Instead, define a layered architecture in which each evidence channel has a purpose, use availability-aware fusion, constrain false positives explicitly, evaluate under temporal and adversarial shift, and remove components that fail ablation.</w:t>
      </w:r>
    </w:p>
    <w:p>
      <w:r>
        <w:t>The financial-phishing analysis then supplies the most compelling application-level gap: **conversation-level financial phishing detection combined with financial-intent detection**. This direction is both closely connected to phishing email and sufficiently specific to support a defensible research question. It also naturally accommodates the strongest observations from the scanned notes: URL evidence, AI-generated phishing, stylometric cues, explainability, deployment, and staged ablation.</w:t>
      </w:r>
    </w:p>
    <w:p>
      <w:r>
        <w:t>Accordingly, the recommended research contribution should be framed not as “a larger hybrid model,” but as a **controlled, evidence-aware and conversation-aware financial-phishing detection framework**, with the architecture and optimization strategy treated as mechanisms whose value must be demonstrated experimentally.</w:t>
      </w:r>
    </w:p>
    <w:p>
      <w:pPr>
        <w:pStyle w:val="Heading1"/>
      </w:pPr>
      <w:r>
        <w:t>Source Map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Source</w:t>
            </w:r>
          </w:p>
        </w:tc>
        <w:tc>
          <w:tcPr>
            <w:tcW w:type="dxa" w:w="4968"/>
            <w:vAlign w:val="center"/>
            <w:shd w:fill="D9EAF7"/>
          </w:tcPr>
          <w:p>
            <w:r/>
            <w:r>
              <w:rPr>
                <w:b/>
                <w:sz w:val="18"/>
              </w:rPr>
              <w:t>Role in this synthesis</w:t>
            </w:r>
          </w:p>
        </w:tc>
      </w:tr>
      <w:tr>
        <w:tc>
          <w:tcPr>
            <w:tcW w:type="dxa" w:w="4968"/>
            <w:vAlign w:val="center"/>
          </w:tcPr>
          <w:p>
            <w:r/>
            <w:r>
              <w:rPr>
                <w:b w:val="0"/>
                <w:sz w:val="18"/>
              </w:rPr>
              <w:t>Base-paper analysis supplied in the request</w:t>
            </w:r>
          </w:p>
        </w:tc>
        <w:tc>
          <w:tcPr>
            <w:tcW w:type="dxa" w:w="4968"/>
            <w:vAlign w:val="center"/>
          </w:tcPr>
          <w:p>
            <w:r/>
            <w:r>
              <w:rPr>
                <w:b w:val="0"/>
                <w:sz w:val="18"/>
              </w:rPr>
              <w:t>Core architecture, dataset, methodology, reported findings, limitations, resource gap, and author-contribution summary.</w:t>
            </w:r>
          </w:p>
        </w:tc>
      </w:tr>
      <w:tr>
        <w:tc>
          <w:tcPr>
            <w:tcW w:type="dxa" w:w="4968"/>
            <w:vAlign w:val="center"/>
          </w:tcPr>
          <w:p>
            <w:r/>
            <w:r>
              <w:rPr>
                <w:b w:val="0"/>
                <w:sz w:val="18"/>
              </w:rPr>
              <w:t>Hybrid_Phishing_Detector_Synthesis_Review.pdf</w:t>
            </w:r>
          </w:p>
        </w:tc>
        <w:tc>
          <w:tcPr>
            <w:tcW w:type="dxa" w:w="4968"/>
            <w:vAlign w:val="center"/>
          </w:tcPr>
          <w:p>
            <w:r/>
            <w:r>
              <w:rPr>
                <w:b w:val="0"/>
                <w:sz w:val="18"/>
              </w:rPr>
              <w:t>Architectural feasibility, fusion strategy, research positioning, ablation roadmap, deployment lifecycle, and attack/latency considerations.</w:t>
            </w:r>
          </w:p>
        </w:tc>
      </w:tr>
      <w:tr>
        <w:tc>
          <w:tcPr>
            <w:tcW w:type="dxa" w:w="4968"/>
            <w:vAlign w:val="center"/>
          </w:tcPr>
          <w:p>
            <w:r/>
            <w:r>
              <w:rPr>
                <w:b w:val="0"/>
                <w:sz w:val="18"/>
              </w:rPr>
              <w:t>Scanned_20261008-1326.pdf</w:t>
            </w:r>
          </w:p>
        </w:tc>
        <w:tc>
          <w:tcPr>
            <w:tcW w:type="dxa" w:w="4968"/>
            <w:vAlign w:val="center"/>
          </w:tcPr>
          <w:p>
            <w:r/>
            <w:r>
              <w:rPr>
                <w:b w:val="0"/>
                <w:sz w:val="18"/>
              </w:rPr>
              <w:t>Handwritten observations on URL features, AI-generated phishing/stylometry, explainability/deployment, HELPHED, BERT+CNN, and ablation ideas.</w:t>
            </w:r>
          </w:p>
        </w:tc>
      </w:tr>
      <w:tr>
        <w:tc>
          <w:tcPr>
            <w:tcW w:type="dxa" w:w="4968"/>
            <w:vAlign w:val="center"/>
          </w:tcPr>
          <w:p>
            <w:r/>
            <w:r>
              <w:rPr>
                <w:b w:val="0"/>
                <w:sz w:val="18"/>
              </w:rPr>
              <w:t>Financial_Phishing_Research_Gaps.docx</w:t>
            </w:r>
          </w:p>
        </w:tc>
        <w:tc>
          <w:tcPr>
            <w:tcW w:type="dxa" w:w="4968"/>
            <w:vAlign w:val="center"/>
          </w:tcPr>
          <w:p>
            <w:r/>
            <w:r>
              <w:rPr>
                <w:b w:val="0"/>
                <w:sz w:val="18"/>
              </w:rPr>
              <w:t>Financial threat scenarios, research gaps, research questions, and priority ranking.</w:t>
            </w:r>
          </w:p>
        </w:tc>
      </w:tr>
    </w:tbl>
    <w:p/>
    <w:p/>
    <w:p>
      <w:pPr>
        <w:jc w:val="center"/>
      </w:pPr>
      <w:r>
        <w:rPr>
          <w:b/>
        </w:rPr>
        <w:t>End of integrated research synthesis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