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Term Deposit Prediction</w:t>
      </w:r>
    </w:p>
    <w:p>
      <w:r>
        <w:t>This report summarizes a binary classification workflow for predicting whether a bank customer subscribes to a term deposit.</w:t>
      </w:r>
    </w:p>
    <w:p>
      <w:pPr>
        <w:pStyle w:val="Heading1"/>
      </w:pPr>
      <w:r>
        <w:t>Dataset</w:t>
      </w:r>
    </w:p>
    <w:p>
      <w:r>
        <w:t>Training data: bank-full.csv. The pipeline uses a stratified holdout test set (80/20) and fits preprocessing only on the training partition.</w:t>
      </w:r>
    </w:p>
    <w:p>
      <w:pPr>
        <w:pStyle w:val="Heading1"/>
      </w:pPr>
      <w:r>
        <w:t>Model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</w:tr>
      <w:tr>
        <w:tc>
          <w:tcPr>
            <w:tcW w:type="dxa" w:w="1440"/>
          </w:tcPr>
          <w:p>
            <w:r>
              <w:t>random_forest</w:t>
            </w:r>
          </w:p>
        </w:tc>
        <w:tc>
          <w:tcPr>
            <w:tcW w:type="dxa" w:w="1440"/>
          </w:tcPr>
          <w:p>
            <w:r>
              <w:t>0.9042</w:t>
            </w:r>
          </w:p>
        </w:tc>
        <w:tc>
          <w:tcPr>
            <w:tcW w:type="dxa" w:w="1440"/>
          </w:tcPr>
          <w:p>
            <w:r>
              <w:t>0.5844</w:t>
            </w:r>
          </w:p>
        </w:tc>
        <w:tc>
          <w:tcPr>
            <w:tcW w:type="dxa" w:w="1440"/>
          </w:tcPr>
          <w:p>
            <w:r>
              <w:t>0.6285</w:t>
            </w:r>
          </w:p>
        </w:tc>
        <w:tc>
          <w:tcPr>
            <w:tcW w:type="dxa" w:w="1440"/>
          </w:tcPr>
          <w:p>
            <w:r>
              <w:t>0.6056</w:t>
            </w:r>
          </w:p>
        </w:tc>
        <w:tc>
          <w:tcPr>
            <w:tcW w:type="dxa" w:w="1440"/>
          </w:tcPr>
          <w:p>
            <w:r>
              <w:t>0.9305</w:t>
            </w:r>
          </w:p>
        </w:tc>
      </w:tr>
      <w:tr>
        <w:tc>
          <w:tcPr>
            <w:tcW w:type="dxa" w:w="1440"/>
          </w:tcPr>
          <w:p>
            <w:r>
              <w:t>logistic_regression</w:t>
            </w:r>
          </w:p>
        </w:tc>
        <w:tc>
          <w:tcPr>
            <w:tcW w:type="dxa" w:w="1440"/>
          </w:tcPr>
          <w:p>
            <w:r>
              <w:t>0.8457</w:t>
            </w:r>
          </w:p>
        </w:tc>
        <w:tc>
          <w:tcPr>
            <w:tcW w:type="dxa" w:w="1440"/>
          </w:tcPr>
          <w:p>
            <w:r>
              <w:t>0.4182</w:t>
            </w:r>
          </w:p>
        </w:tc>
        <w:tc>
          <w:tcPr>
            <w:tcW w:type="dxa" w:w="1440"/>
          </w:tcPr>
          <w:p>
            <w:r>
              <w:t>0.8147</w:t>
            </w:r>
          </w:p>
        </w:tc>
        <w:tc>
          <w:tcPr>
            <w:tcW w:type="dxa" w:w="1440"/>
          </w:tcPr>
          <w:p>
            <w:r>
              <w:t>0.5527</w:t>
            </w:r>
          </w:p>
        </w:tc>
        <w:tc>
          <w:tcPr>
            <w:tcW w:type="dxa" w:w="1440"/>
          </w:tcPr>
          <w:p>
            <w:r>
              <w:t>0.9079</w:t>
            </w:r>
          </w:p>
        </w:tc>
      </w:tr>
    </w:tbl>
    <w:p>
      <w:pPr>
        <w:pStyle w:val="Heading1"/>
      </w:pPr>
      <w:r>
        <w:t>Selected Model Test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0.9503</w:t>
            </w:r>
          </w:p>
        </w:tc>
        <w:tc>
          <w:tcPr>
            <w:tcW w:type="dxa" w:w="2160"/>
          </w:tcPr>
          <w:p>
            <w:r>
              <w:t>0.9408</w:t>
            </w:r>
          </w:p>
        </w:tc>
        <w:tc>
          <w:tcPr>
            <w:tcW w:type="dxa" w:w="2160"/>
          </w:tcPr>
          <w:p>
            <w:r>
              <w:t>0.9455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0.5844</w:t>
            </w:r>
          </w:p>
        </w:tc>
        <w:tc>
          <w:tcPr>
            <w:tcW w:type="dxa" w:w="2160"/>
          </w:tcPr>
          <w:p>
            <w:r>
              <w:t>0.6285</w:t>
            </w:r>
          </w:p>
        </w:tc>
        <w:tc>
          <w:tcPr>
            <w:tcW w:type="dxa" w:w="2160"/>
          </w:tcPr>
          <w:p>
            <w:r>
              <w:t>0.6056</w:t>
            </w:r>
          </w:p>
        </w:tc>
      </w:tr>
      <w:tr>
        <w:tc>
          <w:tcPr>
            <w:tcW w:type="dxa" w:w="2160"/>
          </w:tcPr>
          <w:p>
            <w:r>
              <w:t>macro avg</w:t>
            </w:r>
          </w:p>
        </w:tc>
        <w:tc>
          <w:tcPr>
            <w:tcW w:type="dxa" w:w="2160"/>
          </w:tcPr>
          <w:p>
            <w:r>
              <w:t>0.7673</w:t>
            </w:r>
          </w:p>
        </w:tc>
        <w:tc>
          <w:tcPr>
            <w:tcW w:type="dxa" w:w="2160"/>
          </w:tcPr>
          <w:p>
            <w:r>
              <w:t>0.7847</w:t>
            </w:r>
          </w:p>
        </w:tc>
        <w:tc>
          <w:tcPr>
            <w:tcW w:type="dxa" w:w="2160"/>
          </w:tcPr>
          <w:p>
            <w:r>
              <w:t>0.7756</w:t>
            </w:r>
          </w:p>
        </w:tc>
      </w:tr>
      <w:tr>
        <w:tc>
          <w:tcPr>
            <w:tcW w:type="dxa" w:w="2160"/>
          </w:tcPr>
          <w:p>
            <w:r>
              <w:t>weighted avg</w:t>
            </w:r>
          </w:p>
        </w:tc>
        <w:tc>
          <w:tcPr>
            <w:tcW w:type="dxa" w:w="2160"/>
          </w:tcPr>
          <w:p>
            <w:r>
              <w:t>0.9075</w:t>
            </w:r>
          </w:p>
        </w:tc>
        <w:tc>
          <w:tcPr>
            <w:tcW w:type="dxa" w:w="2160"/>
          </w:tcPr>
          <w:p>
            <w:r>
              <w:t>0.9042</w:t>
            </w:r>
          </w:p>
        </w:tc>
        <w:tc>
          <w:tcPr>
            <w:tcW w:type="dxa" w:w="2160"/>
          </w:tcPr>
          <w:p>
            <w:r>
              <w:t>0.9057</w:t>
            </w:r>
          </w:p>
        </w:tc>
      </w:tr>
    </w:tbl>
    <w:p>
      <w:pPr>
        <w:pStyle w:val="Heading1"/>
      </w:pPr>
      <w:r>
        <w:t>Visualizations</w:t>
      </w:r>
    </w:p>
    <w:p>
      <w:pPr>
        <w:pStyle w:val="Heading2"/>
      </w:pPr>
      <w:r>
        <w:t>Target Class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 vs Subscription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vs_sub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Subscription Rate by Job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vs_subscrip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Feature Importance</w:t>
      </w:r>
    </w:p>
    <w:p>
      <w:r>
        <w:drawing>
          <wp:inline xmlns:a="http://schemas.openxmlformats.org/drawingml/2006/main" xmlns:pic="http://schemas.openxmlformats.org/drawingml/2006/picture">
            <wp:extent cx="5029200" cy="391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Considerations</w:t>
      </w:r>
    </w:p>
    <w:p>
      <w:r>
        <w:t>Note: the campaign-duration feature is included when present in the supplied data. It is only known after a call, so exclude it for pre-call predictions to avoid target leakage.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