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C3314CE">
      <w:pPr>
        <w:spacing w:after="80"/>
        <w:jc w:val="center"/>
      </w:pPr>
      <w:r>
        <w:rPr>
          <w:rFonts w:ascii="Times New Roman" w:hAnsi="Times New Roman" w:eastAsia="Times New Roman" w:cs="Times New Roman"/>
          <w:b/>
          <w:bCs/>
          <w:sz w:val="34"/>
          <w:szCs w:val="34"/>
        </w:rPr>
        <w:t>Phase 1 Declaration: Noise Schedule Ablation in Diffusion Models</w:t>
      </w:r>
    </w:p>
    <w:p w14:paraId="109743EF">
      <w:pPr>
        <w:spacing w:after="280"/>
        <w:jc w:val="center"/>
      </w:pPr>
      <w:r>
        <w:rPr>
          <w:rFonts w:ascii="Times New Roman" w:hAnsi="Times New Roman" w:eastAsia="Times New Roman" w:cs="Times New Roman"/>
          <w:sz w:val="24"/>
          <w:szCs w:val="24"/>
        </w:rPr>
        <w:t>Foundation Models and Generative AI • Group Assignment</w:t>
      </w:r>
    </w:p>
    <w:p w14:paraId="1C4399A9">
      <w:pPr>
        <w:spacing w:after="140" w:line="300"/>
      </w:pPr>
      <w:r>
        <w:rPr>
          <w:rFonts w:ascii="Times New Roman" w:hAnsi="Times New Roman" w:eastAsia="Times New Roman" w:cs="Times New Roman"/>
          <w:sz w:val="23"/>
          <w:szCs w:val="23"/>
        </w:rPr>
        <w:t>We will fine-tune InstructPix2Pix for 4× super-resolution of aerial images from the UC Merced Land Use dataset, with θ</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rPr>
        <w:t xml:space="preserve"> = β</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rPr>
        <w:t xml:space="preserve"> and exponent x = 1.60.</w:t>
      </w:r>
    </w:p>
    <w:p w14:paraId="03758458">
      <w:pPr>
        <w:pStyle w:val="Heading1"/>
        <w:spacing w:before="280" w:after="140"/>
      </w:pPr>
      <w:r>
        <w:rPr>
          <w:rFonts w:ascii="Times New Roman" w:hAnsi="Times New Roman" w:eastAsia="Times New Roman" w:cs="Times New Roman"/>
          <w:b/>
          <w:bCs/>
          <w:color w:val="1F3864"/>
          <w:sz w:val="27"/>
          <w:szCs w:val="27"/>
        </w:rPr>
        <w:t>Group</w:t>
      </w:r>
    </w:p>
    <w:p w14:paraId="124D7169">
      <w:pPr>
        <w:pStyle w:val="ListParagraph"/>
        <w:numPr>
          <w:ilvl w:val="0"/>
          <w:numId w:val="2"/>
        </w:numPr>
        <w:spacing w:after="80" w:line="300"/>
        <w:ind w:left="540" w:hanging="270"/>
      </w:pPr>
      <w:r>
        <w:rPr>
          <w:rFonts w:ascii="Times New Roman" w:hAnsi="Times New Roman" w:eastAsia="Times New Roman" w:cs="Times New Roman"/>
          <w:sz w:val="23"/>
          <w:szCs w:val="23"/>
        </w:rPr>
        <w:t>Course: Foundation Models and Generative AI</w:t>
      </w:r>
    </w:p>
    <w:p w14:paraId="3B35E40D">
      <w:pPr>
        <w:pStyle w:val="ListParagraph"/>
        <w:numPr>
          <w:ilvl w:val="0"/>
          <w:numId w:val="2"/>
        </w:numPr>
        <w:spacing w:after="80" w:line="300"/>
        <w:ind w:left="540" w:hanging="270"/>
      </w:pPr>
      <w:r>
        <w:rPr>
          <w:rFonts w:ascii="Times New Roman" w:hAnsi="Times New Roman" w:eastAsia="Times New Roman" w:cs="Times New Roman"/>
          <w:sz w:val="23"/>
          <w:szCs w:val="23"/>
        </w:rPr>
        <w:t>Group member: Amulya Prithi Sanduru, roll number M26AI1016</w:t>
      </w:r>
    </w:p>
    <w:p w14:paraId="73A2F6C4">
      <w:pPr>
        <w:pStyle w:val="ListParagraph"/>
        <w:numPr>
          <w:ilvl w:val="0"/>
          <w:numId w:val="2"/>
        </w:numPr>
        <w:spacing w:after="80" w:line="300"/>
        <w:ind w:left="540" w:hanging="270"/>
      </w:pPr>
      <w:r>
        <w:rPr>
          <w:rFonts w:ascii="Times New Roman" w:hAnsi="Times New Roman" w:eastAsia="Times New Roman" w:cs="Times New Roman"/>
          <w:sz w:val="23"/>
          <w:szCs w:val="23"/>
        </w:rPr>
        <w:t>Group member: Chitrapu R S Kiranmai, roll number M26AI1033</w:t>
      </w:r>
    </w:p>
    <w:p w14:paraId="4097126F">
      <w:pPr>
        <w:pStyle w:val="ListParagraph"/>
        <w:numPr>
          <w:ilvl w:val="0"/>
          <w:numId w:val="2"/>
        </w:numPr>
        <w:spacing w:after="80" w:line="300"/>
        <w:ind w:left="540" w:hanging="270"/>
      </w:pPr>
      <w:r>
        <w:rPr>
          <w:rFonts w:ascii="Times New Roman" w:hAnsi="Times New Roman" w:eastAsia="Times New Roman" w:cs="Times New Roman"/>
          <w:sz w:val="23"/>
          <w:szCs w:val="23"/>
        </w:rPr>
        <w:t>Group member: Heena Odedra, roll number M26AI1044</w:t>
      </w:r>
    </w:p>
    <w:p w14:paraId="67E00895">
      <w:pPr>
        <w:pStyle w:val="ListParagraph"/>
        <w:numPr>
          <w:ilvl w:val="0"/>
          <w:numId w:val="2"/>
        </w:numPr>
        <w:spacing w:after="80" w:line="300"/>
        <w:ind w:left="540" w:hanging="270"/>
      </w:pPr>
      <w:r>
        <w:rPr>
          <w:rFonts w:ascii="Times New Roman" w:hAnsi="Times New Roman" w:eastAsia="Times New Roman" w:cs="Times New Roman"/>
          <w:sz w:val="23"/>
          <w:szCs w:val="23"/>
        </w:rPr>
        <w:t>Due: October 10, as a PDF on Google Classroom</w:t>
      </w:r>
    </w:p>
    <w:p w14:paraId="5EE90BCC">
      <w:pPr>
        <w:pStyle w:val="Heading1"/>
        <w:spacing w:before="280" w:after="140"/>
      </w:pPr>
      <w:r>
        <w:rPr>
          <w:rFonts w:ascii="Times New Roman" w:hAnsi="Times New Roman" w:eastAsia="Times New Roman" w:cs="Times New Roman"/>
          <w:b/>
          <w:bCs/>
          <w:color w:val="1F3864"/>
          <w:sz w:val="27"/>
          <w:szCs w:val="27"/>
        </w:rPr>
        <w:t>1. Image-to-image task</w:t>
      </w:r>
    </w:p>
    <w:p w14:paraId="2DB5E5CD">
      <w:pPr>
        <w:spacing w:after="140" w:line="300"/>
      </w:pPr>
      <w:r>
        <w:rPr>
          <w:rFonts w:ascii="Times New Roman" w:hAnsi="Times New Roman" w:eastAsia="Times New Roman" w:cs="Times New Roman"/>
          <w:sz w:val="23"/>
          <w:szCs w:val="23"/>
        </w:rPr>
        <w:t>The task is 4× single-image super-resolution of aerial imagery: low-resolution to high-resolution image synthesis.</w:t>
      </w:r>
    </w:p>
    <w:p w14:paraId="6CFC281D">
      <w:pPr>
        <w:pStyle w:val="ListParagraph"/>
        <w:numPr>
          <w:ilvl w:val="0"/>
          <w:numId w:val="2"/>
        </w:numPr>
        <w:spacing w:after="80" w:line="300"/>
        <w:ind w:left="540" w:hanging="270"/>
      </w:pPr>
      <w:r>
        <w:rPr>
          <w:rFonts w:ascii="Times New Roman" w:hAnsi="Times New Roman" w:eastAsia="Times New Roman" w:cs="Times New Roman"/>
          <w:b/>
          <w:bCs/>
          <w:sz w:val="23"/>
          <w:szCs w:val="23"/>
        </w:rPr>
        <w:t>Input:</w:t>
      </w:r>
      <w:r>
        <w:rPr>
          <w:rFonts w:ascii="Times New Roman" w:hAnsi="Times New Roman" w:eastAsia="Times New Roman" w:cs="Times New Roman"/>
          <w:sz w:val="23"/>
          <w:szCs w:val="23"/>
        </w:rPr>
        <w:t xml:space="preserve"> a 256×256 RGB aerial image that has been bicubically downsampled to 64×64 and bicubically upsampled back to 256×256, so it is blurry and lacks fine detail.</w:t>
      </w:r>
    </w:p>
    <w:p w14:paraId="608C28E6">
      <w:pPr>
        <w:pStyle w:val="ListParagraph"/>
        <w:numPr>
          <w:ilvl w:val="0"/>
          <w:numId w:val="2"/>
        </w:numPr>
        <w:spacing w:after="80" w:line="300"/>
        <w:ind w:left="540" w:hanging="270"/>
      </w:pPr>
      <w:r>
        <w:rPr>
          <w:rFonts w:ascii="Times New Roman" w:hAnsi="Times New Roman" w:eastAsia="Times New Roman" w:cs="Times New Roman"/>
          <w:b/>
          <w:bCs/>
          <w:sz w:val="23"/>
          <w:szCs w:val="23"/>
        </w:rPr>
        <w:t>Output:</w:t>
      </w:r>
      <w:r>
        <w:rPr>
          <w:rFonts w:ascii="Times New Roman" w:hAnsi="Times New Roman" w:eastAsia="Times New Roman" w:cs="Times New Roman"/>
          <w:sz w:val="23"/>
          <w:szCs w:val="23"/>
        </w:rPr>
        <w:t xml:space="preserve"> the corresponding sharp 256×256 RGB image.</w:t>
      </w:r>
    </w:p>
    <w:p w14:paraId="66906644">
      <w:pPr>
        <w:pStyle w:val="ListParagraph"/>
        <w:numPr>
          <w:ilvl w:val="0"/>
          <w:numId w:val="2"/>
        </w:numPr>
        <w:spacing w:after="80" w:line="300"/>
        <w:ind w:left="540" w:hanging="270"/>
      </w:pPr>
      <w:r>
        <w:rPr>
          <w:rFonts w:ascii="Times New Roman" w:hAnsi="Times New Roman" w:eastAsia="Times New Roman" w:cs="Times New Roman"/>
          <w:b/>
          <w:bCs/>
          <w:sz w:val="23"/>
          <w:szCs w:val="23"/>
        </w:rPr>
        <w:t>Conditioning:</w:t>
      </w:r>
      <w:r>
        <w:rPr>
          <w:rFonts w:ascii="Times New Roman" w:hAnsi="Times New Roman" w:eastAsia="Times New Roman" w:cs="Times New Roman"/>
          <w:sz w:val="23"/>
          <w:szCs w:val="23"/>
        </w:rPr>
        <w:t xml:space="preserve"> the model receives the degraded image plus one fixed text instruction for every sample, “increase the resolution of this image”.</w:t>
      </w:r>
    </w:p>
    <w:p w14:paraId="51A707F3">
      <w:pPr>
        <w:pStyle w:val="ListParagraph"/>
        <w:numPr>
          <w:ilvl w:val="0"/>
          <w:numId w:val="2"/>
        </w:numPr>
        <w:spacing w:after="80" w:line="300"/>
        <w:ind w:left="540" w:hanging="270"/>
      </w:pPr>
      <w:r>
        <w:rPr>
          <w:rFonts w:ascii="Times New Roman" w:hAnsi="Times New Roman" w:eastAsia="Times New Roman" w:cs="Times New Roman"/>
          <w:b/>
          <w:bCs/>
          <w:sz w:val="23"/>
          <w:szCs w:val="23"/>
        </w:rPr>
        <w:t>Pairs:</w:t>
      </w:r>
      <w:r>
        <w:rPr>
          <w:rFonts w:ascii="Times New Roman" w:hAnsi="Times New Roman" w:eastAsia="Times New Roman" w:cs="Times New Roman"/>
          <w:sz w:val="23"/>
          <w:szCs w:val="23"/>
        </w:rPr>
        <w:t xml:space="preserve"> each (input, target) pair is built from one original dataset image, so the target is real ground truth.</w:t>
      </w:r>
    </w:p>
    <w:p w14:paraId="1002B763">
      <w:pPr>
        <w:pStyle w:val="Heading1"/>
        <w:spacing w:before="280" w:after="140"/>
      </w:pPr>
      <w:r>
        <w:rPr>
          <w:rFonts w:ascii="Times New Roman" w:hAnsi="Times New Roman" w:eastAsia="Times New Roman" w:cs="Times New Roman"/>
          <w:b/>
          <w:bCs/>
          <w:color w:val="1F3864"/>
          <w:sz w:val="27"/>
          <w:szCs w:val="27"/>
        </w:rPr>
        <w:t>2. Pretrained model</w:t>
      </w:r>
    </w:p>
    <w:p w14:paraId="44754ED0">
      <w:pPr>
        <w:spacing w:after="140" w:line="300"/>
      </w:pPr>
      <w:r>
        <w:rPr>
          <w:rFonts w:ascii="Times New Roman" w:hAnsi="Times New Roman" w:eastAsia="Times New Roman" w:cs="Times New Roman"/>
          <w:sz w:val="23"/>
          <w:szCs w:val="23"/>
        </w:rPr>
        <w:t>The pretrained model is InstructPix2Pix (Brooks, Holynski and Efros), a latent diffusion model that edits an input image according to a text instruction.</w:t>
      </w:r>
    </w:p>
    <w:p w14:paraId="02AA27D6">
      <w:pPr>
        <w:pStyle w:val="ListParagraph"/>
        <w:numPr>
          <w:ilvl w:val="0"/>
          <w:numId w:val="2"/>
        </w:numPr>
        <w:spacing w:after="80" w:line="300"/>
        <w:ind w:left="540" w:hanging="270"/>
      </w:pPr>
      <w:r>
        <w:rPr>
          <w:rFonts w:ascii="Times New Roman" w:hAnsi="Times New Roman" w:eastAsia="Times New Roman" w:cs="Times New Roman"/>
          <w:sz w:val="23"/>
          <w:szCs w:val="23"/>
        </w:rPr>
        <w:t xml:space="preserve">Paper: </w:t>
      </w:r>
      <w:hyperlink r:id="rIdw85zdkr-sqw21-ofeel4l">
        <w:r>
          <w:rPr>
            <w:rStyle w:val="Hyperlink"/>
            <w:rFonts w:ascii="Times New Roman" w:hAnsi="Times New Roman" w:eastAsia="Times New Roman" w:cs="Times New Roman"/>
            <w:color w:val="0563C1"/>
            <w:sz w:val="23"/>
            <w:szCs w:val="23"/>
            <w:u w:val="single"/>
          </w:rPr>
          <w:t>InstructPix2Pix: Learning to Follow Image Editing Instructions</w:t>
        </w:r>
      </w:hyperlink>
      <w:r>
        <w:rPr>
          <w:rFonts w:ascii="Times New Roman" w:hAnsi="Times New Roman" w:eastAsia="Times New Roman" w:cs="Times New Roman"/>
          <w:sz w:val="23"/>
          <w:szCs w:val="23"/>
        </w:rPr>
        <w:t xml:space="preserve"> (arXiv:2211.09800), https://arxiv.org/abs/2211.09800</w:t>
      </w:r>
    </w:p>
    <w:p w14:paraId="56691146">
      <w:pPr>
        <w:pStyle w:val="ListParagraph"/>
        <w:numPr>
          <w:ilvl w:val="0"/>
          <w:numId w:val="2"/>
        </w:numPr>
        <w:spacing w:after="80" w:line="300"/>
        <w:ind w:left="540" w:hanging="270"/>
      </w:pPr>
      <w:r>
        <w:rPr>
          <w:rFonts w:ascii="Times New Roman" w:hAnsi="Times New Roman" w:eastAsia="Times New Roman" w:cs="Times New Roman"/>
          <w:sz w:val="23"/>
          <w:szCs w:val="23"/>
        </w:rPr>
        <w:t xml:space="preserve">Codebase: </w:t>
      </w:r>
      <w:hyperlink r:id="rIdexmz_xj_4tyu6vtrpiqt-">
        <w:r>
          <w:rPr>
            <w:rStyle w:val="Hyperlink"/>
            <w:rFonts w:ascii="Times New Roman" w:hAnsi="Times New Roman" w:eastAsia="Times New Roman" w:cs="Times New Roman"/>
            <w:color w:val="0563C1"/>
            <w:sz w:val="23"/>
            <w:szCs w:val="23"/>
            <w:u w:val="single"/>
          </w:rPr>
          <w:t>github.com/timothybrooks/instruct-pix2pix</w:t>
        </w:r>
      </w:hyperlink>
      <w:r>
        <w:rPr>
          <w:rFonts w:ascii="Times New Roman" w:hAnsi="Times New Roman" w:eastAsia="Times New Roman" w:cs="Times New Roman"/>
          <w:sz w:val="23"/>
          <w:szCs w:val="23"/>
        </w:rPr>
        <w:t xml:space="preserve">, referenced at commit </w:t>
      </w:r>
      <w:r>
        <w:rPr>
          <w:rFonts w:ascii="Courier New" w:hAnsi="Courier New" w:eastAsia="Courier New" w:cs="Courier New"/>
          <w:sz w:val="20"/>
          <w:szCs w:val="20"/>
        </w:rPr>
        <w:t>0dffd1e</w:t>
      </w:r>
    </w:p>
    <w:p w14:paraId="6494E2EA">
      <w:pPr>
        <w:pStyle w:val="ListParagraph"/>
        <w:numPr>
          <w:ilvl w:val="0"/>
          <w:numId w:val="2"/>
        </w:numPr>
        <w:spacing w:after="80" w:line="300"/>
        <w:ind w:left="540" w:hanging="270"/>
      </w:pPr>
      <w:r>
        <w:rPr>
          <w:rFonts w:ascii="Times New Roman" w:hAnsi="Times New Roman" w:eastAsia="Times New Roman" w:cs="Times New Roman"/>
          <w:sz w:val="23"/>
          <w:szCs w:val="23"/>
        </w:rPr>
        <w:t>Starting point: the model was itself fine-tuned from the Stable Diffusion v1.5 checkpoint (</w:t>
      </w:r>
      <w:hyperlink r:id="rIdxybla5g3ddffmahw82p0e">
        <w:r>
          <w:rPr>
            <w:rStyle w:val="Hyperlink"/>
            <w:rFonts w:ascii="Times New Roman" w:hAnsi="Times New Roman" w:eastAsia="Times New Roman" w:cs="Times New Roman"/>
            <w:color w:val="0563C1"/>
            <w:sz w:val="23"/>
            <w:szCs w:val="23"/>
            <w:u w:val="single"/>
          </w:rPr>
          <w:t>README.md, line 73</w:t>
        </w:r>
      </w:hyperlink>
      <w:r>
        <w:rPr>
          <w:rFonts w:ascii="Times New Roman" w:hAnsi="Times New Roman" w:eastAsia="Times New Roman" w:cs="Times New Roman"/>
          <w:sz w:val="23"/>
          <w:szCs w:val="23"/>
        </w:rPr>
        <w:t>)</w:t>
      </w:r>
    </w:p>
    <w:p w14:paraId="3ACE9D37">
      <w:pPr>
        <w:spacing w:after="140" w:line="300"/>
      </w:pPr>
      <w:r>
        <w:rPr>
          <w:rFonts w:ascii="Times New Roman" w:hAnsi="Times New Roman" w:eastAsia="Times New Roman" w:cs="Times New Roman"/>
          <w:sz w:val="23"/>
          <w:szCs w:val="23"/>
        </w:rPr>
        <w:t xml:space="preserve">The same released InstructPix2Pix checkpoint is the starting point for Run 0, Run A and Run B. Our code loads it from the authors’ Hugging Face release, </w:t>
      </w:r>
      <w:hyperlink r:id="rIdAdded1">
        <w:r>
          <w:rPr>
            <w:rStyle w:val="Hyperlink"/>
            <w:rFonts w:ascii="Times New Roman" w:hAnsi="Times New Roman" w:eastAsia="Times New Roman" w:cs="Times New Roman"/>
            <w:color w:val="0563C1"/>
            <w:sz w:val="23"/>
            <w:szCs w:val="23"/>
            <w:u w:val="single"/>
          </w:rPr>
          <w:t>huggingface.co/timbrooks/instruct-pix2pix</w:t>
        </w:r>
      </w:hyperlink>
      <w:r>
        <w:rPr>
          <w:rFonts w:ascii="Times New Roman" w:hAnsi="Times New Roman" w:eastAsia="Times New Roman" w:cs="Times New Roman"/>
          <w:sz w:val="23"/>
          <w:szCs w:val="23"/>
        </w:rPr>
        <w:t xml:space="preserve">, whose </w:t>
      </w:r>
      <w:hyperlink r:id="rIdAdded2">
        <w:r>
          <w:rPr>
            <w:rStyle w:val="Hyperlink"/>
            <w:rFonts w:ascii="Times New Roman" w:hAnsi="Times New Roman" w:eastAsia="Times New Roman" w:cs="Times New Roman"/>
            <w:color w:val="0563C1"/>
            <w:sz w:val="23"/>
            <w:szCs w:val="23"/>
            <w:u w:val="single"/>
          </w:rPr>
          <w:t>scheduler_config.json</w:t>
        </w:r>
      </w:hyperlink>
      <w:r>
        <w:rPr>
          <w:rFonts w:ascii="Times New Roman" w:hAnsi="Times New Roman" w:eastAsia="Times New Roman" w:cs="Times New Roman"/>
          <w:sz w:val="23"/>
          <w:szCs w:val="23"/>
        </w:rPr>
        <w:t xml:space="preserve"> sets the same β schedule as section 5 (beta_schedule: scaled_linear, beta_start: 0.00085, beta_end: 0.012, num_train_timesteps: 1000).</w:t>
      </w:r>
    </w:p>
    <w:p w14:paraId="48B64C89">
      <w:pPr>
        <w:pStyle w:val="Heading1"/>
        <w:spacing w:before="280" w:after="140"/>
      </w:pPr>
      <w:r>
        <w:rPr>
          <w:rFonts w:ascii="Times New Roman" w:hAnsi="Times New Roman" w:eastAsia="Times New Roman" w:cs="Times New Roman"/>
          <w:b/>
          <w:bCs/>
          <w:color w:val="1F3864"/>
          <w:sz w:val="27"/>
          <w:szCs w:val="27"/>
        </w:rPr>
        <w:t>3. Dataset</w:t>
      </w:r>
    </w:p>
    <w:p w14:paraId="31DE9CB4">
      <w:pPr>
        <w:spacing w:after="140" w:line="300"/>
      </w:pPr>
      <w:r>
        <w:rPr>
          <w:rFonts w:ascii="Times New Roman" w:hAnsi="Times New Roman" w:eastAsia="Times New Roman" w:cs="Times New Roman"/>
          <w:sz w:val="23"/>
          <w:szCs w:val="23"/>
        </w:rPr>
        <w:t>The dataset is the UC Merced Land Use Dataset (Yang and Newsam, ACM GIS 2010).</w:t>
      </w:r>
    </w:p>
    <w:p w14:paraId="2214155F">
      <w:pPr>
        <w:pStyle w:val="ListParagraph"/>
        <w:numPr>
          <w:ilvl w:val="0"/>
          <w:numId w:val="2"/>
        </w:numPr>
        <w:spacing w:after="80" w:line="300"/>
        <w:ind w:left="540" w:hanging="270"/>
      </w:pPr>
      <w:r>
        <w:rPr>
          <w:rFonts w:ascii="Times New Roman" w:hAnsi="Times New Roman" w:eastAsia="Times New Roman" w:cs="Times New Roman"/>
          <w:sz w:val="23"/>
          <w:szCs w:val="23"/>
        </w:rPr>
        <w:t xml:space="preserve">Source URL: </w:t>
      </w:r>
      <w:hyperlink r:id="rIdeefpvogusto4ov2z4wg8g">
        <w:r>
          <w:rPr>
            <w:rStyle w:val="Hyperlink"/>
            <w:rFonts w:ascii="Times New Roman" w:hAnsi="Times New Roman" w:eastAsia="Times New Roman" w:cs="Times New Roman"/>
            <w:color w:val="0563C1"/>
            <w:sz w:val="23"/>
            <w:szCs w:val="23"/>
            <w:u w:val="single"/>
          </w:rPr>
          <w:t>http://weegee.vision.ucmerced.edu/datasets/landuse.html</w:t>
        </w:r>
      </w:hyperlink>
    </w:p>
    <w:p>
      <w:pPr>
        <w:pStyle w:val="ListParagraph"/>
        <w:numPr>
          <w:ilvl w:val="0"/>
          <w:numId w:val="2"/>
        </w:numPr>
        <w:spacing w:after="80" w:line="300"/>
        <w:ind w:left="540" w:hanging="270"/>
      </w:pPr>
      <w:r>
        <w:rPr>
          <w:rFonts w:ascii="Times New Roman" w:hAnsi="Times New Roman" w:eastAsia="Times New Roman" w:cs="Times New Roman"/>
          <w:sz w:val="23"/>
          <w:szCs w:val="23"/>
        </w:rPr>
        <w:t xml:space="preserve">Mirror used by our code (Hugging Face): </w:t>
      </w:r>
      <w:hyperlink r:id="rIdMirrorHF">
        <w:r>
          <w:rPr>
            <w:rStyle w:val="Hyperlink"/>
            <w:rFonts w:ascii="Times New Roman" w:hAnsi="Times New Roman" w:eastAsia="Times New Roman" w:cs="Times New Roman"/>
            <w:color w:val="0563C1"/>
            <w:sz w:val="23"/>
            <w:szCs w:val="23"/>
            <w:u w:val="single"/>
          </w:rPr>
          <w:t>https://huggingface.co/datasets/blanchon/UC_Merced</w:t>
        </w:r>
      </w:hyperlink>
    </w:p>
    <w:p>
      <w:pPr>
        <w:pStyle w:val="ListParagraph"/>
        <w:numPr>
          <w:ilvl w:val="0"/>
          <w:numId w:val="2"/>
        </w:numPr>
        <w:spacing w:after="80" w:line="300"/>
        <w:ind w:left="540" w:hanging="270"/>
      </w:pPr>
      <w:r>
        <w:rPr>
          <w:rFonts w:ascii="Times New Roman" w:hAnsi="Times New Roman" w:eastAsia="Times New Roman" w:cs="Times New Roman"/>
          <w:sz w:val="23"/>
          <w:szCs w:val="23"/>
        </w:rPr>
        <w:t xml:space="preserve">Dataset catalog entry (TensorFlow Datasets): </w:t>
      </w:r>
      <w:hyperlink r:id="rIdMirrorTFDS">
        <w:r>
          <w:rPr>
            <w:rStyle w:val="Hyperlink"/>
            <w:rFonts w:ascii="Times New Roman" w:hAnsi="Times New Roman" w:eastAsia="Times New Roman" w:cs="Times New Roman"/>
            <w:color w:val="0563C1"/>
            <w:sz w:val="23"/>
            <w:szCs w:val="23"/>
            <w:u w:val="single"/>
          </w:rPr>
          <w:t>https://www.tensorflow.org/datasets/catalog/uc_merced</w:t>
        </w:r>
      </w:hyperlink>
    </w:p>
    <w:p w14:paraId="15EE7240">
      <w:pPr>
        <w:pStyle w:val="ListParagraph"/>
        <w:numPr>
          <w:ilvl w:val="0"/>
          <w:numId w:val="2"/>
        </w:numPr>
        <w:spacing w:after="80" w:line="300"/>
        <w:ind w:left="540" w:hanging="270"/>
      </w:pPr>
      <w:r>
        <w:rPr>
          <w:rFonts w:ascii="Times New Roman" w:hAnsi="Times New Roman" w:eastAsia="Times New Roman" w:cs="Times New Roman"/>
          <w:sz w:val="23"/>
          <w:szCs w:val="23"/>
        </w:rPr>
        <w:t>Size: 2,100 RGB images in 21 land-use classes, 100 images per class</w:t>
      </w:r>
    </w:p>
    <w:p w14:paraId="03DCF495">
      <w:pPr>
        <w:pStyle w:val="ListParagraph"/>
        <w:numPr>
          <w:ilvl w:val="0"/>
          <w:numId w:val="2"/>
        </w:numPr>
        <w:spacing w:after="80" w:line="300"/>
        <w:ind w:left="540" w:hanging="270"/>
      </w:pPr>
      <w:r>
        <w:rPr>
          <w:rFonts w:ascii="Times New Roman" w:hAnsi="Times New Roman" w:eastAsia="Times New Roman" w:cs="Times New Roman"/>
          <w:sz w:val="23"/>
          <w:szCs w:val="23"/>
        </w:rPr>
        <w:t>Resolution: 256×256 pixels for 2,056 images; the other 44 are slightly off-size (242 to 257 pixels per side) and will be resized to 256×256 with bicubic interpolation; 0.3 m (1 ft) per pixel</w:t>
      </w:r>
    </w:p>
    <w:p w14:paraId="0E078722">
      <w:pPr>
        <w:pStyle w:val="ListParagraph"/>
        <w:numPr>
          <w:ilvl w:val="0"/>
          <w:numId w:val="2"/>
        </w:numPr>
        <w:spacing w:after="80" w:line="300"/>
        <w:ind w:left="540" w:hanging="270"/>
      </w:pPr>
      <w:r>
        <w:rPr>
          <w:rFonts w:ascii="Times New Roman" w:hAnsi="Times New Roman" w:eastAsia="Times New Roman" w:cs="Times New Roman"/>
          <w:sz w:val="23"/>
          <w:szCs w:val="23"/>
        </w:rPr>
        <w:t>Origin: manually extracted from the USGS National Map Urban Area Imagery collection, which is public domain</w:t>
      </w:r>
    </w:p>
    <w:p w14:paraId="3FCFEF62">
      <w:pPr>
        <w:spacing w:after="140" w:line="300"/>
      </w:pPr>
      <w:r>
        <w:rPr>
          <w:rFonts w:ascii="Times New Roman" w:hAnsi="Times New Roman" w:eastAsia="Times New Roman" w:cs="Times New Roman"/>
          <w:sz w:val="23"/>
          <w:szCs w:val="23"/>
        </w:rPr>
        <w:t xml:space="preserve">Dataset figures are taken from the </w:t>
      </w:r>
      <w:hyperlink r:id="rIduwb6mhhbao_lfzbcivoxu">
        <w:r>
          <w:rPr>
            <w:rStyle w:val="Hyperlink"/>
            <w:rFonts w:ascii="Times New Roman" w:hAnsi="Times New Roman" w:eastAsia="Times New Roman" w:cs="Times New Roman"/>
            <w:color w:val="0563C1"/>
            <w:sz w:val="23"/>
            <w:szCs w:val="23"/>
            <w:u w:val="single"/>
          </w:rPr>
          <w:t>TensorFlow Datasets catalog entry</w:t>
        </w:r>
      </w:hyperlink>
      <w:r>
        <w:rPr>
          <w:rFonts w:ascii="Times New Roman" w:hAnsi="Times New Roman" w:eastAsia="Times New Roman" w:cs="Times New Roman"/>
          <w:sz w:val="23"/>
          <w:szCs w:val="23"/>
        </w:rPr>
        <w:t xml:space="preserve">. We confirmed the image count, the 21 classes, the TIFF format and the sizes above by loading all 2,100 images from the </w:t>
      </w:r>
      <w:hyperlink r:id="rIdAdded3">
        <w:r>
          <w:rPr>
            <w:rStyle w:val="Hyperlink"/>
            <w:rFonts w:ascii="Times New Roman" w:hAnsi="Times New Roman" w:eastAsia="Times New Roman" w:cs="Times New Roman"/>
            <w:color w:val="0563C1"/>
            <w:sz w:val="23"/>
            <w:szCs w:val="23"/>
            <w:u w:val="single"/>
          </w:rPr>
          <w:t>Hugging Face mirror of the dataset</w:t>
        </w:r>
      </w:hyperlink>
      <w:r>
        <w:rPr>
          <w:rFonts w:ascii="Times New Roman" w:hAnsi="Times New Roman" w:eastAsia="Times New Roman" w:cs="Times New Roman"/>
          <w:sz w:val="23"/>
          <w:szCs w:val="23"/>
        </w:rPr>
        <w:t>, which keeps the original file names and is the copy our code downloads.</w:t>
      </w:r>
    </w:p>
    <w:p w14:paraId="1B2127D3">
      <w:pPr>
        <w:pStyle w:val="Heading1"/>
        <w:spacing w:before="280" w:after="140"/>
      </w:pPr>
      <w:r>
        <w:rPr>
          <w:rFonts w:ascii="Times New Roman" w:hAnsi="Times New Roman" w:eastAsia="Times New Roman" w:cs="Times New Roman"/>
          <w:b/>
          <w:bCs/>
          <w:color w:val="1F3864"/>
          <w:sz w:val="27"/>
          <w:szCs w:val="27"/>
        </w:rPr>
        <w:t>4. Evidence that the dataset was not used in pretraining</w:t>
      </w:r>
    </w:p>
    <w:p w14:paraId="6DE4A17A">
      <w:pPr>
        <w:spacing w:after="140" w:line="300"/>
      </w:pPr>
      <w:r>
        <w:rPr>
          <w:rFonts w:ascii="Times New Roman" w:hAnsi="Times New Roman" w:eastAsia="Times New Roman" w:cs="Times New Roman"/>
          <w:sz w:val="23"/>
          <w:szCs w:val="23"/>
        </w:rPr>
        <w:t>We use option (b): the codebase describes the pretraining data domain, and UC Merced belongs to a clearly different domain.</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2700"/>
        <w:gridCol w:w="6326"/>
      </w:tblGrid>
      <w:tr>
        <w:trPr>
          <w:tblHeader/>
        </w:trPr>
        <w:tc>
          <w:tcPr>
            <w:tcW w:w="2700" w:type="dxa"/>
            <w:tcBorders>
              <w:top w:val="single" w:sz="4" w:color="888888"/>
              <w:left w:val="single" w:sz="4" w:color="888888"/>
              <w:bottom w:val="single" w:sz="4" w:color="888888"/>
              <w:right w:val="single" w:sz="4" w:color="888888"/>
            </w:tcBorders>
            <w:shd w:val="clear" w:fill="E7ECF3"/>
            <w:tcMar>
              <w:top w:w="80" w:type="dxa"/>
              <w:left w:w="110" w:type="dxa"/>
              <w:bottom w:w="80" w:type="dxa"/>
              <w:right w:w="110" w:type="dxa"/>
            </w:tcMar>
          </w:tcPr>
          <w:p w14:paraId="6584855F">
            <w:pPr>
              <w:spacing w:line="280"/>
            </w:pPr>
            <w:r>
              <w:rPr>
                <w:rFonts w:ascii="Times New Roman" w:hAnsi="Times New Roman" w:eastAsia="Times New Roman" w:cs="Times New Roman"/>
                <w:b/>
                <w:bCs/>
                <w:sz w:val="23"/>
                <w:szCs w:val="23"/>
              </w:rPr>
              <w:t xml:space="preserve">Reference (codebase at commit </w:t>
            </w:r>
            <w:r>
              <w:rPr>
                <w:rFonts w:ascii="Courier New" w:hAnsi="Courier New" w:eastAsia="Courier New" w:cs="Courier New"/>
                <w:b/>
                <w:bCs/>
                <w:sz w:val="20"/>
                <w:szCs w:val="20"/>
              </w:rPr>
              <w:t>0dffd1e</w:t>
            </w:r>
            <w:r>
              <w:rPr>
                <w:rFonts w:ascii="Times New Roman" w:hAnsi="Times New Roman" w:eastAsia="Times New Roman" w:cs="Times New Roman"/>
                <w:b/>
                <w:bCs/>
                <w:sz w:val="23"/>
                <w:szCs w:val="23"/>
              </w:rPr>
              <w:t>)</w:t>
            </w:r>
          </w:p>
        </w:tc>
        <w:tc>
          <w:tcPr>
            <w:tcW w:w="6326" w:type="dxa"/>
            <w:tcBorders>
              <w:top w:val="single" w:sz="4" w:color="888888"/>
              <w:left w:val="single" w:sz="4" w:color="888888"/>
              <w:bottom w:val="single" w:sz="4" w:color="888888"/>
              <w:right w:val="single" w:sz="4" w:color="888888"/>
            </w:tcBorders>
            <w:shd w:val="clear" w:fill="E7ECF3"/>
            <w:tcMar>
              <w:top w:w="80" w:type="dxa"/>
              <w:left w:w="110" w:type="dxa"/>
              <w:bottom w:w="80" w:type="dxa"/>
              <w:right w:w="110" w:type="dxa"/>
            </w:tcMar>
          </w:tcPr>
          <w:p w14:paraId="34F12F64">
            <w:pPr>
              <w:spacing w:line="280"/>
            </w:pPr>
            <w:r>
              <w:rPr>
                <w:rFonts w:ascii="Times New Roman" w:hAnsi="Times New Roman" w:eastAsia="Times New Roman" w:cs="Times New Roman"/>
                <w:b/>
                <w:bCs/>
                <w:sz w:val="23"/>
                <w:szCs w:val="23"/>
              </w:rPr>
              <w:t>What the line states</w:t>
            </w:r>
          </w:p>
        </w:tc>
      </w:tr>
      <w:tr>
        <w:tc>
          <w:tcPr>
            <w:tcW w:w="2700" w:type="dxa"/>
            <w:tcBorders>
              <w:top w:val="single" w:sz="4" w:color="888888"/>
              <w:left w:val="single" w:sz="4" w:color="888888"/>
              <w:bottom w:val="single" w:sz="4" w:color="888888"/>
              <w:right w:val="single" w:sz="4" w:color="888888"/>
            </w:tcBorders>
            <w:tcMar>
              <w:top w:w="80" w:type="dxa"/>
              <w:left w:w="110" w:type="dxa"/>
              <w:bottom w:w="80" w:type="dxa"/>
              <w:right w:w="110" w:type="dxa"/>
            </w:tcMar>
          </w:tcPr>
          <w:p w14:paraId="1F632B0D">
            <w:pPr>
              <w:spacing w:line="280"/>
            </w:pPr>
            <w:hyperlink r:id="rIdbb2jfugx51tutyw4frocc">
              <w:r>
                <w:rPr>
                  <w:rStyle w:val="Hyperlink"/>
                  <w:rFonts w:ascii="Times New Roman" w:hAnsi="Times New Roman" w:eastAsia="Times New Roman" w:cs="Times New Roman"/>
                  <w:color w:val="0563C1"/>
                  <w:sz w:val="23"/>
                  <w:szCs w:val="23"/>
                  <w:u w:val="single"/>
                </w:rPr>
                <w:t>README.md, line 55</w:t>
              </w:r>
            </w:hyperlink>
          </w:p>
        </w:tc>
        <w:tc>
          <w:tcPr>
            <w:tcW w:w="6326" w:type="dxa"/>
            <w:tcBorders>
              <w:top w:val="single" w:sz="4" w:color="888888"/>
              <w:left w:val="single" w:sz="4" w:color="888888"/>
              <w:bottom w:val="single" w:sz="4" w:color="888888"/>
              <w:right w:val="single" w:sz="4" w:color="888888"/>
            </w:tcBorders>
            <w:tcMar>
              <w:top w:w="80" w:type="dxa"/>
              <w:left w:w="110" w:type="dxa"/>
              <w:bottom w:w="80" w:type="dxa"/>
              <w:right w:w="110" w:type="dxa"/>
            </w:tcMar>
          </w:tcPr>
          <w:p w14:paraId="77C0D1C4">
            <w:pPr>
              <w:spacing w:line="280"/>
            </w:pPr>
            <w:r>
              <w:rPr>
                <w:rFonts w:ascii="Times New Roman" w:hAnsi="Times New Roman" w:eastAsia="Times New Roman" w:cs="Times New Roman"/>
                <w:sz w:val="23"/>
                <w:szCs w:val="23"/>
              </w:rPr>
              <w:t>“Our image editing model is trained on a generated dataset consisting of 454,445 examples.”</w:t>
            </w:r>
          </w:p>
        </w:tc>
      </w:tr>
      <w:tr>
        <w:tc>
          <w:tcPr>
            <w:tcW w:w="2700" w:type="dxa"/>
            <w:tcBorders>
              <w:top w:val="single" w:sz="4" w:color="888888"/>
              <w:left w:val="single" w:sz="4" w:color="888888"/>
              <w:bottom w:val="single" w:sz="4" w:color="888888"/>
              <w:right w:val="single" w:sz="4" w:color="888888"/>
            </w:tcBorders>
            <w:tcMar>
              <w:top w:w="80" w:type="dxa"/>
              <w:left w:w="110" w:type="dxa"/>
              <w:bottom w:w="80" w:type="dxa"/>
              <w:right w:w="110" w:type="dxa"/>
            </w:tcMar>
          </w:tcPr>
          <w:p w14:paraId="6173CCA9">
            <w:pPr>
              <w:spacing w:line="280"/>
            </w:pPr>
            <w:hyperlink r:id="rIdd4mczp9jpa5sfr3yrnhec">
              <w:r>
                <w:rPr>
                  <w:rStyle w:val="Hyperlink"/>
                  <w:rFonts w:ascii="Times New Roman" w:hAnsi="Times New Roman" w:eastAsia="Times New Roman" w:cs="Times New Roman"/>
                  <w:color w:val="0563C1"/>
                  <w:sz w:val="23"/>
                  <w:szCs w:val="23"/>
                  <w:u w:val="single"/>
                </w:rPr>
                <w:t>README.md, line 90</w:t>
              </w:r>
            </w:hyperlink>
          </w:p>
        </w:tc>
        <w:tc>
          <w:tcPr>
            <w:tcW w:w="6326" w:type="dxa"/>
            <w:tcBorders>
              <w:top w:val="single" w:sz="4" w:color="888888"/>
              <w:left w:val="single" w:sz="4" w:color="888888"/>
              <w:bottom w:val="single" w:sz="4" w:color="888888"/>
              <w:right w:val="single" w:sz="4" w:color="888888"/>
            </w:tcBorders>
            <w:tcMar>
              <w:top w:w="80" w:type="dxa"/>
              <w:left w:w="110" w:type="dxa"/>
              <w:bottom w:w="80" w:type="dxa"/>
              <w:right w:w="110" w:type="dxa"/>
            </w:tcMar>
          </w:tcPr>
          <w:p w14:paraId="4B47205C">
            <w:pPr>
              <w:spacing w:line="280"/>
            </w:pPr>
            <w:r>
              <w:rPr>
                <w:rFonts w:ascii="Times New Roman" w:hAnsi="Times New Roman" w:eastAsia="Times New Roman" w:cs="Times New Roman"/>
                <w:sz w:val="23"/>
                <w:szCs w:val="23"/>
              </w:rPr>
              <w:t>The pairs are made by GPT-3 writing caption and instruction triplets, then Stable Diffusion and Prompt-to-Prompt turning caption pairs into image pairs.</w:t>
            </w:r>
          </w:p>
        </w:tc>
      </w:tr>
      <w:tr>
        <w:tc>
          <w:tcPr>
            <w:tcW w:w="2700" w:type="dxa"/>
            <w:tcBorders>
              <w:top w:val="single" w:sz="4" w:color="888888"/>
              <w:left w:val="single" w:sz="4" w:color="888888"/>
              <w:bottom w:val="single" w:sz="4" w:color="888888"/>
              <w:right w:val="single" w:sz="4" w:color="888888"/>
            </w:tcBorders>
            <w:tcMar>
              <w:top w:w="80" w:type="dxa"/>
              <w:left w:w="110" w:type="dxa"/>
              <w:bottom w:w="80" w:type="dxa"/>
              <w:right w:w="110" w:type="dxa"/>
            </w:tcMar>
          </w:tcPr>
          <w:p w14:paraId="7B36DA0A">
            <w:pPr>
              <w:spacing w:line="280"/>
            </w:pPr>
            <w:hyperlink r:id="rIdxa6hhvgrdjpfthy3f7aaw">
              <w:r>
                <w:rPr>
                  <w:rStyle w:val="Hyperlink"/>
                  <w:rFonts w:ascii="Times New Roman" w:hAnsi="Times New Roman" w:eastAsia="Times New Roman" w:cs="Times New Roman"/>
                  <w:color w:val="0563C1"/>
                  <w:sz w:val="23"/>
                  <w:szCs w:val="23"/>
                  <w:u w:val="single"/>
                </w:rPr>
                <w:t>README.md, line 100</w:t>
              </w:r>
            </w:hyperlink>
          </w:p>
        </w:tc>
        <w:tc>
          <w:tcPr>
            <w:tcW w:w="6326" w:type="dxa"/>
            <w:tcBorders>
              <w:top w:val="single" w:sz="4" w:color="888888"/>
              <w:left w:val="single" w:sz="4" w:color="888888"/>
              <w:bottom w:val="single" w:sz="4" w:color="888888"/>
              <w:right w:val="single" w:sz="4" w:color="888888"/>
            </w:tcBorders>
            <w:tcMar>
              <w:top w:w="80" w:type="dxa"/>
              <w:left w:w="110" w:type="dxa"/>
              <w:bottom w:w="80" w:type="dxa"/>
              <w:right w:w="110" w:type="dxa"/>
            </w:tcMar>
          </w:tcPr>
          <w:p w14:paraId="7FABD936">
            <w:pPr>
              <w:spacing w:line="280"/>
            </w:pPr>
            <w:r>
              <w:rPr>
                <w:rFonts w:ascii="Times New Roman" w:hAnsi="Times New Roman" w:eastAsia="Times New Roman" w:cs="Times New Roman"/>
                <w:sz w:val="23"/>
                <w:szCs w:val="23"/>
              </w:rPr>
              <w:t>The input captions are sampled from LAION Improved Aesthetics 6.5+, chosen for its “diversity of content, proper nouns, and artistic mediums”.</w:t>
            </w:r>
          </w:p>
        </w:tc>
      </w:tr>
    </w:tbl>
    <w:p w14:paraId="7E504F72">
      <w:pPr>
        <w:spacing w:after="100"/>
      </w:pPr>
    </w:p>
    <w:p w14:paraId="688C9B7D">
      <w:pPr>
        <w:spacing w:after="140" w:line="300"/>
      </w:pPr>
      <w:r>
        <w:rPr>
          <w:rFonts w:ascii="Times New Roman" w:hAnsi="Times New Roman" w:eastAsia="Times New Roman" w:cs="Times New Roman"/>
          <w:sz w:val="23"/>
          <w:szCs w:val="23"/>
        </w:rPr>
        <w:t>Full link to the file: https://github.com/timothybrooks/instruct-pix2pix/blob/0dffd1eeb02611c35088462d1df88714ce2b52f4/README.md</w:t>
      </w:r>
    </w:p>
    <w:p w14:paraId="61B6B5FC">
      <w:pPr>
        <w:spacing w:after="140" w:line="300"/>
      </w:pPr>
      <w:r>
        <w:rPr>
          <w:rFonts w:ascii="Times New Roman" w:hAnsi="Times New Roman" w:eastAsia="Times New Roman" w:cs="Times New Roman"/>
          <w:b/>
          <w:bCs/>
          <w:sz w:val="23"/>
          <w:szCs w:val="23"/>
        </w:rPr>
        <w:t>Argument.</w:t>
      </w:r>
      <w:r>
        <w:rPr>
          <w:rFonts w:ascii="Times New Roman" w:hAnsi="Times New Roman" w:eastAsia="Times New Roman" w:cs="Times New Roman"/>
          <w:sz w:val="23"/>
          <w:szCs w:val="23"/>
        </w:rPr>
        <w:t xml:space="preserve"> Every training image of InstructPix2Pix is synthetic: both the input and the edited image are generated by Stable Diffusion from text captions, and no real photograph enters the training pairs. Those captions come from an aesthetics-filtered web collection, so the domain is ground-level, artistic and photographic content such as people, objects, scenes and artworks. UC Merced is the opposite on each count. Its images are real sensor data, captured from directly overhead at a fixed 0.3 m per pixel, extracted from USGS orthoimagery and labelled by land-use class such as runway, harbor and dense residential. The training edits are also semantic changes to content or style, while our task is restoration of lost detail. The dataset therefore lies in a clearly different domain from the pretraining data in both image content and task.</w:t>
      </w:r>
    </w:p>
    <w:p w14:paraId="38347F60">
      <w:pPr>
        <w:spacing w:after="140" w:line="300"/>
      </w:pPr>
      <w:r>
        <w:rPr>
          <w:rFonts w:ascii="Times New Roman" w:hAnsi="Times New Roman" w:eastAsia="Times New Roman" w:cs="Times New Roman"/>
          <w:b/>
          <w:bCs/>
          <w:sz w:val="23"/>
          <w:szCs w:val="23"/>
        </w:rPr>
        <w:t>Limitation we acknowledge.</w:t>
      </w:r>
      <w:r>
        <w:rPr>
          <w:rFonts w:ascii="Times New Roman" w:hAnsi="Times New Roman" w:eastAsia="Times New Roman" w:cs="Times New Roman"/>
          <w:sz w:val="23"/>
          <w:szCs w:val="23"/>
        </w:rPr>
        <w:t xml:space="preserve"> InstructPix2Pix starts from Stable Diffusion v1.5 (README.md, line 73), which was pretrained on web-scraped LAION images. We cannot rule out that a few aerial images exist in that web data, but UC Merced is distributed as a research archive of TIFF tiles, not as captioned web images.</w:t>
      </w:r>
    </w:p>
    <w:p w14:paraId="5862E0C9">
      <w:pPr>
        <w:pStyle w:val="Heading1"/>
        <w:spacing w:before="280" w:after="140"/>
      </w:pPr>
      <w:r>
        <w:rPr>
          <w:rFonts w:ascii="Times New Roman" w:hAnsi="Times New Roman" w:eastAsia="Times New Roman" w:cs="Times New Roman"/>
          <w:b/>
          <w:bCs/>
          <w:color w:val="1F3864"/>
          <w:sz w:val="27"/>
          <w:szCs w:val="27"/>
        </w:rPr>
        <w:t>5. Native noise parameterization</w:t>
      </w:r>
    </w:p>
    <w:p w14:paraId="0FE18148">
      <w:pPr>
        <w:spacing w:after="140" w:line="300"/>
      </w:pPr>
      <w:r>
        <w:rPr>
          <w:rFonts w:ascii="Times New Roman" w:hAnsi="Times New Roman" w:eastAsia="Times New Roman" w:cs="Times New Roman"/>
          <w:sz w:val="23"/>
          <w:szCs w:val="23"/>
        </w:rPr>
        <w:t>The native noise parameter is θ</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rPr>
        <w:t xml:space="preserve"> = β</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rPr>
        <w:t>, the variance of the Gaussian noise added at forward step t, for t = 1, …, T with T = 1000.</w:t>
      </w:r>
    </w:p>
    <w:p w14:paraId="54A1E187">
      <w:pPr>
        <w:spacing w:after="140" w:line="300"/>
      </w:pPr>
      <w:r>
        <w:rPr>
          <w:rFonts w:ascii="Times New Roman" w:hAnsi="Times New Roman" w:eastAsia="Times New Roman" w:cs="Times New Roman"/>
          <w:sz w:val="23"/>
          <w:szCs w:val="23"/>
        </w:rPr>
        <w:t>The codebase defines the schedule directly through β</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rPr>
        <w:t xml:space="preserve"> and derives everything else from it:</w:t>
      </w:r>
    </w:p>
    <w:p w14:paraId="68D36583">
      <w:pPr>
        <w:pStyle w:val="ListParagraph"/>
        <w:numPr>
          <w:ilvl w:val="0"/>
          <w:numId w:val="2"/>
        </w:numPr>
        <w:spacing w:after="80" w:line="300"/>
        <w:ind w:left="540" w:hanging="270"/>
      </w:pPr>
      <w:hyperlink r:id="rIdxu_lxvz-i-z-qxaoi71re">
        <w:r>
          <w:rPr>
            <w:rStyle w:val="Hyperlink"/>
            <w:rFonts w:ascii="Times New Roman" w:hAnsi="Times New Roman" w:eastAsia="Times New Roman" w:cs="Times New Roman"/>
            <w:color w:val="0563C1"/>
            <w:sz w:val="23"/>
            <w:szCs w:val="23"/>
            <w:u w:val="single"/>
          </w:rPr>
          <w:t>configs/train.yaml, lines 9, 10 and 13</w:t>
        </w:r>
      </w:hyperlink>
      <w:r>
        <w:rPr>
          <w:rFonts w:ascii="Times New Roman" w:hAnsi="Times New Roman" w:eastAsia="Times New Roman" w:cs="Times New Roman"/>
          <w:sz w:val="23"/>
          <w:szCs w:val="23"/>
        </w:rPr>
        <w:t xml:space="preserve"> set </w:t>
      </w:r>
      <w:r>
        <w:rPr>
          <w:rFonts w:ascii="Courier New" w:hAnsi="Courier New" w:eastAsia="Courier New" w:cs="Courier New"/>
          <w:sz w:val="20"/>
          <w:szCs w:val="20"/>
        </w:rPr>
        <w:t>linear_start: 0.00085</w:t>
      </w:r>
      <w:r>
        <w:rPr>
          <w:rFonts w:ascii="Times New Roman" w:hAnsi="Times New Roman" w:eastAsia="Times New Roman" w:cs="Times New Roman"/>
          <w:sz w:val="23"/>
          <w:szCs w:val="23"/>
        </w:rPr>
        <w:t xml:space="preserve">, </w:t>
      </w:r>
      <w:r>
        <w:rPr>
          <w:rFonts w:ascii="Courier New" w:hAnsi="Courier New" w:eastAsia="Courier New" w:cs="Courier New"/>
          <w:sz w:val="20"/>
          <w:szCs w:val="20"/>
        </w:rPr>
        <w:t>linear_end: 0.0120</w:t>
      </w:r>
      <w:r>
        <w:rPr>
          <w:rFonts w:ascii="Times New Roman" w:hAnsi="Times New Roman" w:eastAsia="Times New Roman" w:cs="Times New Roman"/>
          <w:sz w:val="23"/>
          <w:szCs w:val="23"/>
        </w:rPr>
        <w:t xml:space="preserve"> and </w:t>
      </w:r>
      <w:r>
        <w:rPr>
          <w:rFonts w:ascii="Courier New" w:hAnsi="Courier New" w:eastAsia="Courier New" w:cs="Courier New"/>
          <w:sz w:val="20"/>
          <w:szCs w:val="20"/>
        </w:rPr>
        <w:t>timesteps: 1000</w:t>
      </w:r>
      <w:r>
        <w:rPr>
          <w:rFonts w:ascii="Times New Roman" w:hAnsi="Times New Roman" w:eastAsia="Times New Roman" w:cs="Times New Roman"/>
          <w:sz w:val="23"/>
          <w:szCs w:val="23"/>
        </w:rPr>
        <w:t>.</w:t>
      </w:r>
    </w:p>
    <w:p w14:paraId="502952D6">
      <w:pPr>
        <w:pStyle w:val="ListParagraph"/>
        <w:numPr>
          <w:ilvl w:val="0"/>
          <w:numId w:val="2"/>
        </w:numPr>
        <w:spacing w:after="80" w:line="300"/>
        <w:ind w:left="540" w:hanging="270"/>
      </w:pPr>
      <w:hyperlink r:id="rIdrcynormryz1ywrjpl3bra">
        <w:r>
          <w:rPr>
            <w:rStyle w:val="Hyperlink"/>
            <w:rFonts w:ascii="Times New Roman" w:hAnsi="Times New Roman" w:eastAsia="Times New Roman" w:cs="Times New Roman"/>
            <w:color w:val="0563C1"/>
            <w:sz w:val="23"/>
            <w:szCs w:val="23"/>
            <w:u w:val="single"/>
          </w:rPr>
          <w:t>stable_diffusion/ldm/modules/diffusionmodules/util.py, lines 23 to 25</w:t>
        </w:r>
      </w:hyperlink>
      <w:r>
        <w:rPr>
          <w:rFonts w:ascii="Times New Roman" w:hAnsi="Times New Roman" w:eastAsia="Times New Roman" w:cs="Times New Roman"/>
          <w:sz w:val="23"/>
          <w:szCs w:val="23"/>
        </w:rPr>
        <w:t xml:space="preserve"> build the betas, linearly spaced in √β and then squared.</w:t>
      </w:r>
    </w:p>
    <w:p w14:paraId="25E3EA0D">
      <w:pPr>
        <w:pStyle w:val="ListParagraph"/>
        <w:numPr>
          <w:ilvl w:val="0"/>
          <w:numId w:val="2"/>
        </w:numPr>
        <w:spacing w:after="80" w:line="300"/>
        <w:ind w:left="540" w:hanging="270"/>
      </w:pPr>
      <w:hyperlink r:id="rId50r6w9geflsz8obdzvjqc">
        <w:r>
          <w:rPr>
            <w:rStyle w:val="Hyperlink"/>
            <w:rFonts w:ascii="Times New Roman" w:hAnsi="Times New Roman" w:eastAsia="Times New Roman" w:cs="Times New Roman"/>
            <w:color w:val="0563C1"/>
            <w:sz w:val="23"/>
            <w:szCs w:val="23"/>
            <w:u w:val="single"/>
          </w:rPr>
          <w:t>stable_diffusion/ldm/models/diffusion/ddpm.py, lines 124 and 125</w:t>
        </w:r>
      </w:hyperlink>
      <w:r>
        <w:rPr>
          <w:rFonts w:ascii="Times New Roman" w:hAnsi="Times New Roman" w:eastAsia="Times New Roman" w:cs="Times New Roman"/>
          <w:sz w:val="23"/>
          <w:szCs w:val="23"/>
        </w:rPr>
        <w:t xml:space="preserve"> compute α</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rPr>
        <w:t xml:space="preserve"> = 1 − β</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rPr>
        <w:t xml:space="preserve"> and ᾱ</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rPr>
        <w:t xml:space="preserve"> as the cumulative product.</w:t>
      </w:r>
    </w:p>
    <w:p w14:paraId="2A038834">
      <w:pPr>
        <w:spacing w:before="120" w:after="80"/>
        <w:jc w:val="center"/>
      </w:pPr>
      <w:r>
        <w:rPr>
          <w:rFonts w:ascii="Times New Roman" w:hAnsi="Times New Roman" w:eastAsia="Times New Roman" w:cs="Times New Roman"/>
          <w:sz w:val="23"/>
          <w:szCs w:val="23"/>
        </w:rPr>
        <w:t>β</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rPr>
        <w:t xml:space="preserve"> = [ √0.00085 + ((t − 1) / (T − 1)) · (√0.012 − √0.00085) ]</w:t>
      </w:r>
      <w:r>
        <w:rPr>
          <w:rFonts w:ascii="Times New Roman" w:hAnsi="Times New Roman" w:eastAsia="Times New Roman" w:cs="Times New Roman"/>
          <w:sz w:val="23"/>
          <w:szCs w:val="23"/>
          <w:vertAlign w:val="superscript"/>
        </w:rPr>
        <w:t>2</w:t>
      </w:r>
    </w:p>
    <w:p w14:paraId="092E0832">
      <w:pPr>
        <w:spacing w:after="160"/>
        <w:jc w:val="center"/>
      </w:pPr>
      <w:r>
        <w:rPr>
          <w:rFonts w:ascii="Times New Roman" w:hAnsi="Times New Roman" w:eastAsia="Times New Roman" w:cs="Times New Roman"/>
          <w:sz w:val="23"/>
          <w:szCs w:val="23"/>
        </w:rPr>
        <w:t>α</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rPr>
        <w:t xml:space="preserve"> = 1 − β</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rPr>
        <w:t xml:space="preserve"> ,      ᾱ</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rPr>
        <w:t xml:space="preserve"> = α</w:t>
      </w:r>
      <w:r>
        <w:rPr>
          <w:rFonts w:ascii="Times New Roman" w:hAnsi="Times New Roman" w:eastAsia="Times New Roman" w:cs="Times New Roman"/>
          <w:sz w:val="23"/>
          <w:szCs w:val="23"/>
          <w:vertAlign w:val="subscript"/>
        </w:rPr>
        <w:t>1</w:t>
      </w:r>
      <w:r>
        <w:rPr>
          <w:rFonts w:ascii="Times New Roman" w:hAnsi="Times New Roman" w:eastAsia="Times New Roman" w:cs="Times New Roman"/>
          <w:sz w:val="23"/>
          <w:szCs w:val="23"/>
        </w:rPr>
        <w:t xml:space="preserve"> · α</w:t>
      </w:r>
      <w:r>
        <w:rPr>
          <w:rFonts w:ascii="Times New Roman" w:hAnsi="Times New Roman" w:eastAsia="Times New Roman" w:cs="Times New Roman"/>
          <w:sz w:val="23"/>
          <w:szCs w:val="23"/>
          <w:vertAlign w:val="subscript"/>
        </w:rPr>
        <w:t>2</w:t>
      </w:r>
      <w:r>
        <w:rPr>
          <w:rFonts w:ascii="Times New Roman" w:hAnsi="Times New Roman" w:eastAsia="Times New Roman" w:cs="Times New Roman"/>
          <w:sz w:val="23"/>
          <w:szCs w:val="23"/>
        </w:rPr>
        <w:t xml:space="preserve"> · … · α</w:t>
      </w:r>
      <w:r>
        <w:rPr>
          <w:rFonts w:ascii="Times New Roman" w:hAnsi="Times New Roman" w:eastAsia="Times New Roman" w:cs="Times New Roman"/>
          <w:sz w:val="23"/>
          <w:szCs w:val="23"/>
          <w:vertAlign w:val="subscript"/>
        </w:rPr>
        <w:t>t</w:t>
      </w:r>
    </w:p>
    <w:p w14:paraId="595592A7">
      <w:pPr>
        <w:spacing w:after="140" w:line="300"/>
      </w:pPr>
      <w:r>
        <w:rPr>
          <w:rFonts w:ascii="Times New Roman" w:hAnsi="Times New Roman" w:eastAsia="Times New Roman" w:cs="Times New Roman"/>
          <w:b/>
          <w:bCs/>
          <w:sz w:val="23"/>
          <w:szCs w:val="23"/>
        </w:rPr>
        <w:t>Confirmation that θ</w:t>
      </w:r>
      <w:r>
        <w:rPr>
          <w:rFonts w:ascii="Times New Roman" w:hAnsi="Times New Roman" w:eastAsia="Times New Roman" w:cs="Times New Roman"/>
          <w:b/>
          <w:bCs/>
          <w:sz w:val="23"/>
          <w:szCs w:val="23"/>
          <w:vertAlign w:val="subscript"/>
        </w:rPr>
        <w:t>t</w:t>
      </w:r>
      <w:r>
        <w:rPr>
          <w:rFonts w:ascii="Times New Roman" w:hAnsi="Times New Roman" w:eastAsia="Times New Roman" w:cs="Times New Roman"/>
          <w:b/>
          <w:bCs/>
          <w:sz w:val="23"/>
          <w:szCs w:val="23"/>
        </w:rPr>
        <w:t xml:space="preserve"> ∈ (0, 1).</w:t>
      </w:r>
      <w:r>
        <w:rPr>
          <w:rFonts w:ascii="Times New Roman" w:hAnsi="Times New Roman" w:eastAsia="Times New Roman" w:cs="Times New Roman"/>
          <w:sz w:val="23"/>
          <w:szCs w:val="23"/>
        </w:rPr>
        <w:t xml:space="preserve"> The schedule increases monotonically from β</w:t>
      </w:r>
      <w:r>
        <w:rPr>
          <w:rFonts w:ascii="Times New Roman" w:hAnsi="Times New Roman" w:eastAsia="Times New Roman" w:cs="Times New Roman"/>
          <w:sz w:val="23"/>
          <w:szCs w:val="23"/>
          <w:vertAlign w:val="subscript"/>
        </w:rPr>
        <w:t>1</w:t>
      </w:r>
      <w:r>
        <w:rPr>
          <w:rFonts w:ascii="Times New Roman" w:hAnsi="Times New Roman" w:eastAsia="Times New Roman" w:cs="Times New Roman"/>
          <w:sz w:val="23"/>
          <w:szCs w:val="23"/>
        </w:rPr>
        <w:t xml:space="preserve"> = 0.00085 to β</w:t>
      </w:r>
      <w:r>
        <w:rPr>
          <w:rFonts w:ascii="Times New Roman" w:hAnsi="Times New Roman" w:eastAsia="Times New Roman" w:cs="Times New Roman"/>
          <w:sz w:val="23"/>
          <w:szCs w:val="23"/>
          <w:vertAlign w:val="subscript"/>
        </w:rPr>
        <w:t>1000</w:t>
      </w:r>
      <w:r>
        <w:rPr>
          <w:rFonts w:ascii="Times New Roman" w:hAnsi="Times New Roman" w:eastAsia="Times New Roman" w:cs="Times New Roman"/>
          <w:sz w:val="23"/>
          <w:szCs w:val="23"/>
        </w:rPr>
        <w:t xml:space="preserve"> = 0.012, so 0 &lt; 0.00085 ≤ β</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rPr>
        <w:t xml:space="preserve"> ≤ 0.012 &lt; 1 for all t. We computed the full array numerically and its minimum and maximum match these two values. The power transform β</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vertAlign w:val="superscript"/>
        </w:rPr>
        <w:t>x</w:t>
      </w:r>
      <w:r>
        <w:rPr>
          <w:rFonts w:ascii="Times New Roman" w:hAnsi="Times New Roman" w:eastAsia="Times New Roman" w:cs="Times New Roman"/>
          <w:sz w:val="23"/>
          <w:szCs w:val="23"/>
        </w:rPr>
        <w:t xml:space="preserve"> is therefore well defined, and β</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vertAlign w:val="superscript"/>
        </w:rPr>
        <w:t>x</w:t>
      </w:r>
      <w:r>
        <w:rPr>
          <w:rFonts w:ascii="Times New Roman" w:hAnsi="Times New Roman" w:eastAsia="Times New Roman" w:cs="Times New Roman"/>
          <w:sz w:val="23"/>
          <w:szCs w:val="23"/>
        </w:rPr>
        <w:t xml:space="preserve"> also stays in (0, 1).</w:t>
      </w:r>
    </w:p>
    <w:p w14:paraId="29933B9A">
      <w:pPr>
        <w:pStyle w:val="Heading1"/>
        <w:spacing w:before="280" w:after="140"/>
      </w:pPr>
      <w:r>
        <w:rPr>
          <w:rFonts w:ascii="Times New Roman" w:hAnsi="Times New Roman" w:eastAsia="Times New Roman" w:cs="Times New Roman"/>
          <w:b/>
          <w:bCs/>
          <w:color w:val="1F3864"/>
          <w:sz w:val="27"/>
          <w:szCs w:val="27"/>
        </w:rPr>
        <w:t>6. Chosen exponent</w:t>
      </w:r>
    </w:p>
    <w:p w14:paraId="42ABB66A">
      <w:pPr>
        <w:spacing w:after="140" w:line="300"/>
      </w:pPr>
      <w:r>
        <w:rPr>
          <w:rFonts w:ascii="Times New Roman" w:hAnsi="Times New Roman" w:eastAsia="Times New Roman" w:cs="Times New Roman"/>
          <w:sz w:val="23"/>
          <w:szCs w:val="23"/>
        </w:rPr>
        <w:t>The exponent is x = 1.60, which lies in (1.5, 3.0). Run B uses the schedule {β</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vertAlign w:val="superscript"/>
        </w:rPr>
        <w:t>x</w:t>
      </w:r>
      <w:r>
        <w:rPr>
          <w:rFonts w:ascii="Times New Roman" w:hAnsi="Times New Roman" w:eastAsia="Times New Roman" w:cs="Times New Roman"/>
          <w:sz w:val="23"/>
          <w:szCs w:val="23"/>
        </w:rPr>
        <w:t>} = {β</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vertAlign w:val="superscript"/>
        </w:rPr>
        <w:t>1.60</w:t>
      </w:r>
      <w:r>
        <w:rPr>
          <w:rFonts w:ascii="Times New Roman" w:hAnsi="Times New Roman" w:eastAsia="Times New Roman" w:cs="Times New Roman"/>
          <w:sz w:val="23"/>
          <w:szCs w:val="23"/>
        </w:rPr>
        <w:t>}, applied elementwise.</w:t>
      </w:r>
    </w:p>
    <w:p w14:paraId="565C1DD6">
      <w:pPr>
        <w:spacing w:after="140" w:line="300"/>
      </w:pPr>
      <w:r>
        <w:rPr>
          <w:rFonts w:ascii="Times New Roman" w:hAnsi="Times New Roman" w:eastAsia="Times New Roman" w:cs="Times New Roman"/>
          <w:sz w:val="23"/>
          <w:szCs w:val="23"/>
        </w:rPr>
        <w:t>Because 0 &lt; β</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rPr>
        <w:t xml:space="preserve"> &lt; 1 and x &gt; 1, every β</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vertAlign w:val="superscript"/>
        </w:rPr>
        <w:t>x</w:t>
      </w:r>
      <w:r>
        <w:rPr>
          <w:rFonts w:ascii="Times New Roman" w:hAnsi="Times New Roman" w:eastAsia="Times New Roman" w:cs="Times New Roman"/>
          <w:sz w:val="23"/>
          <w:szCs w:val="23"/>
        </w:rPr>
        <w:t xml:space="preserve"> is smaller than β</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rPr>
        <w:t>, so Run B adds less noise at every step and keeps more of the image. Values computed from the schedule in section 5:</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2800"/>
        <w:gridCol w:w="2800"/>
        <w:gridCol w:w="1713"/>
        <w:gridCol w:w="1713"/>
      </w:tblGrid>
      <w:tr>
        <w:trPr>
          <w:tblHeader/>
        </w:trPr>
        <w:tc>
          <w:tcPr>
            <w:tcW w:w="2800" w:type="dxa"/>
            <w:tcBorders>
              <w:top w:val="single" w:sz="4" w:color="888888"/>
              <w:left w:val="single" w:sz="4" w:color="888888"/>
              <w:bottom w:val="single" w:sz="4" w:color="888888"/>
              <w:right w:val="single" w:sz="4" w:color="888888"/>
            </w:tcBorders>
            <w:shd w:val="clear" w:fill="E7ECF3"/>
            <w:tcMar>
              <w:top w:w="80" w:type="dxa"/>
              <w:left w:w="110" w:type="dxa"/>
              <w:bottom w:w="80" w:type="dxa"/>
              <w:right w:w="110" w:type="dxa"/>
            </w:tcMar>
          </w:tcPr>
          <w:p w14:paraId="46CDE84E">
            <w:pPr>
              <w:spacing w:line="280"/>
            </w:pPr>
            <w:r>
              <w:rPr>
                <w:rFonts w:ascii="Times New Roman" w:hAnsi="Times New Roman" w:eastAsia="Times New Roman" w:cs="Times New Roman"/>
                <w:b/>
                <w:bCs/>
                <w:sz w:val="23"/>
                <w:szCs w:val="23"/>
              </w:rPr>
              <w:t>Schedule</w:t>
            </w:r>
          </w:p>
        </w:tc>
        <w:tc>
          <w:tcPr>
            <w:tcW w:w="2800" w:type="dxa"/>
            <w:tcBorders>
              <w:top w:val="single" w:sz="4" w:color="888888"/>
              <w:left w:val="single" w:sz="4" w:color="888888"/>
              <w:bottom w:val="single" w:sz="4" w:color="888888"/>
              <w:right w:val="single" w:sz="4" w:color="888888"/>
            </w:tcBorders>
            <w:shd w:val="clear" w:fill="E7ECF3"/>
            <w:tcMar>
              <w:top w:w="80" w:type="dxa"/>
              <w:left w:w="110" w:type="dxa"/>
              <w:bottom w:w="80" w:type="dxa"/>
              <w:right w:w="110" w:type="dxa"/>
            </w:tcMar>
          </w:tcPr>
          <w:p w14:paraId="09999CC0">
            <w:pPr>
              <w:spacing w:line="280"/>
            </w:pPr>
            <w:r>
              <w:rPr>
                <w:rFonts w:ascii="Times New Roman" w:hAnsi="Times New Roman" w:eastAsia="Times New Roman" w:cs="Times New Roman"/>
                <w:b/>
                <w:bCs/>
                <w:sz w:val="23"/>
                <w:szCs w:val="23"/>
              </w:rPr>
              <w:t>Range of per-step noise</w:t>
            </w:r>
          </w:p>
        </w:tc>
        <w:tc>
          <w:tcPr>
            <w:tcW w:w="1713" w:type="dxa"/>
            <w:tcBorders>
              <w:top w:val="single" w:sz="4" w:color="888888"/>
              <w:left w:val="single" w:sz="4" w:color="888888"/>
              <w:bottom w:val="single" w:sz="4" w:color="888888"/>
              <w:right w:val="single" w:sz="4" w:color="888888"/>
            </w:tcBorders>
            <w:shd w:val="clear" w:fill="E7ECF3"/>
            <w:tcMar>
              <w:top w:w="80" w:type="dxa"/>
              <w:left w:w="110" w:type="dxa"/>
              <w:bottom w:w="80" w:type="dxa"/>
              <w:right w:w="110" w:type="dxa"/>
            </w:tcMar>
          </w:tcPr>
          <w:p w14:paraId="72A3EAD1">
            <w:pPr>
              <w:spacing w:line="280"/>
            </w:pPr>
            <w:r>
              <w:rPr>
                <w:rFonts w:ascii="Times New Roman" w:hAnsi="Times New Roman" w:eastAsia="Times New Roman" w:cs="Times New Roman"/>
                <w:b/>
                <w:bCs/>
                <w:sz w:val="23"/>
                <w:szCs w:val="23"/>
              </w:rPr>
              <w:t>ᾱ at t = 1000</w:t>
            </w:r>
          </w:p>
        </w:tc>
        <w:tc>
          <w:tcPr>
            <w:tcW w:w="1713" w:type="dxa"/>
            <w:tcBorders>
              <w:top w:val="single" w:sz="4" w:color="888888"/>
              <w:left w:val="single" w:sz="4" w:color="888888"/>
              <w:bottom w:val="single" w:sz="4" w:color="888888"/>
              <w:right w:val="single" w:sz="4" w:color="888888"/>
            </w:tcBorders>
            <w:shd w:val="clear" w:fill="E7ECF3"/>
            <w:tcMar>
              <w:top w:w="80" w:type="dxa"/>
              <w:left w:w="110" w:type="dxa"/>
              <w:bottom w:w="80" w:type="dxa"/>
              <w:right w:w="110" w:type="dxa"/>
            </w:tcMar>
          </w:tcPr>
          <w:p w14:paraId="095657E1">
            <w:pPr>
              <w:spacing w:line="280"/>
            </w:pPr>
            <w:r>
              <w:rPr>
                <w:rFonts w:ascii="Times New Roman" w:hAnsi="Times New Roman" w:eastAsia="Times New Roman" w:cs="Times New Roman"/>
                <w:b/>
                <w:bCs/>
                <w:sz w:val="23"/>
                <w:szCs w:val="23"/>
              </w:rPr>
              <w:t>SNR at t = 1000</w:t>
            </w:r>
          </w:p>
        </w:tc>
      </w:tr>
      <w:tr>
        <w:tc>
          <w:tcPr>
            <w:tcW w:w="2800" w:type="dxa"/>
            <w:tcBorders>
              <w:top w:val="single" w:sz="4" w:color="888888"/>
              <w:left w:val="single" w:sz="4" w:color="888888"/>
              <w:bottom w:val="single" w:sz="4" w:color="888888"/>
              <w:right w:val="single" w:sz="4" w:color="888888"/>
            </w:tcBorders>
            <w:tcMar>
              <w:top w:w="80" w:type="dxa"/>
              <w:left w:w="110" w:type="dxa"/>
              <w:bottom w:w="80" w:type="dxa"/>
              <w:right w:w="110" w:type="dxa"/>
            </w:tcMar>
          </w:tcPr>
          <w:p w14:paraId="1BC2F22C">
            <w:pPr>
              <w:spacing w:line="280"/>
            </w:pPr>
            <w:r>
              <w:rPr>
                <w:rFonts w:ascii="Times New Roman" w:hAnsi="Times New Roman" w:eastAsia="Times New Roman" w:cs="Times New Roman"/>
                <w:sz w:val="23"/>
                <w:szCs w:val="23"/>
              </w:rPr>
              <w:t>Original β</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rPr>
              <w:t xml:space="preserve"> (Run A)</w:t>
            </w:r>
          </w:p>
        </w:tc>
        <w:tc>
          <w:tcPr>
            <w:tcW w:w="2800" w:type="dxa"/>
            <w:tcBorders>
              <w:top w:val="single" w:sz="4" w:color="888888"/>
              <w:left w:val="single" w:sz="4" w:color="888888"/>
              <w:bottom w:val="single" w:sz="4" w:color="888888"/>
              <w:right w:val="single" w:sz="4" w:color="888888"/>
            </w:tcBorders>
            <w:tcMar>
              <w:top w:w="80" w:type="dxa"/>
              <w:left w:w="110" w:type="dxa"/>
              <w:bottom w:w="80" w:type="dxa"/>
              <w:right w:w="110" w:type="dxa"/>
            </w:tcMar>
          </w:tcPr>
          <w:p w14:paraId="69690A8C">
            <w:pPr>
              <w:spacing w:line="280"/>
            </w:pPr>
            <w:r>
              <w:rPr>
                <w:rFonts w:ascii="Times New Roman" w:hAnsi="Times New Roman" w:eastAsia="Times New Roman" w:cs="Times New Roman"/>
                <w:sz w:val="23"/>
                <w:szCs w:val="23"/>
              </w:rPr>
              <w:t>0.00085 to 0.012</w:t>
            </w:r>
          </w:p>
        </w:tc>
        <w:tc>
          <w:tcPr>
            <w:tcW w:w="1713" w:type="dxa"/>
            <w:tcBorders>
              <w:top w:val="single" w:sz="4" w:color="888888"/>
              <w:left w:val="single" w:sz="4" w:color="888888"/>
              <w:bottom w:val="single" w:sz="4" w:color="888888"/>
              <w:right w:val="single" w:sz="4" w:color="888888"/>
            </w:tcBorders>
            <w:tcMar>
              <w:top w:w="80" w:type="dxa"/>
              <w:left w:w="110" w:type="dxa"/>
              <w:bottom w:w="80" w:type="dxa"/>
              <w:right w:w="110" w:type="dxa"/>
            </w:tcMar>
          </w:tcPr>
          <w:p w14:paraId="66270BAE">
            <w:pPr>
              <w:spacing w:line="280"/>
            </w:pPr>
            <w:r>
              <w:rPr>
                <w:rFonts w:ascii="Times New Roman" w:hAnsi="Times New Roman" w:eastAsia="Times New Roman" w:cs="Times New Roman"/>
                <w:sz w:val="23"/>
                <w:szCs w:val="23"/>
              </w:rPr>
              <w:t>0.0047</w:t>
            </w:r>
          </w:p>
        </w:tc>
        <w:tc>
          <w:tcPr>
            <w:tcW w:w="1713" w:type="dxa"/>
            <w:tcBorders>
              <w:top w:val="single" w:sz="4" w:color="888888"/>
              <w:left w:val="single" w:sz="4" w:color="888888"/>
              <w:bottom w:val="single" w:sz="4" w:color="888888"/>
              <w:right w:val="single" w:sz="4" w:color="888888"/>
            </w:tcBorders>
            <w:tcMar>
              <w:top w:w="80" w:type="dxa"/>
              <w:left w:w="110" w:type="dxa"/>
              <w:bottom w:w="80" w:type="dxa"/>
              <w:right w:w="110" w:type="dxa"/>
            </w:tcMar>
          </w:tcPr>
          <w:p w14:paraId="335D75D2">
            <w:pPr>
              <w:spacing w:line="280"/>
            </w:pPr>
            <w:r>
              <w:rPr>
                <w:rFonts w:ascii="Times New Roman" w:hAnsi="Times New Roman" w:eastAsia="Times New Roman" w:cs="Times New Roman"/>
                <w:sz w:val="23"/>
                <w:szCs w:val="23"/>
              </w:rPr>
              <w:t>0.005</w:t>
            </w:r>
          </w:p>
        </w:tc>
      </w:tr>
      <w:tr>
        <w:tc>
          <w:tcPr>
            <w:tcW w:w="2800" w:type="dxa"/>
            <w:tcBorders>
              <w:top w:val="single" w:sz="4" w:color="888888"/>
              <w:left w:val="single" w:sz="4" w:color="888888"/>
              <w:bottom w:val="single" w:sz="4" w:color="888888"/>
              <w:right w:val="single" w:sz="4" w:color="888888"/>
            </w:tcBorders>
            <w:tcMar>
              <w:top w:w="80" w:type="dxa"/>
              <w:left w:w="110" w:type="dxa"/>
              <w:bottom w:w="80" w:type="dxa"/>
              <w:right w:w="110" w:type="dxa"/>
            </w:tcMar>
          </w:tcPr>
          <w:p w14:paraId="14595829">
            <w:pPr>
              <w:spacing w:line="280"/>
            </w:pPr>
            <w:r>
              <w:rPr>
                <w:rFonts w:ascii="Times New Roman" w:hAnsi="Times New Roman" w:eastAsia="Times New Roman" w:cs="Times New Roman"/>
                <w:sz w:val="23"/>
                <w:szCs w:val="23"/>
              </w:rPr>
              <w:t>β</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vertAlign w:val="superscript"/>
              </w:rPr>
              <w:t>1.60</w:t>
            </w:r>
            <w:r>
              <w:rPr>
                <w:rFonts w:ascii="Times New Roman" w:hAnsi="Times New Roman" w:eastAsia="Times New Roman" w:cs="Times New Roman"/>
                <w:sz w:val="23"/>
                <w:szCs w:val="23"/>
              </w:rPr>
              <w:t xml:space="preserve"> (Run B)</w:t>
            </w:r>
          </w:p>
        </w:tc>
        <w:tc>
          <w:tcPr>
            <w:tcW w:w="2800" w:type="dxa"/>
            <w:tcBorders>
              <w:top w:val="single" w:sz="4" w:color="888888"/>
              <w:left w:val="single" w:sz="4" w:color="888888"/>
              <w:bottom w:val="single" w:sz="4" w:color="888888"/>
              <w:right w:val="single" w:sz="4" w:color="888888"/>
            </w:tcBorders>
            <w:tcMar>
              <w:top w:w="80" w:type="dxa"/>
              <w:left w:w="110" w:type="dxa"/>
              <w:bottom w:w="80" w:type="dxa"/>
              <w:right w:w="110" w:type="dxa"/>
            </w:tcMar>
          </w:tcPr>
          <w:p w14:paraId="4A15B48A">
            <w:pPr>
              <w:spacing w:line="280"/>
            </w:pPr>
            <w:r>
              <w:rPr>
                <w:rFonts w:ascii="Times New Roman" w:hAnsi="Times New Roman" w:eastAsia="Times New Roman" w:cs="Times New Roman"/>
                <w:sz w:val="23"/>
                <w:szCs w:val="23"/>
              </w:rPr>
              <w:t>0.0000122 to 0.000845</w:t>
            </w:r>
          </w:p>
        </w:tc>
        <w:tc>
          <w:tcPr>
            <w:tcW w:w="1713" w:type="dxa"/>
            <w:tcBorders>
              <w:top w:val="single" w:sz="4" w:color="888888"/>
              <w:left w:val="single" w:sz="4" w:color="888888"/>
              <w:bottom w:val="single" w:sz="4" w:color="888888"/>
              <w:right w:val="single" w:sz="4" w:color="888888"/>
            </w:tcBorders>
            <w:tcMar>
              <w:top w:w="80" w:type="dxa"/>
              <w:left w:w="110" w:type="dxa"/>
              <w:bottom w:w="80" w:type="dxa"/>
              <w:right w:w="110" w:type="dxa"/>
            </w:tcMar>
          </w:tcPr>
          <w:p w14:paraId="46713966">
            <w:pPr>
              <w:spacing w:line="280"/>
            </w:pPr>
            <w:r>
              <w:rPr>
                <w:rFonts w:ascii="Times New Roman" w:hAnsi="Times New Roman" w:eastAsia="Times New Roman" w:cs="Times New Roman"/>
                <w:sz w:val="23"/>
                <w:szCs w:val="23"/>
              </w:rPr>
              <w:t>0.761</w:t>
            </w:r>
          </w:p>
        </w:tc>
        <w:tc>
          <w:tcPr>
            <w:tcW w:w="1713" w:type="dxa"/>
            <w:tcBorders>
              <w:top w:val="single" w:sz="4" w:color="888888"/>
              <w:left w:val="single" w:sz="4" w:color="888888"/>
              <w:bottom w:val="single" w:sz="4" w:color="888888"/>
              <w:right w:val="single" w:sz="4" w:color="888888"/>
            </w:tcBorders>
            <w:tcMar>
              <w:top w:w="80" w:type="dxa"/>
              <w:left w:w="110" w:type="dxa"/>
              <w:bottom w:w="80" w:type="dxa"/>
              <w:right w:w="110" w:type="dxa"/>
            </w:tcMar>
          </w:tcPr>
          <w:p w14:paraId="35AB664C">
            <w:pPr>
              <w:spacing w:line="280"/>
            </w:pPr>
            <w:r>
              <w:rPr>
                <w:rFonts w:ascii="Times New Roman" w:hAnsi="Times New Roman" w:eastAsia="Times New Roman" w:cs="Times New Roman"/>
                <w:sz w:val="23"/>
                <w:szCs w:val="23"/>
              </w:rPr>
              <w:t>3.18</w:t>
            </w:r>
          </w:p>
        </w:tc>
      </w:tr>
    </w:tbl>
    <w:p w14:paraId="1ABA1135">
      <w:pPr>
        <w:spacing w:after="100"/>
      </w:pPr>
    </w:p>
    <w:p w14:paraId="3B7DD89D">
      <w:pPr>
        <w:spacing w:after="140" w:line="300"/>
      </w:pPr>
      <w:r>
        <w:rPr>
          <w:rFonts w:ascii="Times New Roman" w:hAnsi="Times New Roman" w:eastAsia="Times New Roman" w:cs="Times New Roman"/>
          <w:sz w:val="23"/>
          <w:szCs w:val="23"/>
        </w:rPr>
        <w:t>SNR is ᾱ</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rPr>
        <w:t xml:space="preserve"> / (1 − ᾱ</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rPr>
        <w:t>), the ratio of signal to noise in z</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rPr>
        <w:t xml:space="preserve"> = √ᾱ</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rPr>
        <w:t xml:space="preserve"> · x + √(1 − ᾱ</w:t>
      </w:r>
      <w:r>
        <w:rPr>
          <w:rFonts w:ascii="Times New Roman" w:hAnsi="Times New Roman" w:eastAsia="Times New Roman" w:cs="Times New Roman"/>
          <w:sz w:val="23"/>
          <w:szCs w:val="23"/>
          <w:vertAlign w:val="subscript"/>
        </w:rPr>
        <w:t>t</w:t>
      </w:r>
      <w:r>
        <w:rPr>
          <w:rFonts w:ascii="Times New Roman" w:hAnsi="Times New Roman" w:eastAsia="Times New Roman" w:cs="Times New Roman"/>
          <w:sz w:val="23"/>
          <w:szCs w:val="23"/>
        </w:rPr>
        <w:t>) · ε.</w:t>
      </w:r>
    </w:p>
    <w:sectPr>
      <w:pgSz w:w="11906" w:h="16838"/>
      <w:pgMar w:top="1440" w:right="1440" w:bottom="1440" w:left="144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864"/>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85zdkr-sqw21-ofeel4l" Type="http://schemas.openxmlformats.org/officeDocument/2006/relationships/hyperlink" Target="https://arxiv.org/abs/2211.09800" TargetMode="External"/><Relationship Id="rIdexmz_xj_4tyu6vtrpiqt-" Type="http://schemas.openxmlformats.org/officeDocument/2006/relationships/hyperlink" Target="https://github.com/timothybrooks/instruct-pix2pix" TargetMode="External"/><Relationship Id="rIdxybla5g3ddffmahw82p0e" Type="http://schemas.openxmlformats.org/officeDocument/2006/relationships/hyperlink" Target="https://github.com/timothybrooks/instruct-pix2pix/blob/0dffd1eeb02611c35088462d1df88714ce2b52f4/README.md#L73" TargetMode="External"/><Relationship Id="rIdeefpvogusto4ov2z4wg8g" Type="http://schemas.openxmlformats.org/officeDocument/2006/relationships/hyperlink" Target="http://weegee.vision.ucmerced.edu/datasets/landuse.html" TargetMode="External"/><Relationship Id="rIduwb6mhhbao_lfzbcivoxu" Type="http://schemas.openxmlformats.org/officeDocument/2006/relationships/hyperlink" Target="https://www.tensorflow.org/datasets/catalog/uc_merced" TargetMode="External"/><Relationship Id="rIdbb2jfugx51tutyw4frocc" Type="http://schemas.openxmlformats.org/officeDocument/2006/relationships/hyperlink" Target="https://github.com/timothybrooks/instruct-pix2pix/blob/0dffd1eeb02611c35088462d1df88714ce2b52f4/README.md#L55" TargetMode="External"/><Relationship Id="rIdd4mczp9jpa5sfr3yrnhec" Type="http://schemas.openxmlformats.org/officeDocument/2006/relationships/hyperlink" Target="https://github.com/timothybrooks/instruct-pix2pix/blob/0dffd1eeb02611c35088462d1df88714ce2b52f4/README.md#L90" TargetMode="External"/><Relationship Id="rIdxa6hhvgrdjpfthy3f7aaw" Type="http://schemas.openxmlformats.org/officeDocument/2006/relationships/hyperlink" Target="https://github.com/timothybrooks/instruct-pix2pix/blob/0dffd1eeb02611c35088462d1df88714ce2b52f4/README.md#L100" TargetMode="External"/><Relationship Id="rIdxu_lxvz-i-z-qxaoi71re" Type="http://schemas.openxmlformats.org/officeDocument/2006/relationships/hyperlink" Target="https://github.com/timothybrooks/instruct-pix2pix/blob/0dffd1eeb02611c35088462d1df88714ce2b52f4/configs/train.yaml#L9-L13" TargetMode="External"/><Relationship Id="rIdrcynormryz1ywrjpl3bra" Type="http://schemas.openxmlformats.org/officeDocument/2006/relationships/hyperlink" Target="https://github.com/timothybrooks/instruct-pix2pix/blob/0dffd1eeb02611c35088462d1df88714ce2b52f4/stable_diffusion/ldm/modules/diffusionmodules/util.py#L23-L25" TargetMode="External"/><Relationship Id="rId50r6w9geflsz8obdzvjqc" Type="http://schemas.openxmlformats.org/officeDocument/2006/relationships/hyperlink" Target="https://github.com/timothybrooks/instruct-pix2pix/blob/0dffd1eeb02611c35088462d1df88714ce2b52f4/stable_diffusion/ldm/models/diffusion/ddpm.py#L124-L125" TargetMode="External"/><Relationship Id="rId18" Type="http://schemas.openxmlformats.org/officeDocument/2006/relationships/fontTable" Target="fontTable.xml"/><Relationship Id="rIdAdded1" Type="http://schemas.openxmlformats.org/officeDocument/2006/relationships/hyperlink" Target="https://huggingface.co/timbrooks/instruct-pix2pix" TargetMode="External"/><Relationship Id="rIdAdded2" Type="http://schemas.openxmlformats.org/officeDocument/2006/relationships/hyperlink" Target="https://huggingface.co/timbrooks/instruct-pix2pix/blob/main/scheduler/scheduler_config.json" TargetMode="External"/><Relationship Id="rIdAdded3" Type="http://schemas.openxmlformats.org/officeDocument/2006/relationships/hyperlink" Target="https://huggingface.co/datasets/blanchon/UC_Merced" TargetMode="External"/><Relationship Id="rIdMirrorHF" Type="http://schemas.openxmlformats.org/officeDocument/2006/relationships/hyperlink" Target="https://huggingface.co/datasets/blanchon/UC_Merced" TargetMode="External"/><Relationship Id="rIdMirrorTFDS" Type="http://schemas.openxmlformats.org/officeDocument/2006/relationships/hyperlink" Target="https://www.tensorflow.org/datasets/catalog/uc_merced"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2026-10-06T18:33:41.679Z</dcterms:created>
  <dcterms:modified xsi:type="dcterms:W3CDTF">2026-10-07T18:35:24.696Z</dcterms:modified>
</cp:coreProperties>
</file>

<file path=docProps/custom.xml><?xml version="1.0" encoding="utf-8"?>
<Properties xmlns="http://schemas.openxmlformats.org/officeDocument/2006/custom-properties" xmlns:vt="http://schemas.openxmlformats.org/officeDocument/2006/docPropsVTypes"/>
</file>