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Bookman Old Style" w:cs="Bookman Old Style" w:eastAsia="Bookman Old Style" w:hAnsi="Bookman Old Style"/>
          <w:b/>
          <w:bCs/>
          <w:sz w:val="40"/>
          <w:szCs w:val="40"/>
        </w:rPr>
        <w:t xml:space="preserve">WEEK 2 REPORT</w:t>
      </w:r>
    </w:p>
    <w:p>
      <w:pPr>
        <w:spacing w:after="80"/>
        <w:jc w:val="center"/>
      </w:pPr>
      <w:r>
        <w:rPr>
          <w:rFonts w:ascii="Bookman Old Style" w:cs="Bookman Old Style" w:eastAsia="Bookman Old Style" w:hAnsi="Bookman Old Style"/>
          <w:b/>
          <w:bCs/>
          <w:sz w:val="40"/>
          <w:szCs w:val="40"/>
        </w:rPr>
        <w:t xml:space="preserve">Superstore Sales: Data Modeling, DAX &amp; Sales Dashboard</w:t>
      </w:r>
    </w:p>
    <w:p>
      <w:pPr>
        <w:spacing w:after="700"/>
        <w:jc w:val="center"/>
      </w:pPr>
      <w:r>
        <w:rPr>
          <w:rFonts w:ascii="Bookman Old Style" w:cs="Bookman Old Style" w:eastAsia="Bookman Old Style" w:hAnsi="Bookman Old Style"/>
          <w:i/>
          <w:iCs/>
          <w:sz w:val="40"/>
          <w:szCs w:val="40"/>
        </w:rPr>
        <w:t xml:space="preserve">(Power BI Desktop)</w:t>
      </w:r>
    </w:p>
    <w:p>
      <w:pPr>
        <w:pBdr>
          <w:top w:val="single" w:color="000000" w:sz="4" w:space="0"/>
        </w:pBdr>
        <w:spacing w:before="300"/>
      </w:pPr>
    </w:p>
    <w:p>
      <w:pPr>
        <w:spacing w:after="80" w:before="500"/>
        <w:jc w:val="center"/>
      </w:pPr>
      <w:r>
        <w:rPr>
          <w:rFonts w:ascii="Bookman Old Style" w:cs="Bookman Old Style" w:eastAsia="Bookman Old Style" w:hAnsi="Bookman Old Style"/>
          <w:sz w:val="36"/>
          <w:szCs w:val="36"/>
        </w:rPr>
        <w:t xml:space="preserve">Submitted by</w:t>
      </w:r>
    </w:p>
    <w:p>
      <w:pPr>
        <w:spacing w:after="80"/>
        <w:jc w:val="center"/>
      </w:pPr>
      <w:r>
        <w:rPr>
          <w:rFonts w:ascii="Bookman Old Style" w:cs="Bookman Old Style" w:eastAsia="Bookman Old Style" w:hAnsi="Bookman Old Style"/>
          <w:b/>
          <w:bCs/>
          <w:sz w:val="36"/>
          <w:szCs w:val="36"/>
        </w:rPr>
        <w:t xml:space="preserve">Preethi Pal D</w:t>
      </w:r>
    </w:p>
    <w:p>
      <w:pPr>
        <w:spacing w:after="80"/>
        <w:jc w:val="center"/>
      </w:pPr>
      <w:r>
        <w:rPr>
          <w:rFonts w:ascii="Bookman Old Style" w:cs="Bookman Old Style" w:eastAsia="Bookman Old Style" w:hAnsi="Bookman Old Style"/>
          <w:sz w:val="36"/>
          <w:szCs w:val="36"/>
        </w:rPr>
        <w:t xml:space="preserve">Roll No: E25DA046</w:t>
      </w:r>
    </w:p>
    <w:p>
      <w:pPr>
        <w:spacing w:after="80"/>
        <w:jc w:val="center"/>
      </w:pPr>
      <w:r>
        <w:rPr>
          <w:rFonts w:ascii="Bookman Old Style" w:cs="Bookman Old Style" w:eastAsia="Bookman Old Style" w:hAnsi="Bookman Old Style"/>
          <w:sz w:val="36"/>
          <w:szCs w:val="36"/>
        </w:rPr>
        <w:t xml:space="preserve">Department name: Bsc Data Science And AI</w:t>
      </w:r>
    </w:p>
    <w:p>
      <w:pPr>
        <w:pageBreakBefore/>
      </w:pPr>
      <w:r>
        <w:br/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Establish table relationships and build a clean star-schema data model.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Write the foundational DAX measures: Total Sales, Total Profit, Total Orders, Total Quantity, Average Sales, and Profit Margin 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Construct visual layouts using KPI cards, stacked bar charts, line charts, and a decomposition tree.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Configure slicers, cross-filtering, interactive tooltips, and drill-down paths.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Problem Statement</w:t>
      </w:r>
    </w:p>
    <w:p>
      <w:pPr>
        <w:spacing w:after="120"/>
      </w:pPr>
      <w:r>
        <w:rPr>
          <w:rFonts w:ascii="Calibri" w:cs="Calibri" w:eastAsia="Calibri" w:hAnsi="Calibri"/>
          <w:sz w:val="28"/>
          <w:szCs w:val="28"/>
        </w:rPr>
        <w:t xml:space="preserve">Management wants an interactive dashboard to monitor sales, profit, orders, and customers, along with how each region is performing, without having to dig through raw spreadsheets every time a question comes up.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Setting Up the Measures Table</w:t>
      </w:r>
    </w:p>
    <w:p>
      <w:pPr>
        <w:spacing w:after="120"/>
      </w:pPr>
      <w:r>
        <w:rPr>
          <w:rFonts w:ascii="Calibri" w:cs="Calibri" w:eastAsia="Calibri" w:hAnsi="Calibri"/>
          <w:sz w:val="28"/>
          <w:szCs w:val="28"/>
        </w:rPr>
        <w:t xml:space="preserve">Before writing any DAX, a dedicated table named _Measures was created. It holds no raw data of its own — it simply gives every calculation a clean, separate home, so the field list does not turn into a mess of measures scattered across different data tables.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Writing the DAX Measures</w:t>
      </w:r>
    </w:p>
    <w:p>
      <w:pPr>
        <w:spacing w:after="120"/>
      </w:pPr>
      <w:r>
        <w:rPr>
          <w:rFonts w:ascii="Calibri" w:cs="Calibri" w:eastAsia="Calibri" w:hAnsi="Calibri"/>
          <w:sz w:val="28"/>
          <w:szCs w:val="28"/>
        </w:rPr>
        <w:t xml:space="preserve">Inside the _Measures table, the first measure was written using the New measure button: Total Sales = SUM(samplesuperstore[Sales]). The same pattern was then repeated for Total Profit, Total Orders, Total Quantity, Average Sales, and Profit Margin %, each one built with simple, well-named DAX so they could be reused across every card and chart in the report.</w:t>
      </w:r>
    </w:p>
    <w:p>
      <w:pPr>
        <w:spacing w:after="0" w:before="120"/>
        <w:jc w:val="center"/>
      </w:pPr>
      <w:r>
        <w:drawing>
          <wp:inline distT="0" distB="0" distL="0" distR="0">
            <wp:extent cx="4000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Writing the Total Sales measure in the formula bar, inside the _Measures table.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Adding the KPI Cards</w:t>
      </w:r>
    </w:p>
    <w:p>
      <w:pPr>
        <w:spacing w:after="120"/>
      </w:pPr>
      <w:r>
        <w:rPr>
          <w:rFonts w:ascii="Calibri" w:cs="Calibri" w:eastAsia="Calibri" w:hAnsi="Calibri"/>
          <w:sz w:val="28"/>
          <w:szCs w:val="28"/>
        </w:rPr>
        <w:t xml:space="preserve">With the canvas still empty, the first four KPI cards were placed at the top of the report: Total Profit, Total Sales, Total Orders, and Profit Margin. These are the numbers a manager would want to see first, before looking into anything else.</w:t>
      </w:r>
    </w:p>
    <w:p>
      <w:pPr>
        <w:spacing w:after="0" w:before="120"/>
        <w:jc w:val="center"/>
      </w:pPr>
      <w:r>
        <w:drawing>
          <wp:inline distT="0" distB="0" distL="0" distR="0">
            <wp:extent cx="4000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Blank canvas with the first KPI cards placed and the visualization pane open.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Adding the Sub-Category Breakdown</w:t>
      </w:r>
    </w:p>
    <w:p>
      <w:pPr>
        <w:spacing w:after="120"/>
      </w:pPr>
      <w:r>
        <w:rPr>
          <w:rFonts w:ascii="Calibri" w:cs="Calibri" w:eastAsia="Calibri" w:hAnsi="Calibri"/>
          <w:sz w:val="28"/>
          <w:szCs w:val="28"/>
        </w:rPr>
        <w:t xml:space="preserve">A horizontal bar chart showing Total Sales by Sub-Category was added next. Sorting it made it immediately clear which product lines, such as Chairs, Phones, and Storage, were contributing the most to sales.</w:t>
      </w:r>
    </w:p>
    <w:p>
      <w:pPr>
        <w:spacing w:after="0" w:before="120"/>
        <w:jc w:val="center"/>
      </w:pPr>
      <w:r>
        <w:drawing>
          <wp:inline distT="0" distB="0" distL="0" distR="0">
            <wp:extent cx="40005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Total Sales by Sub-Category bar chart added below the KPI cards.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Tracking Sales Over Time</w:t>
      </w:r>
    </w:p>
    <w:p>
      <w:pPr>
        <w:spacing w:after="120"/>
      </w:pPr>
      <w:r>
        <w:rPr>
          <w:rFonts w:ascii="Calibri" w:cs="Calibri" w:eastAsia="Calibri" w:hAnsi="Calibri"/>
          <w:sz w:val="28"/>
          <w:szCs w:val="28"/>
        </w:rPr>
        <w:t xml:space="preserve">A line chart plotting Total Sales by Year was added to show the overall trend. This makes it easy to see, at a glance, whether the business is growing year over year.</w:t>
      </w:r>
    </w:p>
    <w:p>
      <w:pPr>
        <w:spacing w:after="0" w:before="120"/>
        <w:jc w:val="center"/>
      </w:pPr>
      <w:r>
        <w:drawing>
          <wp:inline distT="0" distB="0" distL="0" distR="0">
            <wp:extent cx="40005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Total Sales by Year line chart added alongside the sub-category breakdown.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 Building the Decomposition Tree</w:t>
      </w:r>
    </w:p>
    <w:p>
      <w:pPr>
        <w:spacing w:after="120"/>
      </w:pPr>
      <w:r>
        <w:rPr>
          <w:rFonts w:ascii="Calibri" w:cs="Calibri" w:eastAsia="Calibri" w:hAnsi="Calibri"/>
          <w:sz w:val="28"/>
          <w:szCs w:val="28"/>
        </w:rPr>
        <w:t xml:space="preserve">A decomposition tree on Total Profit was added, allowing anyone viewing the report to explore profit by Category and Region on their own, without needing a separate chart for every possible breakdown.</w:t>
      </w:r>
    </w:p>
    <w:p>
      <w:pPr>
        <w:spacing w:after="0" w:before="120"/>
        <w:jc w:val="center"/>
      </w:pPr>
      <w:r>
        <w:drawing>
          <wp:inline distT="0" distB="0" distL="0" distR="0">
            <wp:extent cx="40005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Decomposition tree added, ready to explore Total Profit by Category and Region.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 Adding a Region Slicer</w:t>
      </w:r>
    </w:p>
    <w:p>
      <w:pPr>
        <w:spacing w:after="120"/>
      </w:pPr>
      <w:r>
        <w:rPr>
          <w:rFonts w:ascii="Calibri" w:cs="Calibri" w:eastAsia="Calibri" w:hAnsi="Calibri"/>
          <w:sz w:val="28"/>
          <w:szCs w:val="28"/>
        </w:rPr>
        <w:t xml:space="preserve">A checkbox slicer for Region (Central, East, South, West) was added in the top-right corner, so the whole page can be filtered by region without digging through menus.</w:t>
      </w:r>
    </w:p>
    <w:p>
      <w:pPr>
        <w:spacing w:after="0" w:before="120"/>
        <w:jc w:val="center"/>
      </w:pPr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Region slicer added; the KPI cards and charts now update together.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 Adding a Date Range Slicer</w:t>
      </w:r>
    </w:p>
    <w:p>
      <w:pPr>
        <w:spacing w:after="120"/>
      </w:pPr>
      <w:r>
        <w:rPr>
          <w:rFonts w:ascii="Calibri" w:cs="Calibri" w:eastAsia="Calibri" w:hAnsi="Calibri"/>
          <w:sz w:val="28"/>
          <w:szCs w:val="28"/>
        </w:rPr>
        <w:t xml:space="preserve">An Order Date range slicer with a draggable timeline was added next to the region slicer, making it easy to zoom into a specific period, such as a single quarter, without altering the underlying data.</w:t>
      </w:r>
    </w:p>
    <w:p>
      <w:pPr>
        <w:spacing w:after="0" w:before="120"/>
        <w:jc w:val="center"/>
      </w:pPr>
      <w:r>
        <w:drawing>
          <wp:inline distT="0" distB="0" distL="0" distR="0">
            <wp:extent cx="4000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Order Date slicer added, giving the report a full date-range filter.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 Testing the Interactivity</w:t>
      </w:r>
    </w:p>
    <w:p>
      <w:pPr>
        <w:spacing w:after="120"/>
      </w:pPr>
      <w:r>
        <w:rPr>
          <w:rFonts w:ascii="Calibri" w:cs="Calibri" w:eastAsia="Calibri" w:hAnsi="Calibri"/>
          <w:sz w:val="28"/>
          <w:szCs w:val="28"/>
        </w:rPr>
        <w:t xml:space="preserve">The decomposition tree was clicked through — Technology, then East — and the whole page responded together: KPI cards, the bar chart, and the line chart all filtered at once. This confirmed that the data model and relationships were working correctly, not just the visuals themselves.</w:t>
      </w:r>
    </w:p>
    <w:p>
      <w:pPr>
        <w:spacing w:after="0" w:before="120"/>
        <w:jc w:val="center"/>
      </w:pPr>
      <w:r>
        <w:drawing>
          <wp:inline distT="0" distB="0" distL="0" distR="0">
            <wp:extent cx="40005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Dashboard filtered live through the decomposition tree (Technology → East).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10. Bringing It All Together</w:t>
      </w:r>
    </w:p>
    <w:p>
      <w:pPr>
        <w:spacing w:after="120"/>
      </w:pPr>
      <w:r>
        <w:rPr>
          <w:rFonts w:ascii="Calibri" w:cs="Calibri" w:eastAsia="Calibri" w:hAnsi="Calibri"/>
          <w:sz w:val="28"/>
          <w:szCs w:val="28"/>
        </w:rPr>
        <w:t xml:space="preserve">Finally, the layout was reviewed as a whole: KPI cards across the top, the sales trend and region slicer beside them, and the sub-category breakdown and decomposition tree filling out the bottom. This is the finished version, ready to be handed off.</w:t>
      </w:r>
    </w:p>
    <w:p>
      <w:pPr>
        <w:spacing w:after="0" w:before="120"/>
        <w:jc w:val="center"/>
      </w:pPr>
      <w:r>
        <w:drawing>
          <wp:inline distT="0" distB="0" distL="0" distR="0">
            <wp:extent cx="4000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The completed Week 2 dashboard, with all visuals working together.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Summary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Built a dedicated DAX measure table (_Measures) and wrote the core measures, starting with Total Sales.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Created a top-line executive summary bar with Total Profit, Total Sales, Total Orders, and Profit Margin KPI cards.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Added category and regional profitability breakdowns, including a working decomposition tree.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Configured Region and Order Date slicers for interactive filtering.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Delivered a fully interactive Superstore Sales Dashboard with cross-filtering and drill-down.</w:t>
      </w:r>
    </w:p>
    <w:sectPr>
      <w:pgSz w:w="12240" w:h="15840" w:orient="portrait"/>
      <w:pgMar w:top="1080" w:right="1400" w:bottom="108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7c12f0838ba40cda18ee2472340edec94086b8.png"/><Relationship Id="rId8" Type="http://schemas.openxmlformats.org/officeDocument/2006/relationships/image" Target="media/2976b421d646d643737d3be3ddcc6a8b074aa27b.png"/><Relationship Id="rId9" Type="http://schemas.openxmlformats.org/officeDocument/2006/relationships/image" Target="media/79b9a0ec2ba46e6ba9cb77eb3105fbc37572ab33.png"/><Relationship Id="rId10" Type="http://schemas.openxmlformats.org/officeDocument/2006/relationships/image" Target="media/f3f902c0406f5a16c80528b5323cd353c43d05ae.png"/><Relationship Id="rId11" Type="http://schemas.openxmlformats.org/officeDocument/2006/relationships/image" Target="media/a8d39eae0c107f648f53e3a1744cb5abab69b38e.png"/><Relationship Id="rId12" Type="http://schemas.openxmlformats.org/officeDocument/2006/relationships/image" Target="media/00f9c83e4112d1d443bcd243b0a28b5f5dc4b8cd.png"/><Relationship Id="rId13" Type="http://schemas.openxmlformats.org/officeDocument/2006/relationships/image" Target="media/d0e6058f942e733c452400d249365909cc862c7e.png"/><Relationship Id="rId14" Type="http://schemas.openxmlformats.org/officeDocument/2006/relationships/image" Target="media/5e06529f88b9330656fd4765f06a70435c9964e2.png"/><Relationship Id="rId15" Type="http://schemas.openxmlformats.org/officeDocument/2006/relationships/image" Target="media/6857f72d3b3946dafd801178973b9140aa24566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2026-09-10T02:49:03.128Z</dcterms:created>
  <dcterms:modified xsi:type="dcterms:W3CDTF">2026-09-10T02:49:03.140Z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