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05155" w14:textId="100D024C" w:rsidR="00D67A80" w:rsidRPr="00D67A80" w:rsidRDefault="003203E4" w:rsidP="00D67A80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6"/>
          <w:szCs w:val="36"/>
          <w14:ligatures w14:val="none"/>
        </w:rPr>
      </w:pPr>
      <w:r w:rsidRPr="003203E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Capstone Project “</w:t>
      </w:r>
      <w:r w:rsidRPr="003203E4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6"/>
          <w:szCs w:val="36"/>
          <w14:ligatures w14:val="none"/>
        </w:rPr>
        <w:t>Exploring Global COVID-19 Trends and Predicting New Cases in the USA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6"/>
          <w:szCs w:val="36"/>
          <w14:ligatures w14:val="none"/>
        </w:rPr>
        <w:t xml:space="preserve">” Report </w:t>
      </w:r>
    </w:p>
    <w:p w14:paraId="78A2C52F" w14:textId="77777777" w:rsidR="003203E4" w:rsidRDefault="003203E4" w:rsidP="003203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20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Introduction</w:t>
      </w:r>
    </w:p>
    <w:p w14:paraId="527FB3B2" w14:textId="01119FC8" w:rsidR="003203E4" w:rsidRDefault="003203E4" w:rsidP="003203E4">
      <w:pPr>
        <w:pStyle w:val="NormalWeb"/>
      </w:pPr>
      <w:r>
        <w:t>The COVID-19 pandemic has profoundly impacted public health and the economy, necessitating forecasting and risk prediction models to help decision-making. Accurate forecasting of COVID-19 cases can assist policymakers, healthcare professionals, and researchers in optimizing resource allocation, implementing timely interventions, and mitigating the spread of the virus.</w:t>
      </w:r>
    </w:p>
    <w:p w14:paraId="081D9573" w14:textId="77777777" w:rsidR="003203E4" w:rsidRDefault="003203E4" w:rsidP="003203E4">
      <w:pPr>
        <w:pStyle w:val="NormalWeb"/>
      </w:pPr>
      <w:r>
        <w:rPr>
          <w:rStyle w:val="Strong"/>
          <w:rFonts w:eastAsiaTheme="majorEastAsia"/>
        </w:rPr>
        <w:t>Goal:</w:t>
      </w:r>
      <w:r>
        <w:t xml:space="preserve"> The primary goal of this project is to explore the COVID-19 trends around the globe and to develop a machine learning model to predict the daily new cases in the United States. This will involve:</w:t>
      </w:r>
    </w:p>
    <w:p w14:paraId="71FB11D3" w14:textId="3F56D9E3" w:rsidR="003203E4" w:rsidRDefault="003203E4" w:rsidP="003203E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Time Series Forecasting: predicting the daily number of new cases over the next few months.</w:t>
      </w:r>
    </w:p>
    <w:p w14:paraId="3B607FAF" w14:textId="77777777" w:rsidR="003203E4" w:rsidRDefault="003203E4" w:rsidP="003203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20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Data Overview</w:t>
      </w:r>
    </w:p>
    <w:p w14:paraId="000F1E4A" w14:textId="77777777" w:rsidR="003203E4" w:rsidRPr="003203E4" w:rsidRDefault="003203E4" w:rsidP="00320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03E4">
        <w:rPr>
          <w:rFonts w:ascii="Times New Roman" w:eastAsia="Times New Roman" w:hAnsi="Times New Roman" w:cs="Times New Roman"/>
          <w:kern w:val="0"/>
          <w14:ligatures w14:val="none"/>
        </w:rPr>
        <w:t>Dataset: WHO COVID-19 dataset</w:t>
      </w:r>
    </w:p>
    <w:p w14:paraId="5F09BBD2" w14:textId="77777777" w:rsidR="003203E4" w:rsidRPr="003203E4" w:rsidRDefault="003203E4" w:rsidP="00320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03E4">
        <w:rPr>
          <w:rFonts w:ascii="Times New Roman" w:eastAsia="Times New Roman" w:hAnsi="Times New Roman" w:cs="Times New Roman"/>
          <w:kern w:val="0"/>
          <w14:ligatures w14:val="none"/>
        </w:rPr>
        <w:t>Time Period: Covers cases from early 2020 to 2023</w:t>
      </w:r>
    </w:p>
    <w:p w14:paraId="13775750" w14:textId="27440598" w:rsidR="003203E4" w:rsidRDefault="003203E4" w:rsidP="00320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03E4">
        <w:rPr>
          <w:rFonts w:ascii="Times New Roman" w:eastAsia="Times New Roman" w:hAnsi="Times New Roman" w:cs="Times New Roman"/>
          <w:kern w:val="0"/>
          <w14:ligatures w14:val="none"/>
        </w:rPr>
        <w:t xml:space="preserve">Target Variable: New COVID-19 cases reported </w:t>
      </w:r>
      <w:r>
        <w:rPr>
          <w:rFonts w:ascii="Times New Roman" w:eastAsia="Times New Roman" w:hAnsi="Times New Roman" w:cs="Times New Roman"/>
          <w:kern w:val="0"/>
          <w14:ligatures w14:val="none"/>
        </w:rPr>
        <w:t>daily</w:t>
      </w:r>
    </w:p>
    <w:p w14:paraId="034D4205" w14:textId="556F1784" w:rsidR="003203E4" w:rsidRPr="003203E4" w:rsidRDefault="003203E4" w:rsidP="00320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Data Size: </w:t>
      </w:r>
      <w:r>
        <w:t>It consists of 57,840 entries and 8 columns.</w:t>
      </w:r>
    </w:p>
    <w:p w14:paraId="645D4804" w14:textId="77975D4D" w:rsidR="003203E4" w:rsidRPr="003203E4" w:rsidRDefault="003203E4" w:rsidP="00320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03E4">
        <w:rPr>
          <w:rFonts w:ascii="Times New Roman" w:eastAsia="Times New Roman" w:hAnsi="Times New Roman" w:cs="Times New Roman"/>
          <w:kern w:val="0"/>
          <w14:ligatures w14:val="none"/>
        </w:rPr>
        <w:t>Data Preprocessing: Handled missing values, ensured stationarity and applied log transformation for stabilization</w:t>
      </w:r>
    </w:p>
    <w:p w14:paraId="69A0A4E1" w14:textId="77777777" w:rsidR="003203E4" w:rsidRDefault="003203E4" w:rsidP="003203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20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Methodology</w:t>
      </w:r>
    </w:p>
    <w:p w14:paraId="179863E1" w14:textId="6F6E380D" w:rsidR="00C44E8D" w:rsidRPr="00C44E8D" w:rsidRDefault="00C44E8D" w:rsidP="00C44E8D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  <w:r w:rsidRPr="00C44E8D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Exploratory Data Analysis (EDA)</w:t>
      </w:r>
    </w:p>
    <w:p w14:paraId="4C3C5EEB" w14:textId="4B9B1F14" w:rsidR="00C44E8D" w:rsidRPr="00C44E8D" w:rsidRDefault="00C44E8D" w:rsidP="00C44E8D">
      <w:pPr>
        <w:pStyle w:val="NormalWeb"/>
      </w:pPr>
      <w:r>
        <w:t xml:space="preserve">We used </w:t>
      </w:r>
      <w:r w:rsidRPr="00C44E8D">
        <w:t>EDA to understand the distribution and trends of COVID-19 cases and deaths across different regions</w:t>
      </w:r>
      <w:r>
        <w:t xml:space="preserve"> and countries</w:t>
      </w:r>
      <w:r w:rsidRPr="00C44E8D">
        <w:t xml:space="preserve">. </w:t>
      </w:r>
    </w:p>
    <w:p w14:paraId="7F6CF4BF" w14:textId="01481F7E" w:rsidR="00C44E8D" w:rsidRDefault="00C44E8D" w:rsidP="003203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Forecasting Models</w:t>
      </w:r>
    </w:p>
    <w:p w14:paraId="52E24D5D" w14:textId="1C1EFDD5" w:rsidR="003203E4" w:rsidRPr="003203E4" w:rsidRDefault="00C44E8D" w:rsidP="00320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We used t</w:t>
      </w:r>
      <w:r w:rsidR="003203E4" w:rsidRPr="003203E4">
        <w:rPr>
          <w:rFonts w:ascii="Times New Roman" w:eastAsia="Times New Roman" w:hAnsi="Times New Roman" w:cs="Times New Roman"/>
          <w:kern w:val="0"/>
          <w14:ligatures w14:val="none"/>
        </w:rPr>
        <w:t>wo</w:t>
      </w:r>
      <w:r w:rsidR="003203E4">
        <w:rPr>
          <w:rFonts w:ascii="Times New Roman" w:eastAsia="Times New Roman" w:hAnsi="Times New Roman" w:cs="Times New Roman"/>
          <w:kern w:val="0"/>
          <w14:ligatures w14:val="none"/>
        </w:rPr>
        <w:t>-</w:t>
      </w:r>
      <w:r w:rsidR="003203E4" w:rsidRPr="003203E4">
        <w:rPr>
          <w:rFonts w:ascii="Times New Roman" w:eastAsia="Times New Roman" w:hAnsi="Times New Roman" w:cs="Times New Roman"/>
          <w:kern w:val="0"/>
          <w14:ligatures w14:val="none"/>
        </w:rPr>
        <w:t>time series models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to predict the future COVID-19 cases in the USA.</w:t>
      </w:r>
    </w:p>
    <w:p w14:paraId="4EBECBC4" w14:textId="77777777" w:rsidR="003203E4" w:rsidRPr="003203E4" w:rsidRDefault="003203E4" w:rsidP="003203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0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ARIMA (</w:t>
      </w:r>
      <w:proofErr w:type="spellStart"/>
      <w:r w:rsidRPr="00320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AutoRegressive</w:t>
      </w:r>
      <w:proofErr w:type="spellEnd"/>
      <w:r w:rsidRPr="00320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Integrated Moving Average):</w:t>
      </w:r>
      <w:r w:rsidRPr="003203E4">
        <w:rPr>
          <w:rFonts w:ascii="Times New Roman" w:eastAsia="Times New Roman" w:hAnsi="Times New Roman" w:cs="Times New Roman"/>
          <w:kern w:val="0"/>
          <w14:ligatures w14:val="none"/>
        </w:rPr>
        <w:t xml:space="preserve"> A widely used model for non-seasonal time series forecasting.</w:t>
      </w:r>
    </w:p>
    <w:p w14:paraId="089BF606" w14:textId="77777777" w:rsidR="003203E4" w:rsidRPr="003203E4" w:rsidRDefault="003203E4" w:rsidP="003203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0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SARIMA (Seasonal ARIMA):</w:t>
      </w:r>
      <w:r w:rsidRPr="003203E4">
        <w:rPr>
          <w:rFonts w:ascii="Times New Roman" w:eastAsia="Times New Roman" w:hAnsi="Times New Roman" w:cs="Times New Roman"/>
          <w:kern w:val="0"/>
          <w14:ligatures w14:val="none"/>
        </w:rPr>
        <w:t xml:space="preserve"> An extension of ARIMA that accounts for seasonality in the data.</w:t>
      </w:r>
    </w:p>
    <w:p w14:paraId="541F7545" w14:textId="77777777" w:rsidR="00C44E8D" w:rsidRDefault="00C44E8D" w:rsidP="003203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239F328" w14:textId="6BFC9650" w:rsidR="003203E4" w:rsidRPr="003203E4" w:rsidRDefault="003203E4" w:rsidP="003203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20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4. Model Evaluation</w:t>
      </w:r>
    </w:p>
    <w:p w14:paraId="64324176" w14:textId="77777777" w:rsidR="003203E4" w:rsidRPr="003203E4" w:rsidRDefault="003203E4" w:rsidP="00320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03E4">
        <w:rPr>
          <w:rFonts w:ascii="Times New Roman" w:eastAsia="Times New Roman" w:hAnsi="Times New Roman" w:cs="Times New Roman"/>
          <w:kern w:val="0"/>
          <w14:ligatures w14:val="none"/>
        </w:rPr>
        <w:t>The following evaluation metrics were used:</w:t>
      </w:r>
    </w:p>
    <w:tbl>
      <w:tblPr>
        <w:tblW w:w="1010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8"/>
        <w:gridCol w:w="2065"/>
        <w:gridCol w:w="2080"/>
      </w:tblGrid>
      <w:tr w:rsidR="00C44E8D" w:rsidRPr="003203E4" w14:paraId="631DED26" w14:textId="77777777" w:rsidTr="00C44E8D">
        <w:trPr>
          <w:trHeight w:val="56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063656" w14:textId="77777777" w:rsidR="003203E4" w:rsidRPr="003203E4" w:rsidRDefault="003203E4" w:rsidP="00320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203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45F85B7" w14:textId="72A1E950" w:rsidR="003203E4" w:rsidRPr="003203E4" w:rsidRDefault="003203E4" w:rsidP="00320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203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ARIMA</w:t>
            </w:r>
            <w:r w:rsidR="00C44E8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F999CB7" w14:textId="21FA95E2" w:rsidR="003203E4" w:rsidRPr="003203E4" w:rsidRDefault="003203E4" w:rsidP="00320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203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SARIMA</w:t>
            </w:r>
            <w:r w:rsidR="00C44E8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</w:p>
        </w:tc>
      </w:tr>
      <w:tr w:rsidR="00C44E8D" w:rsidRPr="003203E4" w14:paraId="722C1541" w14:textId="77777777" w:rsidTr="00C44E8D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14:paraId="0E1FAE63" w14:textId="77777777" w:rsidR="003203E4" w:rsidRPr="003203E4" w:rsidRDefault="003203E4" w:rsidP="003203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03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MAE</w:t>
            </w:r>
            <w:r w:rsidRPr="003203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(Mean Absolute Error)</w:t>
            </w:r>
          </w:p>
        </w:tc>
        <w:tc>
          <w:tcPr>
            <w:tcW w:w="0" w:type="auto"/>
            <w:vAlign w:val="center"/>
            <w:hideMark/>
          </w:tcPr>
          <w:p w14:paraId="7071CECC" w14:textId="77777777" w:rsidR="003203E4" w:rsidRPr="003203E4" w:rsidRDefault="003203E4" w:rsidP="003203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03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134,360</w:t>
            </w:r>
          </w:p>
        </w:tc>
        <w:tc>
          <w:tcPr>
            <w:tcW w:w="0" w:type="auto"/>
            <w:vAlign w:val="center"/>
            <w:hideMark/>
          </w:tcPr>
          <w:p w14:paraId="59176936" w14:textId="77777777" w:rsidR="003203E4" w:rsidRPr="003203E4" w:rsidRDefault="003203E4" w:rsidP="003203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03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97,100</w:t>
            </w:r>
          </w:p>
        </w:tc>
      </w:tr>
      <w:tr w:rsidR="00C44E8D" w:rsidRPr="003203E4" w14:paraId="06FB1519" w14:textId="77777777" w:rsidTr="00C44E8D">
        <w:trPr>
          <w:trHeight w:val="266"/>
          <w:tblCellSpacing w:w="15" w:type="dxa"/>
        </w:trPr>
        <w:tc>
          <w:tcPr>
            <w:tcW w:w="0" w:type="auto"/>
            <w:vAlign w:val="center"/>
            <w:hideMark/>
          </w:tcPr>
          <w:p w14:paraId="20385A3F" w14:textId="77777777" w:rsidR="003203E4" w:rsidRPr="003203E4" w:rsidRDefault="003203E4" w:rsidP="003203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03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MSE</w:t>
            </w:r>
            <w:r w:rsidRPr="003203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(Mean Squared Error)</w:t>
            </w:r>
          </w:p>
        </w:tc>
        <w:tc>
          <w:tcPr>
            <w:tcW w:w="0" w:type="auto"/>
            <w:vAlign w:val="center"/>
            <w:hideMark/>
          </w:tcPr>
          <w:p w14:paraId="2CEAF1A3" w14:textId="77777777" w:rsidR="003203E4" w:rsidRPr="003203E4" w:rsidRDefault="003203E4" w:rsidP="003203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03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24.81 billion</w:t>
            </w:r>
          </w:p>
        </w:tc>
        <w:tc>
          <w:tcPr>
            <w:tcW w:w="0" w:type="auto"/>
            <w:vAlign w:val="center"/>
            <w:hideMark/>
          </w:tcPr>
          <w:p w14:paraId="4C44D062" w14:textId="77777777" w:rsidR="003203E4" w:rsidRPr="003203E4" w:rsidRDefault="003203E4" w:rsidP="003203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03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16.38 billion</w:t>
            </w:r>
          </w:p>
        </w:tc>
      </w:tr>
      <w:tr w:rsidR="00C44E8D" w:rsidRPr="003203E4" w14:paraId="58BFBF8C" w14:textId="77777777" w:rsidTr="00C44E8D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14:paraId="69651D39" w14:textId="77777777" w:rsidR="003203E4" w:rsidRPr="003203E4" w:rsidRDefault="003203E4" w:rsidP="003203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03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RMSE</w:t>
            </w:r>
            <w:r w:rsidRPr="003203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(Root Mean Squared Error)</w:t>
            </w:r>
          </w:p>
        </w:tc>
        <w:tc>
          <w:tcPr>
            <w:tcW w:w="0" w:type="auto"/>
            <w:vAlign w:val="center"/>
            <w:hideMark/>
          </w:tcPr>
          <w:p w14:paraId="671EF5F0" w14:textId="77777777" w:rsidR="003203E4" w:rsidRPr="003203E4" w:rsidRDefault="003203E4" w:rsidP="003203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03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157,527</w:t>
            </w:r>
          </w:p>
        </w:tc>
        <w:tc>
          <w:tcPr>
            <w:tcW w:w="0" w:type="auto"/>
            <w:vAlign w:val="center"/>
            <w:hideMark/>
          </w:tcPr>
          <w:p w14:paraId="29CDD70C" w14:textId="77777777" w:rsidR="003203E4" w:rsidRPr="003203E4" w:rsidRDefault="003203E4" w:rsidP="003203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03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128,000</w:t>
            </w:r>
          </w:p>
        </w:tc>
      </w:tr>
      <w:tr w:rsidR="00C44E8D" w:rsidRPr="003203E4" w14:paraId="31AA0C38" w14:textId="77777777" w:rsidTr="00C44E8D">
        <w:trPr>
          <w:trHeight w:val="266"/>
          <w:tblCellSpacing w:w="15" w:type="dxa"/>
        </w:trPr>
        <w:tc>
          <w:tcPr>
            <w:tcW w:w="0" w:type="auto"/>
            <w:vAlign w:val="center"/>
            <w:hideMark/>
          </w:tcPr>
          <w:p w14:paraId="4F24560B" w14:textId="77777777" w:rsidR="003203E4" w:rsidRPr="003203E4" w:rsidRDefault="003203E4" w:rsidP="003203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03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AIC</w:t>
            </w:r>
            <w:r w:rsidRPr="003203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(Akaike Information Criterion)</w:t>
            </w:r>
          </w:p>
        </w:tc>
        <w:tc>
          <w:tcPr>
            <w:tcW w:w="0" w:type="auto"/>
            <w:vAlign w:val="center"/>
            <w:hideMark/>
          </w:tcPr>
          <w:p w14:paraId="4005CB53" w14:textId="77777777" w:rsidR="003203E4" w:rsidRPr="003203E4" w:rsidRDefault="003203E4" w:rsidP="003203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03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3380.63</w:t>
            </w:r>
          </w:p>
        </w:tc>
        <w:tc>
          <w:tcPr>
            <w:tcW w:w="0" w:type="auto"/>
            <w:vAlign w:val="center"/>
            <w:hideMark/>
          </w:tcPr>
          <w:p w14:paraId="3955F523" w14:textId="77777777" w:rsidR="003203E4" w:rsidRPr="003203E4" w:rsidRDefault="003203E4" w:rsidP="003203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03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3462.81</w:t>
            </w:r>
          </w:p>
        </w:tc>
      </w:tr>
      <w:tr w:rsidR="00C44E8D" w:rsidRPr="003203E4" w14:paraId="49658DF2" w14:textId="77777777" w:rsidTr="00C44E8D">
        <w:trPr>
          <w:trHeight w:val="561"/>
          <w:tblCellSpacing w:w="15" w:type="dxa"/>
        </w:trPr>
        <w:tc>
          <w:tcPr>
            <w:tcW w:w="0" w:type="auto"/>
            <w:vAlign w:val="center"/>
            <w:hideMark/>
          </w:tcPr>
          <w:p w14:paraId="63A38547" w14:textId="77777777" w:rsidR="003203E4" w:rsidRPr="003203E4" w:rsidRDefault="003203E4" w:rsidP="003203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03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BIC</w:t>
            </w:r>
            <w:r w:rsidRPr="003203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(Bayesian Information Criterion)</w:t>
            </w:r>
          </w:p>
        </w:tc>
        <w:tc>
          <w:tcPr>
            <w:tcW w:w="0" w:type="auto"/>
            <w:vAlign w:val="center"/>
            <w:hideMark/>
          </w:tcPr>
          <w:p w14:paraId="133CD2D5" w14:textId="77777777" w:rsidR="003203E4" w:rsidRPr="003203E4" w:rsidRDefault="003203E4" w:rsidP="003203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03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3397.55</w:t>
            </w:r>
          </w:p>
        </w:tc>
        <w:tc>
          <w:tcPr>
            <w:tcW w:w="0" w:type="auto"/>
            <w:vAlign w:val="center"/>
            <w:hideMark/>
          </w:tcPr>
          <w:p w14:paraId="1F70E749" w14:textId="77777777" w:rsidR="003203E4" w:rsidRPr="003203E4" w:rsidRDefault="003203E4" w:rsidP="003203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03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3474.15</w:t>
            </w:r>
          </w:p>
        </w:tc>
      </w:tr>
    </w:tbl>
    <w:p w14:paraId="3F88B492" w14:textId="764A2135" w:rsidR="00C44E8D" w:rsidRDefault="003203E4" w:rsidP="00C44E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  <w:r w:rsidRPr="00320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5. </w:t>
      </w:r>
      <w:r w:rsidR="00C44E8D" w:rsidRPr="00C44E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Results and Analysis</w:t>
      </w:r>
      <w:r w:rsidR="00C44E8D" w:rsidRPr="003203E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A99F070" w14:textId="33921EF6" w:rsidR="00C44E8D" w:rsidRPr="007D4761" w:rsidRDefault="00C44E8D" w:rsidP="00C44E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D47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EDA provides </w:t>
      </w:r>
      <w:r w:rsidR="007D47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the </w:t>
      </w:r>
      <w:r w:rsidRPr="007D47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following insights:</w:t>
      </w:r>
    </w:p>
    <w:p w14:paraId="0E5CE940" w14:textId="77777777" w:rsidR="00C44E8D" w:rsidRPr="00C44E8D" w:rsidRDefault="00C44E8D" w:rsidP="00C44E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4E8D">
        <w:rPr>
          <w:rFonts w:ascii="Times New Roman" w:eastAsia="Times New Roman" w:hAnsi="Times New Roman" w:cs="Times New Roman"/>
          <w:kern w:val="0"/>
          <w14:ligatures w14:val="none"/>
        </w:rPr>
        <w:t>The EMRO and EURO regions show a higher frequency of case counts, whereas other regions exhibit a wider range of variation.</w:t>
      </w:r>
    </w:p>
    <w:p w14:paraId="1D6CEB75" w14:textId="77777777" w:rsidR="00C44E8D" w:rsidRPr="00C44E8D" w:rsidRDefault="00C44E8D" w:rsidP="00C44E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4E8D">
        <w:rPr>
          <w:rFonts w:ascii="Times New Roman" w:eastAsia="Times New Roman" w:hAnsi="Times New Roman" w:cs="Times New Roman"/>
          <w:kern w:val="0"/>
          <w14:ligatures w14:val="none"/>
        </w:rPr>
        <w:t>The distribution of new deaths across regions is right-skewed, indicating many days with low deaths but occasional extreme spikes, suggesting outbreaks.</w:t>
      </w:r>
    </w:p>
    <w:p w14:paraId="7691AB9C" w14:textId="77777777" w:rsidR="00C44E8D" w:rsidRPr="00C44E8D" w:rsidRDefault="00C44E8D" w:rsidP="00C44E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4E8D">
        <w:rPr>
          <w:rFonts w:ascii="Times New Roman" w:eastAsia="Times New Roman" w:hAnsi="Times New Roman" w:cs="Times New Roman"/>
          <w:kern w:val="0"/>
          <w14:ligatures w14:val="none"/>
        </w:rPr>
        <w:t>The data reveals multiple peaks, likely corresponding to different COVID-19 waves, such as the Delta and Omicron variants.</w:t>
      </w:r>
    </w:p>
    <w:p w14:paraId="4D718425" w14:textId="77777777" w:rsidR="00C44E8D" w:rsidRPr="00C44E8D" w:rsidRDefault="00C44E8D" w:rsidP="00C44E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4E8D">
        <w:rPr>
          <w:rFonts w:ascii="Times New Roman" w:eastAsia="Times New Roman" w:hAnsi="Times New Roman" w:cs="Times New Roman"/>
          <w:kern w:val="0"/>
          <w14:ligatures w14:val="none"/>
        </w:rPr>
        <w:t>The EURO region had the highest number of cases at the beginning of 2022, while WPRO saw the highest cases at the end of 2022.</w:t>
      </w:r>
    </w:p>
    <w:p w14:paraId="16E75EAE" w14:textId="77777777" w:rsidR="00C44E8D" w:rsidRPr="00C44E8D" w:rsidRDefault="00C44E8D" w:rsidP="00C44E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4E8D">
        <w:rPr>
          <w:rFonts w:ascii="Times New Roman" w:eastAsia="Times New Roman" w:hAnsi="Times New Roman" w:cs="Times New Roman"/>
          <w:kern w:val="0"/>
          <w14:ligatures w14:val="none"/>
        </w:rPr>
        <w:t>The USA recorded the highest number of new cases at the start of 2022, and China had the highest cases by the end of the year.</w:t>
      </w:r>
    </w:p>
    <w:p w14:paraId="4527E784" w14:textId="77777777" w:rsidR="00C44E8D" w:rsidRPr="00C44E8D" w:rsidRDefault="00C44E8D" w:rsidP="00C44E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4E8D">
        <w:rPr>
          <w:rFonts w:ascii="Times New Roman" w:eastAsia="Times New Roman" w:hAnsi="Times New Roman" w:cs="Times New Roman"/>
          <w:kern w:val="0"/>
          <w14:ligatures w14:val="none"/>
        </w:rPr>
        <w:t>The pie chart of new cases showed the USA leading in infections among the top eight countries, with Japan having the lowest share.</w:t>
      </w:r>
    </w:p>
    <w:p w14:paraId="26E99689" w14:textId="77777777" w:rsidR="00C44E8D" w:rsidRPr="00C44E8D" w:rsidRDefault="00C44E8D" w:rsidP="00C44E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4E8D">
        <w:rPr>
          <w:rFonts w:ascii="Times New Roman" w:eastAsia="Times New Roman" w:hAnsi="Times New Roman" w:cs="Times New Roman"/>
          <w:kern w:val="0"/>
          <w14:ligatures w14:val="none"/>
        </w:rPr>
        <w:t>Analysis of death surges indicated about six major waves, with the highest peaks occurring in early 2021 and early 2022 due to insufficient intervention measures.</w:t>
      </w:r>
    </w:p>
    <w:p w14:paraId="6A40C89A" w14:textId="77777777" w:rsidR="00C44E8D" w:rsidRPr="00C44E8D" w:rsidRDefault="00C44E8D" w:rsidP="00C44E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4E8D">
        <w:rPr>
          <w:rFonts w:ascii="Times New Roman" w:eastAsia="Times New Roman" w:hAnsi="Times New Roman" w:cs="Times New Roman"/>
          <w:kern w:val="0"/>
          <w14:ligatures w14:val="none"/>
        </w:rPr>
        <w:t>The highest death toll was observed in the US, particularly during early 2021 and early 2022, whereas India experienced a massive surge in mid-2021 due to the Delta variant.</w:t>
      </w:r>
    </w:p>
    <w:p w14:paraId="5FD87712" w14:textId="038DC851" w:rsidR="00C44E8D" w:rsidRPr="007D4761" w:rsidRDefault="00C44E8D" w:rsidP="00C44E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D47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Modeling provides </w:t>
      </w:r>
      <w:r w:rsidR="007D47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the </w:t>
      </w:r>
      <w:r w:rsidRPr="007D47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following insights:</w:t>
      </w:r>
    </w:p>
    <w:p w14:paraId="148B4B9F" w14:textId="5CBFFCB2" w:rsidR="003203E4" w:rsidRPr="003203E4" w:rsidRDefault="003203E4" w:rsidP="00C44E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  <w:r w:rsidRPr="003203E4">
        <w:rPr>
          <w:rFonts w:ascii="Times New Roman" w:eastAsia="Times New Roman" w:hAnsi="Times New Roman" w:cs="Times New Roman"/>
          <w:kern w:val="0"/>
          <w14:ligatures w14:val="none"/>
        </w:rPr>
        <w:t xml:space="preserve">SARIMA </w:t>
      </w:r>
      <w:r w:rsidRPr="00320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outperforms ARIMA</w:t>
      </w:r>
      <w:r w:rsidRPr="003203E4">
        <w:rPr>
          <w:rFonts w:ascii="Times New Roman" w:eastAsia="Times New Roman" w:hAnsi="Times New Roman" w:cs="Times New Roman"/>
          <w:kern w:val="0"/>
          <w14:ligatures w14:val="none"/>
        </w:rPr>
        <w:t xml:space="preserve"> in terms of accuracy (lower MAE, MSE, and RMSE), suggesting that seasonality plays a significant role in COVID-19 case trends.</w:t>
      </w:r>
    </w:p>
    <w:p w14:paraId="3EE0DBBE" w14:textId="77777777" w:rsidR="003203E4" w:rsidRPr="003203E4" w:rsidRDefault="003203E4" w:rsidP="003203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03E4">
        <w:rPr>
          <w:rFonts w:ascii="Times New Roman" w:eastAsia="Times New Roman" w:hAnsi="Times New Roman" w:cs="Times New Roman"/>
          <w:kern w:val="0"/>
          <w14:ligatures w14:val="none"/>
        </w:rPr>
        <w:t xml:space="preserve">ARIMA has a </w:t>
      </w:r>
      <w:r w:rsidRPr="00320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lower AIC and BIC</w:t>
      </w:r>
      <w:r w:rsidRPr="003203E4">
        <w:rPr>
          <w:rFonts w:ascii="Times New Roman" w:eastAsia="Times New Roman" w:hAnsi="Times New Roman" w:cs="Times New Roman"/>
          <w:kern w:val="0"/>
          <w14:ligatures w14:val="none"/>
        </w:rPr>
        <w:t>, indicating a slightly simpler model, but at the cost of higher prediction errors.</w:t>
      </w:r>
    </w:p>
    <w:p w14:paraId="535ADEB7" w14:textId="77777777" w:rsidR="003203E4" w:rsidRPr="003203E4" w:rsidRDefault="003203E4" w:rsidP="003203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03E4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320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forecasted trends</w:t>
      </w:r>
      <w:r w:rsidRPr="003203E4">
        <w:rPr>
          <w:rFonts w:ascii="Times New Roman" w:eastAsia="Times New Roman" w:hAnsi="Times New Roman" w:cs="Times New Roman"/>
          <w:kern w:val="0"/>
          <w14:ligatures w14:val="none"/>
        </w:rPr>
        <w:t xml:space="preserve"> from SARIMA align more closely with the actual future data, validating its suitability for COVID-19 forecasting.</w:t>
      </w:r>
    </w:p>
    <w:p w14:paraId="601EF263" w14:textId="77777777" w:rsidR="003203E4" w:rsidRPr="003203E4" w:rsidRDefault="003203E4" w:rsidP="003203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20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6. Visual Insights</w:t>
      </w:r>
    </w:p>
    <w:p w14:paraId="1E45ACFD" w14:textId="77777777" w:rsidR="003203E4" w:rsidRPr="003203E4" w:rsidRDefault="003203E4" w:rsidP="003203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03E4">
        <w:rPr>
          <w:rFonts w:ascii="Times New Roman" w:eastAsia="Times New Roman" w:hAnsi="Times New Roman" w:cs="Times New Roman"/>
          <w:kern w:val="0"/>
          <w14:ligatures w14:val="none"/>
        </w:rPr>
        <w:t>The forecast plots indicate that SARIMA provides a more accurate representation of future trends, capturing both periodic fluctuations and general trends.</w:t>
      </w:r>
    </w:p>
    <w:p w14:paraId="720A2466" w14:textId="77777777" w:rsidR="003203E4" w:rsidRPr="003203E4" w:rsidRDefault="003203E4" w:rsidP="003203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03E4">
        <w:rPr>
          <w:rFonts w:ascii="Times New Roman" w:eastAsia="Times New Roman" w:hAnsi="Times New Roman" w:cs="Times New Roman"/>
          <w:kern w:val="0"/>
          <w14:ligatures w14:val="none"/>
        </w:rPr>
        <w:t>ARIMA's forecasts deviate more significantly from actual data, particularly in high-variance periods.</w:t>
      </w:r>
    </w:p>
    <w:p w14:paraId="0A2349A1" w14:textId="77777777" w:rsidR="003203E4" w:rsidRDefault="003203E4" w:rsidP="003203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20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Recommendations</w:t>
      </w:r>
    </w:p>
    <w:p w14:paraId="06CC609C" w14:textId="77777777" w:rsidR="003203E4" w:rsidRPr="003203E4" w:rsidRDefault="003203E4" w:rsidP="003203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0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SARIMA should be the preferred model</w:t>
      </w:r>
      <w:r w:rsidRPr="003203E4">
        <w:rPr>
          <w:rFonts w:ascii="Times New Roman" w:eastAsia="Times New Roman" w:hAnsi="Times New Roman" w:cs="Times New Roman"/>
          <w:kern w:val="0"/>
          <w14:ligatures w14:val="none"/>
        </w:rPr>
        <w:t xml:space="preserve"> for deployment due to its improved accuracy.</w:t>
      </w:r>
    </w:p>
    <w:p w14:paraId="1AB56861" w14:textId="39B385A4" w:rsidR="007D4761" w:rsidRPr="003203E4" w:rsidRDefault="003203E4" w:rsidP="007D47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0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Further improvements:</w:t>
      </w:r>
      <w:r w:rsidRPr="003203E4">
        <w:rPr>
          <w:rFonts w:ascii="Times New Roman" w:eastAsia="Times New Roman" w:hAnsi="Times New Roman" w:cs="Times New Roman"/>
          <w:kern w:val="0"/>
          <w14:ligatures w14:val="none"/>
        </w:rPr>
        <w:t xml:space="preserve"> Adding external variables (e.g., vaccination rates, mobility data) using an SARIMAX model could enhance performance.</w:t>
      </w:r>
    </w:p>
    <w:p w14:paraId="2D4BF2A8" w14:textId="3C721C8B" w:rsidR="003203E4" w:rsidRPr="003203E4" w:rsidRDefault="003203E4" w:rsidP="003203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0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Strategy:</w:t>
      </w:r>
      <w:r w:rsidRPr="003203E4">
        <w:rPr>
          <w:rFonts w:ascii="Times New Roman" w:eastAsia="Times New Roman" w:hAnsi="Times New Roman" w:cs="Times New Roman"/>
          <w:kern w:val="0"/>
          <w14:ligatures w14:val="none"/>
        </w:rPr>
        <w:t xml:space="preserve"> Automate model updates with real-time data to refine forecasts continuously</w:t>
      </w:r>
    </w:p>
    <w:p w14:paraId="55A8E51B" w14:textId="77777777" w:rsidR="003203E4" w:rsidRPr="003203E4" w:rsidRDefault="003203E4" w:rsidP="003203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20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 Conclusion</w:t>
      </w:r>
    </w:p>
    <w:p w14:paraId="5A88E10E" w14:textId="64267BC9" w:rsidR="003203E4" w:rsidRDefault="003203E4" w:rsidP="007D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03E4">
        <w:rPr>
          <w:rFonts w:ascii="Times New Roman" w:eastAsia="Times New Roman" w:hAnsi="Times New Roman" w:cs="Times New Roman"/>
          <w:kern w:val="0"/>
          <w14:ligatures w14:val="none"/>
        </w:rPr>
        <w:t>The SARIMA model is the best choice for forecasting COVID-19 cases due to its superior performance in handling seasonality. This model will help public health officials and policymakers make informed decisions regarding pandemic response and resource allocation.</w:t>
      </w:r>
    </w:p>
    <w:p w14:paraId="3AD9746C" w14:textId="77777777" w:rsidR="00D67A80" w:rsidRDefault="00D67A80" w:rsidP="007D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8363E9" w14:textId="4FF9C1B4" w:rsidR="00D67A80" w:rsidRPr="00D67A80" w:rsidRDefault="00D67A80" w:rsidP="007D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67A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Link to access the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</w:t>
      </w:r>
      <w:r w:rsidRPr="00D67A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upyter</w:t>
      </w:r>
      <w:proofErr w:type="spellEnd"/>
      <w:r w:rsidRPr="00D67A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notebook:</w:t>
      </w:r>
    </w:p>
    <w:p w14:paraId="2A40A7DA" w14:textId="77777777" w:rsidR="003203E4" w:rsidRPr="003203E4" w:rsidRDefault="003203E4" w:rsidP="00320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805E21" w14:textId="29E09B98" w:rsidR="003203E4" w:rsidRPr="003203E4" w:rsidRDefault="003203E4" w:rsidP="00320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E698D2" w14:textId="77777777" w:rsidR="005E5BD4" w:rsidRPr="003203E4" w:rsidRDefault="005E5BD4">
      <w:pPr>
        <w:rPr>
          <w:rFonts w:ascii="Times New Roman" w:hAnsi="Times New Roman" w:cs="Times New Roman"/>
        </w:rPr>
      </w:pPr>
    </w:p>
    <w:sectPr w:rsidR="005E5BD4" w:rsidRPr="00320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F36C5"/>
    <w:multiLevelType w:val="multilevel"/>
    <w:tmpl w:val="C8F8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D0905"/>
    <w:multiLevelType w:val="multilevel"/>
    <w:tmpl w:val="8D82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34477"/>
    <w:multiLevelType w:val="multilevel"/>
    <w:tmpl w:val="A7FE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B00D5"/>
    <w:multiLevelType w:val="multilevel"/>
    <w:tmpl w:val="48F0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2145A"/>
    <w:multiLevelType w:val="multilevel"/>
    <w:tmpl w:val="02863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AB0ED4"/>
    <w:multiLevelType w:val="multilevel"/>
    <w:tmpl w:val="3E9C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BE5B4F"/>
    <w:multiLevelType w:val="multilevel"/>
    <w:tmpl w:val="4942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8658A0"/>
    <w:multiLevelType w:val="multilevel"/>
    <w:tmpl w:val="72B2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02076E"/>
    <w:multiLevelType w:val="multilevel"/>
    <w:tmpl w:val="72A4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1919DA"/>
    <w:multiLevelType w:val="multilevel"/>
    <w:tmpl w:val="0F3C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BC2550"/>
    <w:multiLevelType w:val="multilevel"/>
    <w:tmpl w:val="68DA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647308"/>
    <w:multiLevelType w:val="multilevel"/>
    <w:tmpl w:val="8A06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AE6778"/>
    <w:multiLevelType w:val="multilevel"/>
    <w:tmpl w:val="51DC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5942953">
    <w:abstractNumId w:val="6"/>
  </w:num>
  <w:num w:numId="2" w16cid:durableId="1549685887">
    <w:abstractNumId w:val="5"/>
  </w:num>
  <w:num w:numId="3" w16cid:durableId="780106911">
    <w:abstractNumId w:val="9"/>
  </w:num>
  <w:num w:numId="4" w16cid:durableId="1514567650">
    <w:abstractNumId w:val="7"/>
  </w:num>
  <w:num w:numId="5" w16cid:durableId="2118283783">
    <w:abstractNumId w:val="11"/>
  </w:num>
  <w:num w:numId="6" w16cid:durableId="2051026335">
    <w:abstractNumId w:val="3"/>
  </w:num>
  <w:num w:numId="7" w16cid:durableId="680398400">
    <w:abstractNumId w:val="4"/>
  </w:num>
  <w:num w:numId="8" w16cid:durableId="1148866801">
    <w:abstractNumId w:val="10"/>
  </w:num>
  <w:num w:numId="9" w16cid:durableId="1366785395">
    <w:abstractNumId w:val="8"/>
  </w:num>
  <w:num w:numId="10" w16cid:durableId="563176461">
    <w:abstractNumId w:val="12"/>
  </w:num>
  <w:num w:numId="11" w16cid:durableId="1283923025">
    <w:abstractNumId w:val="2"/>
  </w:num>
  <w:num w:numId="12" w16cid:durableId="585380907">
    <w:abstractNumId w:val="0"/>
  </w:num>
  <w:num w:numId="13" w16cid:durableId="1620642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3E4"/>
    <w:rsid w:val="001049F7"/>
    <w:rsid w:val="003203E4"/>
    <w:rsid w:val="003C59B4"/>
    <w:rsid w:val="005E5BD4"/>
    <w:rsid w:val="007B0DD9"/>
    <w:rsid w:val="007D4761"/>
    <w:rsid w:val="009C31E5"/>
    <w:rsid w:val="00C44E8D"/>
    <w:rsid w:val="00C47D85"/>
    <w:rsid w:val="00D67A80"/>
    <w:rsid w:val="00EB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66D5"/>
  <w15:chartTrackingRefBased/>
  <w15:docId w15:val="{3F26B040-0706-C84B-BFF2-3841404E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3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3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3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03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3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3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3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3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3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3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3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3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3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3E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20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203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40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3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Dubey</dc:creator>
  <cp:keywords/>
  <dc:description/>
  <cp:lastModifiedBy>Preeti Dubey</cp:lastModifiedBy>
  <cp:revision>2</cp:revision>
  <dcterms:created xsi:type="dcterms:W3CDTF">2025-03-04T14:01:00Z</dcterms:created>
  <dcterms:modified xsi:type="dcterms:W3CDTF">2025-03-04T14:45:00Z</dcterms:modified>
</cp:coreProperties>
</file>