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37E46">
      <w:r>
        <w:t xml:space="preserve">The </w:t>
      </w:r>
      <w:proofErr w:type="spellStart"/>
      <w:r>
        <w:t>coronavirus</w:t>
      </w:r>
      <w:proofErr w:type="spellEnd"/>
      <w:r>
        <w:t xml:space="preserve"> disease 2019 (COVID-19) has become a public health emergency of international concern affecting 201 countries and territories around the globe. As of April 4, 2020, it has caused a pandemic outbreak with more than 11,16,643 confirmed infections and more than 59,170 reported deaths </w:t>
      </w:r>
      <w:proofErr w:type="spellStart"/>
      <w:r>
        <w:t>worldwideThe</w:t>
      </w:r>
      <w:proofErr w:type="spellEnd"/>
      <w:r>
        <w:t xml:space="preserve"> </w:t>
      </w:r>
      <w:proofErr w:type="spellStart"/>
      <w:r>
        <w:t>coronavirus</w:t>
      </w:r>
      <w:proofErr w:type="spellEnd"/>
      <w:r>
        <w:t xml:space="preserve"> disease 2019 (COVID-19) has become a public health emergency of international concern affecting 201 countries and territories around the globe. As of April 4, 2020, it has caused a pandemic outbreak with more than 11</w:t>
      </w:r>
      <w:proofErr w:type="gramStart"/>
      <w:r>
        <w:t>,16,643</w:t>
      </w:r>
      <w:proofErr w:type="gramEnd"/>
      <w:r>
        <w:t xml:space="preserve"> confirmed infections and more than 59,170 reported deaths worldwide (1). </w:t>
      </w:r>
      <w:r w:rsidRPr="00337E46">
        <w:t xml:space="preserve">AI and ML research groups across the world are extensively working to tackle various aspects of the COVID-19 crisis including epidemiological (e.g. prediction, controlling and forecasting viral dynamics), molecular studies and drug development (e.g. molecular </w:t>
      </w:r>
      <w:proofErr w:type="spellStart"/>
      <w:r w:rsidRPr="00337E46">
        <w:t>modeling</w:t>
      </w:r>
      <w:proofErr w:type="spellEnd"/>
      <w:r w:rsidRPr="00337E46">
        <w:t xml:space="preserve"> and drug targets identification), medical (e.g. AI-enable diagnostic and treatment), and socio-economical applications (e.g. economical impact forecasting and mitigation).</w:t>
      </w:r>
      <w:r>
        <w:t xml:space="preserve"> (2)</w:t>
      </w:r>
    </w:p>
    <w:p w:rsidR="00337E46" w:rsidRDefault="00337E46"/>
    <w:p w:rsidR="00337E46" w:rsidRDefault="00337E46"/>
    <w:p w:rsidR="00337E46" w:rsidRDefault="00337E46"/>
    <w:p w:rsidR="00337E46" w:rsidRDefault="00337E46">
      <w:proofErr w:type="gramStart"/>
      <w:r>
        <w:t>REFERENCES :</w:t>
      </w:r>
      <w:proofErr w:type="gramEnd"/>
    </w:p>
    <w:p w:rsidR="00337E46" w:rsidRPr="00337E46" w:rsidRDefault="00337E46" w:rsidP="00337E46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Chakraborty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T., &amp;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Ghosh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I. (2020). Real-time forecasts and risk assessment of novel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coronavirus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(COVID-19) cases: A data-driven analysis.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Chaos,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Solitons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&amp; Fractals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109850.</w:t>
      </w:r>
    </w:p>
    <w:p w:rsidR="00337E46" w:rsidRPr="00337E46" w:rsidRDefault="00337E46" w:rsidP="00337E46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Raza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K. (2020). Artificial intelligence against COVID-19: A meta-analysis of current research.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Big Data Analytics and Artificial Intelligence </w:t>
      </w:r>
      <w:proofErr w:type="gram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Against</w:t>
      </w:r>
      <w:proofErr w:type="gram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COVID-19: Innovation Vision and Approach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165-176.</w:t>
      </w:r>
    </w:p>
    <w:p w:rsidR="00337E46" w:rsidRPr="00337E46" w:rsidRDefault="00337E46" w:rsidP="00337E46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Tyagi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N.,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Dhull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N., Sharma, M., Jain, V., &amp;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Awasthi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S. (2020).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Coronavirus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Spreading Forecasts Based on Susceptible-Infectious-Recovered and Linear Regression Model. In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Big Data Analytics and Artificial Intelligence </w:t>
      </w:r>
      <w:proofErr w:type="gram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Against</w:t>
      </w:r>
      <w:proofErr w:type="gram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COVID-19: Innovation Vision and Approach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(pp. 3-14). Springer, Cham.</w:t>
      </w:r>
    </w:p>
    <w:p w:rsidR="00337E46" w:rsidRPr="00337E46" w:rsidRDefault="00337E46" w:rsidP="00337E4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Pal, M. N., Roy, S.,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Kundu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S., &amp;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Choudhury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S. S. (2020). Visualization and Prediction of Trends of Covid-19 Pandemic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During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Early Outbreak in India Using DNN and SVR. In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Big Data Analytics and Artificial Intelligence </w:t>
      </w:r>
      <w:proofErr w:type="gram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Against</w:t>
      </w:r>
      <w:proofErr w:type="gram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COVID-19: Innovation Vision and Approach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(pp. 51-70). Springer, Cham.</w:t>
      </w:r>
    </w:p>
    <w:p w:rsidR="00337E46" w:rsidRPr="00593E1E" w:rsidRDefault="00593E1E" w:rsidP="00337E46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Kushwaha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Chavan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P. V., &amp; Singh, V. K. (2020). COVID-19 Data Analysis and Innovative Approach in Prediction of Cases. In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Big Data Analytics and Artificial Intelligence </w:t>
      </w:r>
      <w:proofErr w:type="gram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Against</w:t>
      </w:r>
      <w:proofErr w:type="gram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COVID-19: Innovation Vision and Approach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(pp. 91-115). Springer, Cham.</w:t>
      </w:r>
    </w:p>
    <w:p w:rsidR="00593E1E" w:rsidRPr="00593E1E" w:rsidRDefault="00593E1E" w:rsidP="00337E46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Ribeiro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M. H. D. M.,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Silva, R. G.,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Mariani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V. C., &amp; dos Santos Coelho, L. (2020). Short-term forecasting COVID-19 cumulative confirmed cases: Perspectives for Brazil.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Chaos,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Solitons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&amp; Fractals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109853.</w:t>
      </w:r>
    </w:p>
    <w:p w:rsidR="00593E1E" w:rsidRPr="00593E1E" w:rsidRDefault="00593E1E" w:rsidP="00337E4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Fong, S. J., Li, G.,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Dey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N.,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Crespo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R. G., &amp; Herrera-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Viedma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E. (2020). Composite Monte Carlo decision making under high uncertainty of novel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coronavirus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epidemic using hybridized deep learning and fuzzy rule induction.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Applied Soft Computing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106282.</w:t>
      </w:r>
    </w:p>
    <w:p w:rsidR="00593E1E" w:rsidRPr="00593E1E" w:rsidRDefault="00593E1E" w:rsidP="00337E4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Fong, S. J., Li, G.,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Dey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N.,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Crespo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R. G., &amp; Herrera-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Viedma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E. (2020). Finding an accurate early forecasting model from small dataset: A case of 2019-ncov novel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coronavirus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outbreak. </w:t>
      </w:r>
      <w:proofErr w:type="spellStart"/>
      <w:proofErr w:type="gram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arXiv</w:t>
      </w:r>
      <w:proofErr w:type="spellEnd"/>
      <w:proofErr w:type="gram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preprint arXiv:2003.10776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593E1E" w:rsidRPr="00593E1E" w:rsidRDefault="00593E1E" w:rsidP="00337E46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Dayal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K. S.,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Deo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R. C., &amp;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Apan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A. A. (2020). Intelligent data analytics for time series, trend analysis and drought indices comparison. In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Intelligent Data Analytics for Decision-Support Systems in Hazard Mitigation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(pp. 151-169). Springer, Singapore.</w:t>
      </w:r>
    </w:p>
    <w:p w:rsidR="00593E1E" w:rsidRPr="00593E1E" w:rsidRDefault="00593E1E" w:rsidP="00337E46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Yaseen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Z. M., &amp;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Shahid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S. (2020). Drought index prediction using data intelligent analytic models: a review.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Intelligent Data Analytics for Decision-Support Systems in Hazard Mitigation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1-27.</w:t>
      </w:r>
    </w:p>
    <w:p w:rsidR="00593E1E" w:rsidRPr="00593E1E" w:rsidRDefault="00593E1E" w:rsidP="00337E46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Lorang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E.,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Soh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L. K., Liu, Y., &amp; Pack, C. (2020). Digital Libraries, Intelligent Data Analytics, and Augmented Description: A Demonstration Project.</w:t>
      </w:r>
    </w:p>
    <w:p w:rsidR="00593E1E" w:rsidRPr="00593E1E" w:rsidRDefault="00593E1E" w:rsidP="00337E46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Iqbal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R., Doctor, F., More, B., Mahmud, S., &amp;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Yousuf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U. (2020). Big data analytics: Computational intelligence techniques and application areas.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Technological Forecasting and Social Change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153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119253.</w:t>
      </w:r>
    </w:p>
    <w:p w:rsidR="00593E1E" w:rsidRPr="00593E1E" w:rsidRDefault="00593E1E" w:rsidP="00337E46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Kashyap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R. (2019). Big Data Analytics Challenges and Solutions. In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Big Data Analytics for Intelligent Healthcare Management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(pp. 19-41). Academic Press.</w:t>
      </w:r>
    </w:p>
    <w:p w:rsidR="00593E1E" w:rsidRPr="00593E1E" w:rsidRDefault="00593E1E" w:rsidP="00337E46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Dey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N., Das, H.,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Naik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B., &amp;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Behera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H. S. (Eds.). (2019).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Big data analytics for intelligent healthcare management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Academic Press.</w:t>
      </w:r>
    </w:p>
    <w:p w:rsidR="00593E1E" w:rsidRPr="00593E1E" w:rsidRDefault="00593E1E" w:rsidP="00337E4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Li, L., Yang, Z., Dang, Z.,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Meng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C., Huang, J.,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Meng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H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., ...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Shao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Y. (2020). Propagation analysis and prediction of the COVID-19.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Infectious Disease Modelling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5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282-292.</w:t>
      </w:r>
    </w:p>
    <w:p w:rsidR="00593E1E" w:rsidRPr="00593E1E" w:rsidRDefault="00593E1E" w:rsidP="00337E4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Read, J. M.,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Bridgen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J. R., Cummings, D. A., Ho, A., &amp; Jewell, C. P. (2020). Novel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coronavirus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2019-nCoV: early estimation of epidemiological parameters and epidemic predictions.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MedRxiv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593E1E" w:rsidRPr="002A049D" w:rsidRDefault="002A049D" w:rsidP="00337E46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Riou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J., &amp;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Althaus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C. L. (2020). Pattern of early human-to-human transmission of Wuhan 2019 novel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coronavirus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(2019-nCoV), December 2019 to January 2020.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Eurosurveillance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25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(4), 2000058.</w:t>
      </w:r>
    </w:p>
    <w:p w:rsidR="002A049D" w:rsidRPr="002A049D" w:rsidRDefault="002A049D" w:rsidP="00337E46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Corman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V. M.,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Landt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O., Kaiser, M.,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Molenkamp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R., Meijer, A., Chu, D. K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., ...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Mulders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D. G. (2020). Detection of 2019 novel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coronavirus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(2019-nCoV) by real-time RT-PCR.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Eurosurveillance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25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(3), 2000045.</w:t>
      </w:r>
    </w:p>
    <w:p w:rsidR="002A049D" w:rsidRPr="002A049D" w:rsidRDefault="002A049D" w:rsidP="00337E46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Hui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D. S.,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Azhar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E. I.,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Madani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T. A.,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Ntoumi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F.,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Kock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R., Dar, O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., ...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Zumla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A. (2020). The continuing 2019-nCoV epidemic threat of novel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coronaviruses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 global health—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latest 2019 novel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coronavirus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outbreak in Wuhan, China.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International Journal of Infectious Diseases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91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264-266.</w:t>
      </w:r>
    </w:p>
    <w:p w:rsidR="002A049D" w:rsidRPr="002A049D" w:rsidRDefault="002A049D" w:rsidP="00337E4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World Health Organization. (2020).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Coronavirus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disease (‎ COVID-19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)‎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2A049D" w:rsidRDefault="002A049D" w:rsidP="00337E4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He, F., Deng, Y., &amp; Li, W. (2020).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Coronavirus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disease 2019: What we know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?.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Journal of medical virology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92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(7), 719-725.</w:t>
      </w:r>
    </w:p>
    <w:sectPr w:rsidR="002A0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4F392C"/>
    <w:multiLevelType w:val="hybridMultilevel"/>
    <w:tmpl w:val="00446D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337E46"/>
    <w:rsid w:val="002A049D"/>
    <w:rsid w:val="00337E46"/>
    <w:rsid w:val="00593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E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2020-10-20T08:02:00Z</dcterms:created>
  <dcterms:modified xsi:type="dcterms:W3CDTF">2020-10-20T08:35:00Z</dcterms:modified>
</cp:coreProperties>
</file>