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EE" w:rsidRPr="004423E5" w:rsidRDefault="004423E5" w:rsidP="009C01EE">
      <w:pPr>
        <w:rPr>
          <w:b/>
        </w:rPr>
      </w:pPr>
      <w:r>
        <w:rPr>
          <w:b/>
        </w:rPr>
        <w:t xml:space="preserve">Literature </w:t>
      </w:r>
      <w:r w:rsidR="009C01EE" w:rsidRPr="00167BD6">
        <w:rPr>
          <w:b/>
        </w:rPr>
        <w:t xml:space="preserve">Assignment </w:t>
      </w:r>
      <w:r w:rsidR="0010357E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1540" w:rsidRPr="004423E5">
        <w:rPr>
          <w:b/>
        </w:rPr>
        <w:t>Due</w:t>
      </w:r>
      <w:r w:rsidRPr="004423E5">
        <w:rPr>
          <w:b/>
        </w:rPr>
        <w:t>:</w:t>
      </w:r>
      <w:r w:rsidR="00DC1540" w:rsidRPr="004423E5">
        <w:rPr>
          <w:b/>
        </w:rPr>
        <w:t xml:space="preserve"> </w:t>
      </w:r>
      <w:r w:rsidR="0010357E">
        <w:rPr>
          <w:b/>
        </w:rPr>
        <w:t>Tuesday, Nov. 26</w:t>
      </w:r>
      <w:r w:rsidRPr="004423E5">
        <w:rPr>
          <w:b/>
        </w:rPr>
        <w:t xml:space="preserve">, </w:t>
      </w:r>
      <w:r w:rsidR="00DC1540" w:rsidRPr="004423E5">
        <w:rPr>
          <w:b/>
        </w:rPr>
        <w:t>2013</w:t>
      </w:r>
    </w:p>
    <w:p w:rsidR="009C01EE" w:rsidRDefault="009C01EE" w:rsidP="009C01EE"/>
    <w:p w:rsidR="0010357E" w:rsidRPr="0010357E" w:rsidRDefault="0010357E" w:rsidP="0010357E">
      <w:pPr>
        <w:autoSpaceDE w:val="0"/>
        <w:autoSpaceDN w:val="0"/>
        <w:adjustRightInd w:val="0"/>
        <w:jc w:val="both"/>
      </w:pPr>
      <w:r w:rsidRPr="0010357E">
        <w:t xml:space="preserve">Fast, cheap sequencing </w:t>
      </w:r>
      <w:proofErr w:type="spellStart"/>
      <w:r w:rsidRPr="0010357E">
        <w:t>techonologies</w:t>
      </w:r>
      <w:proofErr w:type="spellEnd"/>
      <w:r w:rsidRPr="0010357E">
        <w:t xml:space="preserve"> have made it possible to a</w:t>
      </w:r>
      <w:r>
        <w:t>pply sequencing to solve clini</w:t>
      </w:r>
      <w:r w:rsidRPr="0010357E">
        <w:t>cal problems that previously were solved using other technologies. I</w:t>
      </w:r>
      <w:r w:rsidR="005B7730">
        <w:t>n addition, new scientifi</w:t>
      </w:r>
      <w:r>
        <w:t xml:space="preserve">c areas </w:t>
      </w:r>
      <w:r w:rsidRPr="0010357E">
        <w:t>have opened up that were simply not approachable before the adven</w:t>
      </w:r>
      <w:r>
        <w:t xml:space="preserve">t of next-generation sequencing </w:t>
      </w:r>
      <w:r w:rsidRPr="0010357E">
        <w:t>technology. Some of the applications of next-generation sequenci</w:t>
      </w:r>
      <w:r>
        <w:t xml:space="preserve">ng include </w:t>
      </w:r>
      <w:proofErr w:type="spellStart"/>
      <w:r>
        <w:t>metagenomics</w:t>
      </w:r>
      <w:proofErr w:type="spellEnd"/>
      <w:r>
        <w:t xml:space="preserve">, cancer </w:t>
      </w:r>
      <w:r w:rsidRPr="0010357E">
        <w:t xml:space="preserve">biology, </w:t>
      </w:r>
      <w:proofErr w:type="gramStart"/>
      <w:r w:rsidRPr="0010357E">
        <w:t>identi</w:t>
      </w:r>
      <w:r w:rsidR="005B7730">
        <w:t>fi</w:t>
      </w:r>
      <w:r w:rsidRPr="0010357E">
        <w:t>cation</w:t>
      </w:r>
      <w:proofErr w:type="gramEnd"/>
      <w:r w:rsidRPr="0010357E">
        <w:t xml:space="preserve"> of rare polymorphisms through deep sequencin</w:t>
      </w:r>
      <w:r>
        <w:t>g, discovery of small RNAs, in</w:t>
      </w:r>
      <w:r w:rsidRPr="0010357E">
        <w:t>vestigating protein-DNA interactions when combined with chroma</w:t>
      </w:r>
      <w:r>
        <w:t xml:space="preserve">tin </w:t>
      </w:r>
      <w:proofErr w:type="spellStart"/>
      <w:r>
        <w:t>immunoprecipitation</w:t>
      </w:r>
      <w:proofErr w:type="spellEnd"/>
      <w:r>
        <w:t xml:space="preserve"> (</w:t>
      </w:r>
      <w:proofErr w:type="spellStart"/>
      <w:r>
        <w:t>CHiP</w:t>
      </w:r>
      <w:proofErr w:type="spellEnd"/>
      <w:r>
        <w:t xml:space="preserve">), </w:t>
      </w:r>
      <w:r w:rsidRPr="0010357E">
        <w:t xml:space="preserve">sequencing DNA from fossils, and </w:t>
      </w:r>
      <w:proofErr w:type="spellStart"/>
      <w:r w:rsidRPr="0010357E">
        <w:t>transcriptome</w:t>
      </w:r>
      <w:proofErr w:type="spellEnd"/>
      <w:r w:rsidRPr="0010357E">
        <w:t xml:space="preserve"> sequencing.</w:t>
      </w:r>
    </w:p>
    <w:p w:rsidR="009C01EE" w:rsidRDefault="0010357E" w:rsidP="0010357E">
      <w:pPr>
        <w:autoSpaceDE w:val="0"/>
        <w:autoSpaceDN w:val="0"/>
        <w:adjustRightInd w:val="0"/>
      </w:pPr>
      <w:r w:rsidRPr="0010357E">
        <w:t>The article you will read for this assignment discusses applica</w:t>
      </w:r>
      <w:r>
        <w:t>tions of next-</w:t>
      </w:r>
      <w:proofErr w:type="spellStart"/>
      <w:r>
        <w:t>gen</w:t>
      </w:r>
      <w:proofErr w:type="spellEnd"/>
      <w:r>
        <w:t xml:space="preserve"> sequencing in </w:t>
      </w:r>
      <w:r w:rsidRPr="0010357E">
        <w:t>diagnostic medicine:</w:t>
      </w:r>
    </w:p>
    <w:p w:rsidR="0010357E" w:rsidRDefault="0010357E" w:rsidP="0010357E"/>
    <w:p w:rsidR="00FE73B4" w:rsidRDefault="0010357E" w:rsidP="00FE73B4">
      <w:pPr>
        <w:autoSpaceDE w:val="0"/>
        <w:autoSpaceDN w:val="0"/>
        <w:adjustRightInd w:val="0"/>
        <w:ind w:firstLine="720"/>
      </w:pPr>
      <w:proofErr w:type="spellStart"/>
      <w:r w:rsidRPr="0010357E">
        <w:t>Didelot</w:t>
      </w:r>
      <w:proofErr w:type="spellEnd"/>
      <w:r w:rsidRPr="0010357E">
        <w:t xml:space="preserve">, X., Bowden, R., Wilson, D.J., </w:t>
      </w:r>
      <w:proofErr w:type="spellStart"/>
      <w:r w:rsidRPr="0010357E">
        <w:t>Peto</w:t>
      </w:r>
      <w:proofErr w:type="spellEnd"/>
      <w:r w:rsidRPr="0010357E">
        <w:t>, T.E.A., Crook, D.W. Transforming clinical</w:t>
      </w:r>
    </w:p>
    <w:p w:rsidR="00FE73B4" w:rsidRDefault="0010357E" w:rsidP="00FE73B4">
      <w:pPr>
        <w:autoSpaceDE w:val="0"/>
        <w:autoSpaceDN w:val="0"/>
        <w:adjustRightInd w:val="0"/>
        <w:ind w:firstLine="720"/>
      </w:pPr>
      <w:proofErr w:type="gramStart"/>
      <w:r w:rsidRPr="0010357E">
        <w:t>microbiology</w:t>
      </w:r>
      <w:proofErr w:type="gramEnd"/>
      <w:r w:rsidRPr="0010357E">
        <w:t xml:space="preserve"> with bacterial genome sequencing. Nature Reviews Genetics 13, 601-612</w:t>
      </w:r>
    </w:p>
    <w:p w:rsidR="0010357E" w:rsidRDefault="0010357E" w:rsidP="00FE73B4">
      <w:pPr>
        <w:autoSpaceDE w:val="0"/>
        <w:autoSpaceDN w:val="0"/>
        <w:adjustRightInd w:val="0"/>
        <w:ind w:firstLine="720"/>
      </w:pPr>
      <w:r w:rsidRPr="0010357E">
        <w:t>(2012).</w:t>
      </w:r>
    </w:p>
    <w:p w:rsidR="0010357E" w:rsidRPr="0010357E" w:rsidRDefault="0010357E" w:rsidP="0010357E">
      <w:pPr>
        <w:autoSpaceDE w:val="0"/>
        <w:autoSpaceDN w:val="0"/>
        <w:adjustRightInd w:val="0"/>
      </w:pPr>
    </w:p>
    <w:p w:rsidR="0010357E" w:rsidRDefault="0010357E" w:rsidP="005B7730">
      <w:pPr>
        <w:autoSpaceDE w:val="0"/>
        <w:autoSpaceDN w:val="0"/>
        <w:adjustRightInd w:val="0"/>
        <w:jc w:val="both"/>
      </w:pPr>
      <w:r w:rsidRPr="0010357E">
        <w:t>Read this article and brie</w:t>
      </w:r>
      <w:r w:rsidR="005B7730">
        <w:t>fl</w:t>
      </w:r>
      <w:r w:rsidRPr="0010357E">
        <w:t>y answer the following questions. You may read additional materials, if</w:t>
      </w:r>
      <w:r w:rsidR="005B7730">
        <w:t xml:space="preserve"> </w:t>
      </w:r>
      <w:r w:rsidRPr="0010357E">
        <w:t>you wish. If you do, you must cite your sources. You may not quote verbatim without attribution.</w:t>
      </w:r>
    </w:p>
    <w:p w:rsidR="0010357E" w:rsidRPr="0010357E" w:rsidRDefault="0010357E" w:rsidP="0010357E">
      <w:pPr>
        <w:autoSpaceDE w:val="0"/>
        <w:autoSpaceDN w:val="0"/>
        <w:adjustRightInd w:val="0"/>
      </w:pPr>
    </w:p>
    <w:p w:rsidR="0010357E" w:rsidRDefault="0010357E" w:rsidP="00FE73B4">
      <w:pPr>
        <w:autoSpaceDE w:val="0"/>
        <w:autoSpaceDN w:val="0"/>
        <w:adjustRightInd w:val="0"/>
        <w:ind w:left="900" w:hanging="180"/>
      </w:pPr>
      <w:r w:rsidRPr="0010357E">
        <w:t xml:space="preserve">1. When a patient presents with a </w:t>
      </w:r>
      <w:r w:rsidR="005B7730">
        <w:t>bacterial infection, the identifi</w:t>
      </w:r>
      <w:r>
        <w:t>cation of the infecting species</w:t>
      </w:r>
      <w:r w:rsidR="00FE73B4">
        <w:t xml:space="preserve"> and </w:t>
      </w:r>
      <w:r w:rsidRPr="0010357E">
        <w:t xml:space="preserve">testing for its antibiotic susceptibility is very slow. Why is </w:t>
      </w:r>
      <w:proofErr w:type="gramStart"/>
      <w:r w:rsidRPr="0010357E">
        <w:t>this the</w:t>
      </w:r>
      <w:proofErr w:type="gramEnd"/>
      <w:r w:rsidRPr="0010357E">
        <w:t xml:space="preserve"> case?</w:t>
      </w: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Default="0010357E" w:rsidP="0010357E">
      <w:pPr>
        <w:autoSpaceDE w:val="0"/>
        <w:autoSpaceDN w:val="0"/>
        <w:adjustRightInd w:val="0"/>
      </w:pPr>
    </w:p>
    <w:p w:rsidR="0010357E" w:rsidRPr="0010357E" w:rsidRDefault="0010357E" w:rsidP="0010357E">
      <w:pPr>
        <w:autoSpaceDE w:val="0"/>
        <w:autoSpaceDN w:val="0"/>
        <w:adjustRightInd w:val="0"/>
      </w:pPr>
    </w:p>
    <w:p w:rsidR="0010357E" w:rsidRPr="0010357E" w:rsidRDefault="0010357E" w:rsidP="00FE73B4">
      <w:pPr>
        <w:autoSpaceDE w:val="0"/>
        <w:autoSpaceDN w:val="0"/>
        <w:adjustRightInd w:val="0"/>
        <w:ind w:left="900" w:hanging="180"/>
      </w:pPr>
      <w:r w:rsidRPr="0010357E">
        <w:t>2. Mass spectrometry is a relatively new, and much more rapid, method being used to quickly</w:t>
      </w:r>
    </w:p>
    <w:p w:rsidR="0010357E" w:rsidRPr="0010357E" w:rsidRDefault="0010357E" w:rsidP="00FE73B4">
      <w:pPr>
        <w:autoSpaceDE w:val="0"/>
        <w:autoSpaceDN w:val="0"/>
        <w:adjustRightInd w:val="0"/>
        <w:ind w:left="900" w:hanging="180"/>
      </w:pPr>
      <w:proofErr w:type="gramStart"/>
      <w:r w:rsidRPr="0010357E">
        <w:t>identify</w:t>
      </w:r>
      <w:proofErr w:type="gramEnd"/>
      <w:r w:rsidRPr="0010357E">
        <w:t xml:space="preserve"> species. How is mass spec used for this purpose? What information must </w:t>
      </w:r>
      <w:proofErr w:type="gramStart"/>
      <w:r w:rsidRPr="0010357E">
        <w:t>already</w:t>
      </w:r>
      <w:proofErr w:type="gramEnd"/>
    </w:p>
    <w:p w:rsidR="0010357E" w:rsidRPr="0010357E" w:rsidRDefault="0010357E" w:rsidP="00FE73B4">
      <w:pPr>
        <w:autoSpaceDE w:val="0"/>
        <w:autoSpaceDN w:val="0"/>
        <w:adjustRightInd w:val="0"/>
        <w:ind w:left="900" w:hanging="180"/>
      </w:pPr>
      <w:proofErr w:type="gramStart"/>
      <w:r w:rsidRPr="0010357E">
        <w:t>exist</w:t>
      </w:r>
      <w:proofErr w:type="gramEnd"/>
      <w:r w:rsidRPr="0010357E">
        <w:t xml:space="preserve"> for this appr</w:t>
      </w:r>
      <w:r w:rsidR="00573364">
        <w:t>oach to work for species identifi</w:t>
      </w:r>
      <w:r w:rsidRPr="0010357E">
        <w:t>cation? This approach also has drawbacks.</w:t>
      </w:r>
    </w:p>
    <w:p w:rsidR="00F25AC9" w:rsidRDefault="0010357E" w:rsidP="00FE73B4">
      <w:pPr>
        <w:autoSpaceDE w:val="0"/>
        <w:autoSpaceDN w:val="0"/>
        <w:adjustRightInd w:val="0"/>
        <w:ind w:left="900" w:hanging="180"/>
      </w:pPr>
      <w:r w:rsidRPr="0010357E">
        <w:t>Describe one.</w:t>
      </w: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10357E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  <w:r w:rsidRPr="00FE73B4">
        <w:lastRenderedPageBreak/>
        <w:t>3. Explain the basic experiment currently used to determine</w:t>
      </w:r>
      <w:r>
        <w:t xml:space="preserve"> which antibiotics to use for a particular </w:t>
      </w:r>
      <w:r w:rsidRPr="00FE73B4">
        <w:t>infection.</w:t>
      </w: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P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  <w:r w:rsidRPr="00FE73B4">
        <w:t xml:space="preserve">4. The authors mention two ways in which toxin production can be analyzed, </w:t>
      </w:r>
      <w:proofErr w:type="spellStart"/>
      <w:r w:rsidRPr="00FE73B4">
        <w:t>serotyping</w:t>
      </w:r>
      <w:proofErr w:type="spellEnd"/>
      <w:r w:rsidRPr="00FE73B4">
        <w:t xml:space="preserve"> and</w:t>
      </w:r>
      <w:r>
        <w:t xml:space="preserve"> </w:t>
      </w:r>
      <w:r w:rsidRPr="00FE73B4">
        <w:t>PCR. Explain how each can be used to determine toxin production.</w:t>
      </w: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573364" w:rsidRDefault="0057336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</w:pPr>
    </w:p>
    <w:p w:rsidR="00FE73B4" w:rsidRPr="00FE73B4" w:rsidRDefault="00FE73B4" w:rsidP="00FE73B4">
      <w:pPr>
        <w:autoSpaceDE w:val="0"/>
        <w:autoSpaceDN w:val="0"/>
        <w:adjustRightInd w:val="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  <w:r w:rsidRPr="00FE73B4">
        <w:t>5. What information will fast, cheap whole genome sequencing provide that can be used to</w:t>
      </w:r>
      <w:r>
        <w:t xml:space="preserve"> </w:t>
      </w:r>
      <w:r w:rsidRPr="00FE73B4">
        <w:t>determine which pathogenic species are present in an infection? How will it be used? Be sure</w:t>
      </w:r>
      <w:r>
        <w:t xml:space="preserve"> </w:t>
      </w:r>
      <w:r w:rsidRPr="00FE73B4">
        <w:t>to mention any information that must already be available for this approach to work.</w:t>
      </w: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Pr="00FE73B4" w:rsidRDefault="00FE73B4" w:rsidP="00FE73B4">
      <w:pPr>
        <w:autoSpaceDE w:val="0"/>
        <w:autoSpaceDN w:val="0"/>
        <w:adjustRightInd w:val="0"/>
        <w:ind w:left="900" w:hanging="180"/>
      </w:pPr>
      <w:r w:rsidRPr="00FE73B4">
        <w:t xml:space="preserve">6. What are two of the remaining challenges to using whole genome sequencing as a species identification strategy? For each, can next-generation sequencing help to overcome this challenge?  </w:t>
      </w:r>
      <w:proofErr w:type="gramStart"/>
      <w:r w:rsidRPr="00FE73B4">
        <w:t>If</w:t>
      </w:r>
      <w:proofErr w:type="gramEnd"/>
      <w:r w:rsidRPr="00FE73B4">
        <w:t xml:space="preserve"> so, how?</w:t>
      </w: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Pr="00FE73B4" w:rsidRDefault="00FE73B4" w:rsidP="00FE73B4">
      <w:pPr>
        <w:autoSpaceDE w:val="0"/>
        <w:autoSpaceDN w:val="0"/>
        <w:adjustRightInd w:val="0"/>
        <w:ind w:left="900" w:hanging="180"/>
      </w:pPr>
      <w:r>
        <w:rPr>
          <w:rFonts w:ascii="CMR10" w:eastAsiaTheme="minorEastAsia" w:hAnsi="CMR10" w:cs="CMR10"/>
          <w:lang w:eastAsia="zh-CN"/>
        </w:rPr>
        <w:t>7</w:t>
      </w:r>
      <w:r w:rsidRPr="00FE73B4">
        <w:t>. What information will fast, cheap whole genome sequencing provide that can be used to</w:t>
      </w:r>
      <w:r>
        <w:t xml:space="preserve"> </w:t>
      </w:r>
      <w:r w:rsidRPr="00FE73B4">
        <w:t>determine the antibiotic susceptibility of an infecting bacteria? How will it be used? Be sure</w:t>
      </w:r>
      <w:r>
        <w:t xml:space="preserve"> </w:t>
      </w:r>
      <w:r w:rsidRPr="00FE73B4">
        <w:t>to mention any information that must already be available for this approach to work.</w:t>
      </w:r>
    </w:p>
    <w:p w:rsidR="00FE73B4" w:rsidRP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  <w:r>
        <w:rPr>
          <w:rFonts w:ascii="CMR10" w:eastAsiaTheme="minorEastAsia" w:hAnsi="CMR10" w:cs="CMR10"/>
          <w:lang w:eastAsia="zh-CN"/>
        </w:rPr>
        <w:t>8</w:t>
      </w:r>
      <w:r w:rsidRPr="00FE73B4">
        <w:t>. Why is it essential to create and maintain an up-to-date database containing genotypic de-</w:t>
      </w:r>
      <w:r>
        <w:t xml:space="preserve"> </w:t>
      </w:r>
      <w:proofErr w:type="spellStart"/>
      <w:r w:rsidRPr="00FE73B4">
        <w:t>terminants</w:t>
      </w:r>
      <w:proofErr w:type="spellEnd"/>
      <w:r w:rsidRPr="00FE73B4">
        <w:t xml:space="preserve"> of antibiotic susceptibility and resistance?</w:t>
      </w: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FE73B4" w:rsidRDefault="00FE73B4" w:rsidP="00FE73B4">
      <w:pPr>
        <w:autoSpaceDE w:val="0"/>
        <w:autoSpaceDN w:val="0"/>
        <w:adjustRightInd w:val="0"/>
        <w:ind w:left="900" w:hanging="180"/>
      </w:pPr>
    </w:p>
    <w:p w:rsidR="005B7730" w:rsidRDefault="00FE73B4" w:rsidP="00573364">
      <w:pPr>
        <w:autoSpaceDE w:val="0"/>
        <w:autoSpaceDN w:val="0"/>
        <w:adjustRightInd w:val="0"/>
        <w:ind w:left="900" w:hanging="180"/>
        <w:rPr>
          <w:rFonts w:eastAsiaTheme="minorEastAsia" w:cstheme="minorHAnsi"/>
          <w:lang w:eastAsia="zh-CN"/>
        </w:rPr>
      </w:pPr>
      <w:r>
        <w:rPr>
          <w:rFonts w:ascii="CMR10" w:eastAsiaTheme="minorEastAsia" w:hAnsi="CMR10" w:cs="CMR10"/>
          <w:lang w:eastAsia="zh-CN"/>
        </w:rPr>
        <w:t>9</w:t>
      </w:r>
      <w:r w:rsidR="005B7730">
        <w:rPr>
          <w:rFonts w:eastAsiaTheme="minorEastAsia" w:cstheme="minorHAnsi"/>
          <w:lang w:eastAsia="zh-CN"/>
        </w:rPr>
        <w:t xml:space="preserve">. What is the </w:t>
      </w:r>
      <w:proofErr w:type="spellStart"/>
      <w:r w:rsidR="005B7730">
        <w:rPr>
          <w:rFonts w:eastAsiaTheme="minorEastAsia" w:cstheme="minorHAnsi"/>
          <w:lang w:eastAsia="zh-CN"/>
        </w:rPr>
        <w:t>benfi</w:t>
      </w:r>
      <w:r w:rsidRPr="00573364">
        <w:rPr>
          <w:rFonts w:eastAsiaTheme="minorEastAsia" w:cstheme="minorHAnsi"/>
          <w:lang w:eastAsia="zh-CN"/>
        </w:rPr>
        <w:t>t</w:t>
      </w:r>
      <w:proofErr w:type="spellEnd"/>
      <w:r w:rsidRPr="00573364">
        <w:rPr>
          <w:rFonts w:eastAsiaTheme="minorEastAsia" w:cstheme="minorHAnsi"/>
          <w:lang w:eastAsia="zh-CN"/>
        </w:rPr>
        <w:t xml:space="preserve"> of continuing to use phenotypic methods to determine </w:t>
      </w:r>
      <w:r w:rsidR="00573364" w:rsidRPr="00573364">
        <w:rPr>
          <w:rFonts w:eastAsiaTheme="minorEastAsia" w:cstheme="minorHAnsi"/>
          <w:lang w:eastAsia="zh-CN"/>
        </w:rPr>
        <w:t>antibiotic suscep</w:t>
      </w:r>
      <w:r w:rsidRPr="00573364">
        <w:rPr>
          <w:rFonts w:eastAsiaTheme="minorEastAsia" w:cstheme="minorHAnsi"/>
          <w:lang w:eastAsia="zh-CN"/>
        </w:rPr>
        <w:t>tibility, if we can sequ</w:t>
      </w:r>
      <w:r w:rsidR="005B7730">
        <w:rPr>
          <w:rFonts w:eastAsiaTheme="minorEastAsia" w:cstheme="minorHAnsi"/>
          <w:lang w:eastAsia="zh-CN"/>
        </w:rPr>
        <w:t>ence a bacterial infection and find genotypic determinants?</w:t>
      </w:r>
    </w:p>
    <w:p w:rsidR="00FE73B4" w:rsidRPr="00573364" w:rsidRDefault="00FE73B4" w:rsidP="005B7730">
      <w:pPr>
        <w:autoSpaceDE w:val="0"/>
        <w:autoSpaceDN w:val="0"/>
        <w:adjustRightInd w:val="0"/>
        <w:ind w:left="900"/>
        <w:rPr>
          <w:rFonts w:eastAsiaTheme="minorEastAsia" w:cstheme="minorHAnsi"/>
          <w:lang w:eastAsia="zh-CN"/>
        </w:rPr>
      </w:pPr>
      <w:r w:rsidRPr="00573364">
        <w:rPr>
          <w:rFonts w:eastAsiaTheme="minorEastAsia" w:cstheme="minorHAnsi"/>
          <w:lang w:eastAsia="zh-CN"/>
        </w:rPr>
        <w:t>Give two</w:t>
      </w:r>
      <w:r w:rsidR="00573364" w:rsidRPr="00573364">
        <w:rPr>
          <w:rFonts w:eastAsiaTheme="minorEastAsia" w:cstheme="minorHAnsi"/>
          <w:lang w:eastAsia="zh-CN"/>
        </w:rPr>
        <w:t xml:space="preserve"> </w:t>
      </w:r>
      <w:r w:rsidRPr="00573364">
        <w:rPr>
          <w:rFonts w:eastAsiaTheme="minorEastAsia" w:cstheme="minorHAnsi"/>
          <w:lang w:eastAsia="zh-CN"/>
        </w:rPr>
        <w:t>reasons to support your answer.</w:t>
      </w:r>
    </w:p>
    <w:p w:rsidR="00573364" w:rsidRPr="00573364" w:rsidRDefault="00573364" w:rsidP="00573364">
      <w:pPr>
        <w:autoSpaceDE w:val="0"/>
        <w:autoSpaceDN w:val="0"/>
        <w:adjustRightInd w:val="0"/>
        <w:ind w:left="900" w:hanging="180"/>
        <w:rPr>
          <w:rFonts w:eastAsiaTheme="minorEastAsia" w:cstheme="minorHAnsi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eastAsiaTheme="minorEastAsia" w:cstheme="minorHAnsi"/>
          <w:lang w:eastAsia="zh-CN"/>
        </w:rPr>
      </w:pPr>
      <w:r>
        <w:rPr>
          <w:rFonts w:ascii="CMR10" w:eastAsiaTheme="minorEastAsia" w:hAnsi="CMR10" w:cs="CMR10"/>
          <w:lang w:eastAsia="zh-CN"/>
        </w:rPr>
        <w:t>10</w:t>
      </w:r>
      <w:r w:rsidR="00FE73B4" w:rsidRPr="00573364">
        <w:rPr>
          <w:rFonts w:eastAsiaTheme="minorEastAsia" w:cstheme="minorHAnsi"/>
          <w:lang w:eastAsia="zh-CN"/>
        </w:rPr>
        <w:t xml:space="preserve">. How can whole genome sequence data </w:t>
      </w:r>
      <w:proofErr w:type="gramStart"/>
      <w:r w:rsidR="00FE73B4" w:rsidRPr="00573364">
        <w:rPr>
          <w:rFonts w:eastAsiaTheme="minorEastAsia" w:cstheme="minorHAnsi"/>
          <w:lang w:eastAsia="zh-CN"/>
        </w:rPr>
        <w:t>be</w:t>
      </w:r>
      <w:proofErr w:type="gramEnd"/>
      <w:r w:rsidR="00FE73B4" w:rsidRPr="00573364">
        <w:rPr>
          <w:rFonts w:eastAsiaTheme="minorEastAsia" w:cstheme="minorHAnsi"/>
          <w:lang w:eastAsia="zh-CN"/>
        </w:rPr>
        <w:t xml:space="preserve"> used to augment pati</w:t>
      </w:r>
      <w:r>
        <w:rPr>
          <w:rFonts w:eastAsiaTheme="minorEastAsia" w:cstheme="minorHAnsi"/>
          <w:lang w:eastAsia="zh-CN"/>
        </w:rPr>
        <w:t>ent interviews in public</w:t>
      </w:r>
    </w:p>
    <w:p w:rsidR="00FE73B4" w:rsidRPr="00573364" w:rsidRDefault="00573364" w:rsidP="00573364">
      <w:pPr>
        <w:autoSpaceDE w:val="0"/>
        <w:autoSpaceDN w:val="0"/>
        <w:adjustRightInd w:val="0"/>
        <w:ind w:left="900"/>
        <w:rPr>
          <w:rFonts w:eastAsiaTheme="minorEastAsia" w:cstheme="minorHAnsi"/>
          <w:lang w:eastAsia="zh-CN"/>
        </w:rPr>
      </w:pPr>
      <w:r>
        <w:rPr>
          <w:rFonts w:eastAsiaTheme="minorEastAsia" w:cstheme="minorHAnsi"/>
          <w:lang w:eastAsia="zh-CN"/>
        </w:rPr>
        <w:t xml:space="preserve">  </w:t>
      </w:r>
      <w:proofErr w:type="gramStart"/>
      <w:r w:rsidRPr="00573364">
        <w:rPr>
          <w:rFonts w:eastAsiaTheme="minorEastAsia" w:cstheme="minorHAnsi"/>
          <w:lang w:eastAsia="zh-CN"/>
        </w:rPr>
        <w:t>health</w:t>
      </w:r>
      <w:proofErr w:type="gramEnd"/>
      <w:r w:rsidRPr="00573364">
        <w:rPr>
          <w:rFonts w:eastAsiaTheme="minorEastAsia" w:cstheme="minorHAnsi"/>
          <w:lang w:eastAsia="zh-CN"/>
        </w:rPr>
        <w:t xml:space="preserve"> </w:t>
      </w:r>
      <w:r w:rsidR="00FE73B4" w:rsidRPr="00573364">
        <w:rPr>
          <w:rFonts w:eastAsiaTheme="minorEastAsia" w:cstheme="minorHAnsi"/>
          <w:lang w:eastAsia="zh-CN"/>
        </w:rPr>
        <w:t>studies of disease outbreak and tracking?</w:t>
      </w: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573364" w:rsidP="00573364">
      <w:pPr>
        <w:autoSpaceDE w:val="0"/>
        <w:autoSpaceDN w:val="0"/>
        <w:adjustRightInd w:val="0"/>
        <w:ind w:left="900" w:hanging="180"/>
        <w:rPr>
          <w:rFonts w:ascii="CMR10" w:eastAsiaTheme="minorEastAsia" w:hAnsi="CMR10" w:cs="CMR10"/>
          <w:lang w:eastAsia="zh-CN"/>
        </w:rPr>
      </w:pPr>
    </w:p>
    <w:p w:rsidR="00573364" w:rsidRDefault="00FE73B4" w:rsidP="00573364">
      <w:pPr>
        <w:autoSpaceDE w:val="0"/>
        <w:autoSpaceDN w:val="0"/>
        <w:adjustRightInd w:val="0"/>
        <w:ind w:left="900" w:hanging="180"/>
        <w:rPr>
          <w:rFonts w:eastAsiaTheme="minorEastAsia" w:cstheme="minorHAnsi"/>
          <w:lang w:eastAsia="zh-CN"/>
        </w:rPr>
      </w:pPr>
      <w:r w:rsidRPr="00573364">
        <w:rPr>
          <w:rFonts w:eastAsiaTheme="minorEastAsia" w:cstheme="minorHAnsi"/>
          <w:lang w:eastAsia="zh-CN"/>
        </w:rPr>
        <w:t>11. Describe how the availability of inexpensive sequencing machin</w:t>
      </w:r>
      <w:r w:rsidR="00573364" w:rsidRPr="00573364">
        <w:rPr>
          <w:rFonts w:eastAsiaTheme="minorEastAsia" w:cstheme="minorHAnsi"/>
          <w:lang w:eastAsia="zh-CN"/>
        </w:rPr>
        <w:t>es in individual lab will affect</w:t>
      </w:r>
    </w:p>
    <w:p w:rsidR="00FE73B4" w:rsidRPr="00573364" w:rsidRDefault="00573364" w:rsidP="00573364">
      <w:pPr>
        <w:autoSpaceDE w:val="0"/>
        <w:autoSpaceDN w:val="0"/>
        <w:adjustRightInd w:val="0"/>
        <w:ind w:left="900"/>
        <w:rPr>
          <w:rFonts w:eastAsiaTheme="minorEastAsia" w:cstheme="minorHAnsi"/>
          <w:lang w:eastAsia="zh-CN"/>
        </w:rPr>
      </w:pPr>
      <w:r>
        <w:rPr>
          <w:rFonts w:eastAsiaTheme="minorEastAsia" w:cstheme="minorHAnsi"/>
          <w:lang w:eastAsia="zh-CN"/>
        </w:rPr>
        <w:t xml:space="preserve">  </w:t>
      </w:r>
      <w:proofErr w:type="gramStart"/>
      <w:r w:rsidR="00FE73B4" w:rsidRPr="00573364">
        <w:rPr>
          <w:rFonts w:eastAsiaTheme="minorEastAsia" w:cstheme="minorHAnsi"/>
          <w:lang w:eastAsia="zh-CN"/>
        </w:rPr>
        <w:t>the</w:t>
      </w:r>
      <w:proofErr w:type="gramEnd"/>
      <w:r w:rsidR="00FE73B4" w:rsidRPr="00573364">
        <w:rPr>
          <w:rFonts w:eastAsiaTheme="minorEastAsia" w:cstheme="minorHAnsi"/>
          <w:lang w:eastAsia="zh-CN"/>
        </w:rPr>
        <w:t xml:space="preserve"> use of whole genome sequence data for diagnostic use.</w:t>
      </w:r>
    </w:p>
    <w:sectPr w:rsidR="00FE73B4" w:rsidRPr="00573364" w:rsidSect="007005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BCC" w:rsidRDefault="002E3BCC" w:rsidP="004423E5">
      <w:r>
        <w:separator/>
      </w:r>
    </w:p>
  </w:endnote>
  <w:endnote w:type="continuationSeparator" w:id="0">
    <w:p w:rsidR="002E3BCC" w:rsidRDefault="002E3BCC" w:rsidP="00442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030391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B2FBA" w:rsidRPr="00EB2FBA" w:rsidRDefault="001A1EED">
        <w:pPr>
          <w:pStyle w:val="Footer"/>
          <w:jc w:val="right"/>
          <w:rPr>
            <w:sz w:val="20"/>
            <w:szCs w:val="20"/>
          </w:rPr>
        </w:pPr>
        <w:r w:rsidRPr="00EB2FBA">
          <w:rPr>
            <w:sz w:val="20"/>
            <w:szCs w:val="20"/>
          </w:rPr>
          <w:fldChar w:fldCharType="begin"/>
        </w:r>
        <w:r w:rsidR="00EB2FBA" w:rsidRPr="00EB2FBA">
          <w:rPr>
            <w:sz w:val="20"/>
            <w:szCs w:val="20"/>
          </w:rPr>
          <w:instrText xml:space="preserve"> PAGE   \* MERGEFORMAT </w:instrText>
        </w:r>
        <w:r w:rsidRPr="00EB2FBA">
          <w:rPr>
            <w:sz w:val="20"/>
            <w:szCs w:val="20"/>
          </w:rPr>
          <w:fldChar w:fldCharType="separate"/>
        </w:r>
        <w:r w:rsidR="005B7730">
          <w:rPr>
            <w:noProof/>
            <w:sz w:val="20"/>
            <w:szCs w:val="20"/>
          </w:rPr>
          <w:t>1</w:t>
        </w:r>
        <w:r w:rsidRPr="00EB2FBA">
          <w:rPr>
            <w:sz w:val="20"/>
            <w:szCs w:val="20"/>
          </w:rPr>
          <w:fldChar w:fldCharType="end"/>
        </w:r>
      </w:p>
    </w:sdtContent>
  </w:sdt>
  <w:p w:rsidR="00EB2FBA" w:rsidRDefault="00EB2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BCC" w:rsidRDefault="002E3BCC" w:rsidP="004423E5">
      <w:r>
        <w:separator/>
      </w:r>
    </w:p>
  </w:footnote>
  <w:footnote w:type="continuationSeparator" w:id="0">
    <w:p w:rsidR="002E3BCC" w:rsidRDefault="002E3BCC" w:rsidP="004423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3E5" w:rsidRPr="00EB2FBA" w:rsidRDefault="00EB2FBA" w:rsidP="004423E5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 xml:space="preserve">02-711/03-711/15-856         </w:t>
    </w:r>
    <w:r w:rsidR="004423E5" w:rsidRPr="00EB2FBA">
      <w:rPr>
        <w:rFonts w:cstheme="minorHAnsi"/>
        <w:sz w:val="24"/>
        <w:szCs w:val="24"/>
      </w:rPr>
      <w:tab/>
      <w:t>Computational Genomics and Molecular Biology</w:t>
    </w:r>
    <w:r w:rsidR="004423E5" w:rsidRPr="00EB2FBA">
      <w:rPr>
        <w:rFonts w:cstheme="minorHAnsi"/>
        <w:sz w:val="24"/>
        <w:szCs w:val="24"/>
      </w:rPr>
      <w:ptab w:relativeTo="margin" w:alignment="right" w:leader="none"/>
    </w:r>
    <w:r w:rsidR="004423E5" w:rsidRPr="00EB2FBA">
      <w:rPr>
        <w:rFonts w:cstheme="minorHAnsi"/>
        <w:sz w:val="24"/>
        <w:szCs w:val="24"/>
      </w:rPr>
      <w:t>Fall 2013</w:t>
    </w:r>
  </w:p>
  <w:p w:rsidR="004423E5" w:rsidRDefault="004423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A18"/>
    <w:multiLevelType w:val="hybridMultilevel"/>
    <w:tmpl w:val="C1461A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04AAF"/>
    <w:multiLevelType w:val="hybridMultilevel"/>
    <w:tmpl w:val="D026D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9082F"/>
    <w:multiLevelType w:val="hybridMultilevel"/>
    <w:tmpl w:val="EF4A9F4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C1566"/>
    <w:multiLevelType w:val="hybridMultilevel"/>
    <w:tmpl w:val="627C8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207683"/>
    <w:multiLevelType w:val="hybridMultilevel"/>
    <w:tmpl w:val="29AC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01D1E"/>
    <w:multiLevelType w:val="hybridMultilevel"/>
    <w:tmpl w:val="7C46EA2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A71AE"/>
    <w:multiLevelType w:val="hybridMultilevel"/>
    <w:tmpl w:val="F672F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6C0013"/>
    <w:multiLevelType w:val="hybridMultilevel"/>
    <w:tmpl w:val="5166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93482"/>
    <w:multiLevelType w:val="hybridMultilevel"/>
    <w:tmpl w:val="294EE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074BC"/>
    <w:multiLevelType w:val="hybridMultilevel"/>
    <w:tmpl w:val="342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AC1"/>
    <w:rsid w:val="00014F59"/>
    <w:rsid w:val="00040DD5"/>
    <w:rsid w:val="00082967"/>
    <w:rsid w:val="0010357E"/>
    <w:rsid w:val="0012374A"/>
    <w:rsid w:val="001555AF"/>
    <w:rsid w:val="001608E4"/>
    <w:rsid w:val="001A1EED"/>
    <w:rsid w:val="001B2E61"/>
    <w:rsid w:val="001D186B"/>
    <w:rsid w:val="001D4237"/>
    <w:rsid w:val="00235BCE"/>
    <w:rsid w:val="00261942"/>
    <w:rsid w:val="002631E3"/>
    <w:rsid w:val="002706ED"/>
    <w:rsid w:val="002E3BCC"/>
    <w:rsid w:val="0032095F"/>
    <w:rsid w:val="003668A8"/>
    <w:rsid w:val="003B17F9"/>
    <w:rsid w:val="004423E5"/>
    <w:rsid w:val="004627C4"/>
    <w:rsid w:val="004D3602"/>
    <w:rsid w:val="004E6240"/>
    <w:rsid w:val="00520364"/>
    <w:rsid w:val="00526776"/>
    <w:rsid w:val="00541DF3"/>
    <w:rsid w:val="005550FA"/>
    <w:rsid w:val="00573364"/>
    <w:rsid w:val="005B7730"/>
    <w:rsid w:val="005E47DA"/>
    <w:rsid w:val="006157ED"/>
    <w:rsid w:val="007633E5"/>
    <w:rsid w:val="007874CD"/>
    <w:rsid w:val="007E5137"/>
    <w:rsid w:val="00896B2D"/>
    <w:rsid w:val="009C01EE"/>
    <w:rsid w:val="009E490C"/>
    <w:rsid w:val="00A614DB"/>
    <w:rsid w:val="00B075C0"/>
    <w:rsid w:val="00B35126"/>
    <w:rsid w:val="00BB2AC1"/>
    <w:rsid w:val="00C53C79"/>
    <w:rsid w:val="00D053C3"/>
    <w:rsid w:val="00DC1540"/>
    <w:rsid w:val="00DC1BD7"/>
    <w:rsid w:val="00DD49B6"/>
    <w:rsid w:val="00E1548F"/>
    <w:rsid w:val="00E2718E"/>
    <w:rsid w:val="00E66F17"/>
    <w:rsid w:val="00E87C8A"/>
    <w:rsid w:val="00EB2FBA"/>
    <w:rsid w:val="00F25AC9"/>
    <w:rsid w:val="00F35F7F"/>
    <w:rsid w:val="00F8640B"/>
    <w:rsid w:val="00FB0679"/>
    <w:rsid w:val="00FE5E19"/>
    <w:rsid w:val="00FE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C1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A8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5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1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12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126"/>
    <w:rPr>
      <w:rFonts w:eastAsiaTheme="minorHAns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4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3E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3E5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C1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A8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5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1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12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126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welsch</cp:lastModifiedBy>
  <cp:revision>4</cp:revision>
  <cp:lastPrinted>2013-10-23T23:30:00Z</cp:lastPrinted>
  <dcterms:created xsi:type="dcterms:W3CDTF">2013-11-15T21:45:00Z</dcterms:created>
  <dcterms:modified xsi:type="dcterms:W3CDTF">2013-11-15T22:01:00Z</dcterms:modified>
</cp:coreProperties>
</file>