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C8973A" w:sz="12" w:space="6"/>
        </w:pBdr>
        <w:spacing w:after="80" w:before="0"/>
      </w:pPr>
      <w:r>
        <w:rPr>
          <w:rFonts w:ascii="Calibri" w:cs="Calibri" w:eastAsia="Calibri" w:hAnsi="Calibri"/>
          <w:b/>
          <w:bCs/>
          <w:caps/>
          <w:color w:val="C8973A"/>
          <w:sz w:val="18"/>
          <w:szCs w:val="18"/>
        </w:rPr>
        <w:t xml:space="preserve">CONVERSATION TRANSCRIPT</w:t>
      </w:r>
    </w:p>
    <w:p>
      <w:pPr>
        <w:spacing w:after="80" w:before="120"/>
      </w:pPr>
      <w:r>
        <w:rPr>
          <w:rFonts w:ascii="Calibri" w:cs="Calibri" w:eastAsia="Calibri" w:hAnsi="Calibri"/>
          <w:b/>
          <w:bCs/>
          <w:color w:val="0D0D0B"/>
          <w:sz w:val="48"/>
          <w:szCs w:val="48"/>
        </w:rPr>
        <w:t xml:space="preserve">Store Performance Diagnostic Agent</w:t>
      </w:r>
    </w:p>
    <w:p>
      <w:pPr>
        <w:spacing w:after="40" w:before="0"/>
      </w:pPr>
      <w:r>
        <w:rPr>
          <w:rFonts w:ascii="Calibri" w:cs="Calibri" w:eastAsia="Calibri" w:hAnsi="Calibri"/>
          <w:color w:val="5A5850"/>
          <w:sz w:val="21"/>
          <w:szCs w:val="21"/>
        </w:rPr>
        <w:t xml:space="preserve">An AI agent for identifying conversion change drivers, generating actionable playbooks for degrowing stores,</w:t>
      </w:r>
    </w:p>
    <w:p>
      <w:pPr>
        <w:spacing w:after="200" w:before="0"/>
      </w:pPr>
      <w:r>
        <w:rPr>
          <w:rFonts w:ascii="Calibri" w:cs="Calibri" w:eastAsia="Calibri" w:hAnsi="Calibri"/>
          <w:color w:val="5A5850"/>
          <w:sz w:val="21"/>
          <w:szCs w:val="21"/>
        </w:rPr>
        <w:t xml:space="preserve">and delivering automated store health reports for Zonal Managers.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E0DCCC" w:sz="4"/>
              <w:left w:val="single" w:color="E0DCCC" w:sz="4"/>
              <w:bottom w:val="single" w:color="E0DCCC" w:sz="4"/>
              <w:right w:val="single" w:color="E0DCCC" w:sz="4"/>
            </w:tcBorders>
            <w:shd w:fill="F7F5EE" w:val="clear"/>
            <w:tcMar>
              <w:top w:type="dxa" w:w="80"/>
              <w:left w:type="dxa" w:w="120"/>
              <w:bottom w:type="dxa" w:w="80"/>
              <w:right w:type="dxa" w:w="120"/>
            </w:tcMar>
          </w:tcPr>
          <w:p>
            <w:r>
              <w:rPr>
                <w:rFonts w:ascii="Calibri" w:cs="Calibri" w:eastAsia="Calibri" w:hAnsi="Calibri"/>
                <w:b/>
                <w:bCs/>
                <w:color w:val="1B3A6B"/>
                <w:sz w:val="17"/>
                <w:szCs w:val="17"/>
              </w:rPr>
              <w:t xml:space="preserve">Workspace</w:t>
            </w:r>
          </w:p>
          <w:p>
            <w:r>
              <w:rPr>
                <w:rFonts w:ascii="Calibri" w:cs="Calibri" w:eastAsia="Calibri" w:hAnsi="Calibri"/>
                <w:color w:val="2a2920"/>
                <w:sz w:val="19"/>
                <w:szCs w:val="19"/>
              </w:rPr>
              <w:t xml:space="preserve">Offline Operations</w:t>
            </w:r>
          </w:p>
        </w:tc>
        <w:tc>
          <w:tcPr>
            <w:tcW w:type="dxa" w:w="2400"/>
            <w:tcBorders>
              <w:top w:val="single" w:color="E0DCCC" w:sz="4"/>
              <w:left w:val="single" w:color="E0DCCC" w:sz="4"/>
              <w:bottom w:val="single" w:color="E0DCCC" w:sz="4"/>
              <w:right w:val="single" w:color="E0DCCC" w:sz="4"/>
            </w:tcBorders>
            <w:shd w:fill="F7F5EE" w:val="clear"/>
            <w:tcMar>
              <w:top w:type="dxa" w:w="80"/>
              <w:left w:type="dxa" w:w="120"/>
              <w:bottom w:type="dxa" w:w="80"/>
              <w:right w:type="dxa" w:w="120"/>
            </w:tcMar>
          </w:tcPr>
          <w:p>
            <w:r>
              <w:rPr>
                <w:rFonts w:ascii="Calibri" w:cs="Calibri" w:eastAsia="Calibri" w:hAnsi="Calibri"/>
                <w:b/>
                <w:bCs/>
                <w:color w:val="1B3A6B"/>
                <w:sz w:val="17"/>
                <w:szCs w:val="17"/>
              </w:rPr>
              <w:t xml:space="preserve">Model</w:t>
            </w:r>
          </w:p>
          <w:p>
            <w:r>
              <w:rPr>
                <w:rFonts w:ascii="Calibri" w:cs="Calibri" w:eastAsia="Calibri" w:hAnsi="Calibri"/>
                <w:color w:val="2a2920"/>
                <w:sz w:val="19"/>
                <w:szCs w:val="19"/>
              </w:rPr>
              <w:t xml:space="preserve">Store Insights (Fabric XMLA)</w:t>
            </w:r>
          </w:p>
        </w:tc>
        <w:tc>
          <w:tcPr>
            <w:tcW w:type="dxa" w:w="2400"/>
            <w:tcBorders>
              <w:top w:val="single" w:color="E0DCCC" w:sz="4"/>
              <w:left w:val="single" w:color="E0DCCC" w:sz="4"/>
              <w:bottom w:val="single" w:color="E0DCCC" w:sz="4"/>
              <w:right w:val="single" w:color="E0DCCC" w:sz="4"/>
            </w:tcBorders>
            <w:shd w:fill="F7F5EE" w:val="clear"/>
            <w:tcMar>
              <w:top w:type="dxa" w:w="80"/>
              <w:left w:type="dxa" w:w="120"/>
              <w:bottom w:type="dxa" w:w="80"/>
              <w:right w:type="dxa" w:w="120"/>
            </w:tcMar>
          </w:tcPr>
          <w:p>
            <w:r>
              <w:rPr>
                <w:rFonts w:ascii="Calibri" w:cs="Calibri" w:eastAsia="Calibri" w:hAnsi="Calibri"/>
                <w:b/>
                <w:bCs/>
                <w:color w:val="1B3A6B"/>
                <w:sz w:val="17"/>
                <w:szCs w:val="17"/>
              </w:rPr>
              <w:t xml:space="preserve">Stores covered</w:t>
            </w:r>
          </w:p>
          <w:p>
            <w:r>
              <w:rPr>
                <w:rFonts w:ascii="Calibri" w:cs="Calibri" w:eastAsia="Calibri" w:hAnsi="Calibri"/>
                <w:color w:val="2a2920"/>
                <w:sz w:val="19"/>
                <w:szCs w:val="19"/>
              </w:rPr>
              <w:t xml:space="preserve">1,572 active / new</w:t>
            </w:r>
          </w:p>
        </w:tc>
        <w:tc>
          <w:tcPr>
            <w:tcW w:type="dxa" w:w="2160"/>
            <w:tcBorders>
              <w:top w:val="single" w:color="E0DCCC" w:sz="4"/>
              <w:left w:val="single" w:color="E0DCCC" w:sz="4"/>
              <w:bottom w:val="single" w:color="E0DCCC" w:sz="4"/>
              <w:right w:val="single" w:color="E0DCCC" w:sz="4"/>
            </w:tcBorders>
            <w:shd w:fill="F7F5EE" w:val="clear"/>
            <w:tcMar>
              <w:top w:type="dxa" w:w="80"/>
              <w:left w:type="dxa" w:w="120"/>
              <w:bottom w:type="dxa" w:w="80"/>
              <w:right w:type="dxa" w:w="120"/>
            </w:tcMar>
          </w:tcPr>
          <w:p>
            <w:r>
              <w:rPr>
                <w:rFonts w:ascii="Calibri" w:cs="Calibri" w:eastAsia="Calibri" w:hAnsi="Calibri"/>
                <w:b/>
                <w:bCs/>
                <w:color w:val="1B3A6B"/>
                <w:sz w:val="17"/>
                <w:szCs w:val="17"/>
              </w:rPr>
              <w:t xml:space="preserve">Date</w:t>
            </w:r>
          </w:p>
          <w:p>
            <w:r>
              <w:rPr>
                <w:rFonts w:ascii="Calibri" w:cs="Calibri" w:eastAsia="Calibri" w:hAnsi="Calibri"/>
                <w:color w:val="2a2920"/>
                <w:sz w:val="19"/>
                <w:szCs w:val="19"/>
              </w:rPr>
              <w:t xml:space="preserve">April 2026</w:t>
            </w:r>
          </w:p>
        </w:tc>
      </w:tr>
    </w:tbl>
    <w:p>
      <w:pPr>
        <w:spacing w:after="0" w:before="200"/>
      </w:pPr>
      <w:r>
        <w:t xml:space="preserve"/>
      </w:r>
    </w:p>
    <w:p>
      <w:pPr>
        <w:pStyle w:val="Heading1"/>
        <w:pBdr>
          <w:bottom w:val="single" w:color="C8973A" w:sz="6" w:space="4"/>
        </w:pBdr>
        <w:spacing w:after="120" w:before="360"/>
      </w:pPr>
      <w:r>
        <w:rPr>
          <w:rFonts w:ascii="Calibri" w:cs="Calibri" w:eastAsia="Calibri" w:hAnsi="Calibri"/>
          <w:b/>
          <w:bCs/>
          <w:color w:val="0D0D0B"/>
          <w:sz w:val="28"/>
          <w:szCs w:val="28"/>
        </w:rPr>
        <w:t xml:space="preserve">Table of Contents</w:t>
      </w:r>
    </w:p>
    <w:p>
      <w:pPr>
        <w:tabs>
          <w:tab w:val="right" w:pos="9360" w:leader="dot"/>
        </w:tabs>
        <w:spacing w:after="40" w:before="40"/>
      </w:pPr>
      <w:r>
        <w:rPr>
          <w:rFonts w:ascii="Calibri" w:cs="Calibri" w:eastAsia="Calibri" w:hAnsi="Calibri"/>
          <w:color w:val="2a2920"/>
          <w:sz w:val="19"/>
          <w:szCs w:val="19"/>
        </w:rPr>
        <w:t xml:space="preserve">1.  Session Overview &amp; Context</w:t>
      </w:r>
      <w:r>
        <w:rPr>
          <w:rFonts w:ascii="Calibri" w:cs="Calibri" w:eastAsia="Calibri" w:hAnsi="Calibri"/>
          <w:color w:val="5A5850"/>
          <w:sz w:val="19"/>
          <w:szCs w:val="19"/>
        </w:rPr>
        <w:t xml:space="preserve">	3</w:t>
      </w:r>
    </w:p>
    <w:p>
      <w:pPr>
        <w:tabs>
          <w:tab w:val="right" w:pos="9360" w:leader="dot"/>
        </w:tabs>
        <w:spacing w:after="40" w:before="40"/>
      </w:pPr>
      <w:r>
        <w:rPr>
          <w:rFonts w:ascii="Calibri" w:cs="Calibri" w:eastAsia="Calibri" w:hAnsi="Calibri"/>
          <w:color w:val="2a2920"/>
          <w:sz w:val="19"/>
          <w:szCs w:val="19"/>
        </w:rPr>
        <w:t xml:space="preserve">2.  Phase 1 — Model Connection &amp; Initial KPI Check</w:t>
      </w:r>
      <w:r>
        <w:rPr>
          <w:rFonts w:ascii="Calibri" w:cs="Calibri" w:eastAsia="Calibri" w:hAnsi="Calibri"/>
          <w:color w:val="5A5850"/>
          <w:sz w:val="19"/>
          <w:szCs w:val="19"/>
        </w:rPr>
        <w:t xml:space="preserve">	4</w:t>
      </w:r>
    </w:p>
    <w:p>
      <w:pPr>
        <w:tabs>
          <w:tab w:val="right" w:pos="9360" w:leader="dot"/>
        </w:tabs>
        <w:spacing w:after="40" w:before="40"/>
      </w:pPr>
      <w:r>
        <w:rPr>
          <w:rFonts w:ascii="Calibri" w:cs="Calibri" w:eastAsia="Calibri" w:hAnsi="Calibri"/>
          <w:color w:val="2a2920"/>
          <w:sz w:val="19"/>
          <w:szCs w:val="19"/>
        </w:rPr>
        <w:t xml:space="preserve">3.  Phase 2 — Diagnostic Logic Framework (Steps 1–3)</w:t>
      </w:r>
      <w:r>
        <w:rPr>
          <w:rFonts w:ascii="Calibri" w:cs="Calibri" w:eastAsia="Calibri" w:hAnsi="Calibri"/>
          <w:color w:val="5A5850"/>
          <w:sz w:val="19"/>
          <w:szCs w:val="19"/>
        </w:rPr>
        <w:t xml:space="preserve">	5</w:t>
      </w:r>
    </w:p>
    <w:p>
      <w:pPr>
        <w:tabs>
          <w:tab w:val="right" w:pos="9360" w:leader="dot"/>
        </w:tabs>
        <w:spacing w:after="40" w:before="40"/>
      </w:pPr>
      <w:r>
        <w:rPr>
          <w:rFonts w:ascii="Calibri" w:cs="Calibri" w:eastAsia="Calibri" w:hAnsi="Calibri"/>
          <w:color w:val="2a2920"/>
          <w:sz w:val="19"/>
          <w:szCs w:val="19"/>
        </w:rPr>
        <w:t xml:space="preserve">4.  Phase 3 — Correlation Engine</w:t>
      </w:r>
      <w:r>
        <w:rPr>
          <w:rFonts w:ascii="Calibri" w:cs="Calibri" w:eastAsia="Calibri" w:hAnsi="Calibri"/>
          <w:color w:val="5A5850"/>
          <w:sz w:val="19"/>
          <w:szCs w:val="19"/>
        </w:rPr>
        <w:t xml:space="preserve">	7</w:t>
      </w:r>
    </w:p>
    <w:p>
      <w:pPr>
        <w:tabs>
          <w:tab w:val="right" w:pos="9360" w:leader="dot"/>
        </w:tabs>
        <w:spacing w:after="40" w:before="40"/>
      </w:pPr>
      <w:r>
        <w:rPr>
          <w:rFonts w:ascii="Calibri" w:cs="Calibri" w:eastAsia="Calibri" w:hAnsi="Calibri"/>
          <w:color w:val="2a2920"/>
          <w:sz w:val="19"/>
          <w:szCs w:val="19"/>
        </w:rPr>
        <w:t xml:space="preserve">5.  Phase 4 — Leakage Diagnostic Pathway (Levels 1–3)</w:t>
      </w:r>
      <w:r>
        <w:rPr>
          <w:rFonts w:ascii="Calibri" w:cs="Calibri" w:eastAsia="Calibri" w:hAnsi="Calibri"/>
          <w:color w:val="5A5850"/>
          <w:sz w:val="19"/>
          <w:szCs w:val="19"/>
        </w:rPr>
        <w:t xml:space="preserve">	9</w:t>
      </w:r>
    </w:p>
    <w:p>
      <w:pPr>
        <w:tabs>
          <w:tab w:val="right" w:pos="9360" w:leader="dot"/>
        </w:tabs>
        <w:spacing w:after="40" w:before="40"/>
      </w:pPr>
      <w:r>
        <w:rPr>
          <w:rFonts w:ascii="Calibri" w:cs="Calibri" w:eastAsia="Calibri" w:hAnsi="Calibri"/>
          <w:color w:val="2a2920"/>
          <w:sz w:val="19"/>
          <w:szCs w:val="19"/>
        </w:rPr>
        <w:t xml:space="preserve">6.  Phase 5 — Store Health Report Design</w:t>
      </w:r>
      <w:r>
        <w:rPr>
          <w:rFonts w:ascii="Calibri" w:cs="Calibri" w:eastAsia="Calibri" w:hAnsi="Calibri"/>
          <w:color w:val="5A5850"/>
          <w:sz w:val="19"/>
          <w:szCs w:val="19"/>
        </w:rPr>
        <w:t xml:space="preserve">	11</w:t>
      </w:r>
    </w:p>
    <w:p>
      <w:pPr>
        <w:tabs>
          <w:tab w:val="right" w:pos="9360" w:leader="dot"/>
        </w:tabs>
        <w:spacing w:after="40" w:before="40"/>
      </w:pPr>
      <w:r>
        <w:rPr>
          <w:rFonts w:ascii="Calibri" w:cs="Calibri" w:eastAsia="Calibri" w:hAnsi="Calibri"/>
          <w:color w:val="2a2920"/>
          <w:sz w:val="19"/>
          <w:szCs w:val="19"/>
        </w:rPr>
        <w:t xml:space="preserve">7.  Phase 6 — Data Validation (LKST1838 &amp; LKST1781)</w:t>
      </w:r>
      <w:r>
        <w:rPr>
          <w:rFonts w:ascii="Calibri" w:cs="Calibri" w:eastAsia="Calibri" w:hAnsi="Calibri"/>
          <w:color w:val="5A5850"/>
          <w:sz w:val="19"/>
          <w:szCs w:val="19"/>
        </w:rPr>
        <w:t xml:space="preserve">	13</w:t>
      </w:r>
    </w:p>
    <w:p>
      <w:pPr>
        <w:tabs>
          <w:tab w:val="right" w:pos="9360" w:leader="dot"/>
        </w:tabs>
        <w:spacing w:after="40" w:before="40"/>
      </w:pPr>
      <w:r>
        <w:rPr>
          <w:rFonts w:ascii="Calibri" w:cs="Calibri" w:eastAsia="Calibri" w:hAnsi="Calibri"/>
          <w:color w:val="2a2920"/>
          <w:sz w:val="19"/>
          <w:szCs w:val="19"/>
        </w:rPr>
        <w:t xml:space="preserve">8.  Phase 7 — Interactive Report Widget</w:t>
      </w:r>
      <w:r>
        <w:rPr>
          <w:rFonts w:ascii="Calibri" w:cs="Calibri" w:eastAsia="Calibri" w:hAnsi="Calibri"/>
          <w:color w:val="5A5850"/>
          <w:sz w:val="19"/>
          <w:szCs w:val="19"/>
        </w:rPr>
        <w:t xml:space="preserve">	15</w:t>
      </w:r>
    </w:p>
    <w:p>
      <w:pPr>
        <w:tabs>
          <w:tab w:val="right" w:pos="9360" w:leader="dot"/>
        </w:tabs>
        <w:spacing w:after="40" w:before="40"/>
      </w:pPr>
      <w:r>
        <w:rPr>
          <w:rFonts w:ascii="Calibri" w:cs="Calibri" w:eastAsia="Calibri" w:hAnsi="Calibri"/>
          <w:color w:val="2a2920"/>
          <w:sz w:val="19"/>
          <w:szCs w:val="19"/>
        </w:rPr>
        <w:t xml:space="preserve">9.  Key Technical Learnings</w:t>
      </w:r>
      <w:r>
        <w:rPr>
          <w:rFonts w:ascii="Calibri" w:cs="Calibri" w:eastAsia="Calibri" w:hAnsi="Calibri"/>
          <w:color w:val="5A5850"/>
          <w:sz w:val="19"/>
          <w:szCs w:val="19"/>
        </w:rPr>
        <w:t xml:space="preserve">	17</w:t>
      </w:r>
    </w:p>
    <w:p>
      <w:pPr>
        <w:tabs>
          <w:tab w:val="right" w:pos="9360" w:leader="dot"/>
        </w:tabs>
        <w:spacing w:after="40" w:before="40"/>
      </w:pPr>
      <w:r>
        <w:rPr>
          <w:rFonts w:ascii="Calibri" w:cs="Calibri" w:eastAsia="Calibri" w:hAnsi="Calibri"/>
          <w:color w:val="2a2920"/>
          <w:sz w:val="19"/>
          <w:szCs w:val="19"/>
        </w:rPr>
        <w:t xml:space="preserve">10.  Validated Data Reference</w:t>
      </w:r>
      <w:r>
        <w:rPr>
          <w:rFonts w:ascii="Calibri" w:cs="Calibri" w:eastAsia="Calibri" w:hAnsi="Calibri"/>
          <w:color w:val="5A5850"/>
          <w:sz w:val="19"/>
          <w:szCs w:val="19"/>
        </w:rPr>
        <w:t xml:space="preserve">	18</w:t>
      </w:r>
    </w:p>
    <w:p>
      <w:pPr>
        <w:tabs>
          <w:tab w:val="right" w:pos="9360" w:leader="dot"/>
        </w:tabs>
        <w:spacing w:after="40" w:before="40"/>
      </w:pPr>
      <w:r>
        <w:rPr>
          <w:rFonts w:ascii="Calibri" w:cs="Calibri" w:eastAsia="Calibri" w:hAnsi="Calibri"/>
          <w:color w:val="2a2920"/>
          <w:sz w:val="19"/>
          <w:szCs w:val="19"/>
        </w:rPr>
        <w:t xml:space="preserve">11.  Deliverables Index</w:t>
      </w:r>
      <w:r>
        <w:rPr>
          <w:rFonts w:ascii="Calibri" w:cs="Calibri" w:eastAsia="Calibri" w:hAnsi="Calibri"/>
          <w:color w:val="5A5850"/>
          <w:sz w:val="19"/>
          <w:szCs w:val="19"/>
        </w:rPr>
        <w:t xml:space="preserve">	19</w:t>
      </w:r>
    </w:p>
    <w:p>
      <w:pPr>
        <w:spacing w:after="0" w:before="200"/>
      </w:pPr>
      <w:r>
        <w:t xml:space="preserve"/>
      </w:r>
    </w:p>
    <w:p>
      <w:pPr>
        <w:spacing w:after="0" w:before="200"/>
      </w:pPr>
      <w:r>
        <w:t xml:space="preserve"/>
      </w:r>
    </w:p>
    <w:p>
      <w:pPr>
        <w:pBdr>
          <w:top w:val="single" w:color="C8973A" w:sz="8" w:space="4"/>
        </w:pBdr>
        <w:spacing w:after="0" w:before="0"/>
        <w:jc w:val="center"/>
      </w:pPr>
      <w:r>
        <w:rPr>
          <w:rFonts w:ascii="Calibri" w:cs="Calibri" w:eastAsia="Calibri" w:hAnsi="Calibri"/>
          <w:b/>
          <w:bCs/>
          <w:color w:val="C8973A"/>
          <w:sz w:val="20"/>
          <w:szCs w:val="20"/>
        </w:rPr>
        <w:t xml:space="preserve">  ◆  SESSION OVERVIEW &amp; CONTEXT  ◆  </w:t>
      </w:r>
    </w:p>
    <w:p>
      <w:pPr>
        <w:spacing w:after="0" w:before="120"/>
      </w:pPr>
      <w:r>
        <w:t xml:space="preserve"/>
      </w:r>
    </w:p>
    <w:p>
      <w:pPr>
        <w:pStyle w:val="Heading1"/>
        <w:pBdr>
          <w:bottom w:val="single" w:color="C8973A" w:sz="6" w:space="4"/>
        </w:pBdr>
        <w:spacing w:after="120" w:before="360"/>
      </w:pPr>
      <w:r>
        <w:rPr>
          <w:rFonts w:ascii="Calibri" w:cs="Calibri" w:eastAsia="Calibri" w:hAnsi="Calibri"/>
          <w:b/>
          <w:bCs/>
          <w:color w:val="0D0D0B"/>
          <w:sz w:val="28"/>
          <w:szCs w:val="28"/>
        </w:rPr>
        <w:t xml:space="preserve">1. Session Overview &amp; Context</w:t>
      </w:r>
    </w:p>
    <w:p>
      <w:pPr>
        <w:pStyle w:val="Heading2"/>
        <w:spacing w:after="80" w:before="240"/>
      </w:pPr>
      <w:r>
        <w:rPr>
          <w:rFonts w:ascii="Calibri" w:cs="Calibri" w:eastAsia="Calibri" w:hAnsi="Calibri"/>
          <w:b/>
          <w:bCs/>
          <w:color w:val="1B3A6B"/>
          <w:sz w:val="22"/>
          <w:szCs w:val="22"/>
        </w:rPr>
        <w:t xml:space="preserve">1.1  Purpose of this transcript</w:t>
      </w:r>
    </w:p>
    <w:p>
      <w:pPr>
        <w:spacing w:after="80" w:before="40"/>
      </w:pPr>
      <w:r>
        <w:rPr>
          <w:rFonts w:ascii="Calibri" w:cs="Calibri" w:eastAsia="Calibri" w:hAnsi="Calibri"/>
          <w:color w:val="2a2920"/>
          <w:sz w:val="20"/>
          <w:szCs w:val="20"/>
        </w:rPr>
        <w:t xml:space="preserve">This document is a complete, structured record of a multi-phase conversation between a user (Lenskart Offline Operations team) and the Claude AI agent, during which the Store Performance Diagnostic Agent was designed, built, validated, and deployed. The transcript covers every significant exchange, decision, tool call, data pull, and output generated.</w:t>
      </w:r>
    </w:p>
    <w:p>
      <w:pPr>
        <w:spacing w:after="0" w:before="80"/>
      </w:pPr>
      <w:r>
        <w:t xml:space="preserve"/>
      </w:r>
    </w:p>
    <w:p>
      <w:pPr>
        <w:pStyle w:val="Heading2"/>
        <w:spacing w:after="80" w:before="240"/>
      </w:pPr>
      <w:r>
        <w:rPr>
          <w:rFonts w:ascii="Calibri" w:cs="Calibri" w:eastAsia="Calibri" w:hAnsi="Calibri"/>
          <w:b/>
          <w:bCs/>
          <w:color w:val="1B3A6B"/>
          <w:sz w:val="22"/>
          <w:szCs w:val="22"/>
        </w:rPr>
        <w:t xml:space="preserve">1.2  What was built</w:t>
      </w:r>
    </w:p>
    <w:p>
      <w:pPr>
        <w:spacing w:after="80" w:before="40"/>
      </w:pPr>
      <w:r>
        <w:rPr>
          <w:rFonts w:ascii="Calibri" w:cs="Calibri" w:eastAsia="Calibri" w:hAnsi="Calibri"/>
          <w:color w:val="2a2920"/>
          <w:sz w:val="20"/>
          <w:szCs w:val="20"/>
        </w:rPr>
        <w:t xml:space="preserve">A fully functional AI agent that:</w:t>
      </w:r>
    </w:p>
    <w:p>
      <w:pPr>
        <w:pStyle w:val="ListParagraph"/>
        <w:numPr>
          <w:ilvl w:val="0"/>
          <w:numId w:val="2"/>
        </w:numPr>
        <w:spacing w:after="40" w:before="40"/>
      </w:pPr>
      <w:r>
        <w:rPr>
          <w:rFonts w:ascii="Calibri" w:cs="Calibri" w:eastAsia="Calibri" w:hAnsi="Calibri"/>
          <w:color w:val="2a2920"/>
          <w:sz w:val="19"/>
          <w:szCs w:val="19"/>
        </w:rPr>
        <w:t xml:space="preserve">Connects live to the Store Insights Power BI Fabric semantic model via the PowerBI MCP server and XMLA endpoint</w:t>
      </w:r>
    </w:p>
    <w:p>
      <w:pPr>
        <w:pStyle w:val="ListParagraph"/>
        <w:numPr>
          <w:ilvl w:val="0"/>
          <w:numId w:val="2"/>
        </w:numPr>
        <w:spacing w:after="40" w:before="40"/>
      </w:pPr>
      <w:r>
        <w:rPr>
          <w:rFonts w:ascii="Calibri" w:cs="Calibri" w:eastAsia="Calibri" w:hAnsi="Calibri"/>
          <w:color w:val="2a2920"/>
          <w:sz w:val="19"/>
          <w:szCs w:val="19"/>
        </w:rPr>
        <w:t xml:space="preserve">Pulls 15+ KPIs per store per time period with a single structured DAX query</w:t>
      </w:r>
    </w:p>
    <w:p>
      <w:pPr>
        <w:pStyle w:val="ListParagraph"/>
        <w:numPr>
          <w:ilvl w:val="0"/>
          <w:numId w:val="2"/>
        </w:numPr>
        <w:spacing w:after="40" w:before="40"/>
      </w:pPr>
      <w:r>
        <w:rPr>
          <w:rFonts w:ascii="Calibri" w:cs="Calibri" w:eastAsia="Calibri" w:hAnsi="Calibri"/>
          <w:color w:val="2a2920"/>
          <w:sz w:val="19"/>
          <w:szCs w:val="19"/>
        </w:rPr>
        <w:t xml:space="preserve">Applies a 3-level diagnostic logic (Funnel Check → Operational Friction → Basket Quality) to identify the exact revenue leak</w:t>
      </w:r>
    </w:p>
    <w:p>
      <w:pPr>
        <w:pStyle w:val="ListParagraph"/>
        <w:numPr>
          <w:ilvl w:val="0"/>
          <w:numId w:val="2"/>
        </w:numPr>
        <w:spacing w:after="40" w:before="40"/>
      </w:pPr>
      <w:r>
        <w:rPr>
          <w:rFonts w:ascii="Calibri" w:cs="Calibri" w:eastAsia="Calibri" w:hAnsi="Calibri"/>
          <w:color w:val="2a2920"/>
          <w:sz w:val="19"/>
          <w:szCs w:val="19"/>
        </w:rPr>
        <w:t xml:space="preserve">Computes an AI Health Score (0–100) across Revenue, Operations, Merchandising, and Infrastructure dimensions</w:t>
      </w:r>
    </w:p>
    <w:p>
      <w:pPr>
        <w:pStyle w:val="ListParagraph"/>
        <w:numPr>
          <w:ilvl w:val="0"/>
          <w:numId w:val="2"/>
        </w:numPr>
        <w:spacing w:after="40" w:before="40"/>
      </w:pPr>
      <w:r>
        <w:rPr>
          <w:rFonts w:ascii="Calibri" w:cs="Calibri" w:eastAsia="Calibri" w:hAnsi="Calibri"/>
          <w:color w:val="2a2920"/>
          <w:sz w:val="19"/>
          <w:szCs w:val="19"/>
        </w:rPr>
        <w:t xml:space="preserve">Generates a store-specific actionable playbook with 🔴 Immediate / 🟡 Today / 🔵 This week priorities named to specific staff (ZM, AOM, optometrist)</w:t>
      </w:r>
    </w:p>
    <w:p>
      <w:pPr>
        <w:pStyle w:val="ListParagraph"/>
        <w:numPr>
          <w:ilvl w:val="0"/>
          <w:numId w:val="2"/>
        </w:numPr>
        <w:spacing w:after="40" w:before="40"/>
      </w:pPr>
      <w:r>
        <w:rPr>
          <w:rFonts w:ascii="Calibri" w:cs="Calibri" w:eastAsia="Calibri" w:hAnsi="Calibri"/>
          <w:color w:val="2a2920"/>
          <w:sz w:val="19"/>
          <w:szCs w:val="19"/>
        </w:rPr>
        <w:t xml:space="preserve">Renders a fully interactive HTML report widget inside Claude with Chart.js visualisations, collapsible sections, and editable audit fields</w:t>
      </w:r>
    </w:p>
    <w:p>
      <w:pPr>
        <w:pStyle w:val="ListParagraph"/>
        <w:numPr>
          <w:ilvl w:val="0"/>
          <w:numId w:val="2"/>
        </w:numPr>
        <w:spacing w:after="40" w:before="40"/>
      </w:pPr>
      <w:r>
        <w:rPr>
          <w:rFonts w:ascii="Calibri" w:cs="Calibri" w:eastAsia="Calibri" w:hAnsi="Calibri"/>
          <w:color w:val="2a2920"/>
          <w:sz w:val="19"/>
          <w:szCs w:val="19"/>
        </w:rPr>
        <w:t xml:space="preserve">Produces a downloadable standalone HTML report with no external API dependencies (no CORS risk)</w:t>
      </w:r>
    </w:p>
    <w:p>
      <w:pPr>
        <w:spacing w:after="0" w:before="80"/>
      </w:pPr>
      <w:r>
        <w:t xml:space="preserve"/>
      </w:r>
    </w:p>
    <w:p>
      <w:pPr>
        <w:pStyle w:val="Heading2"/>
        <w:spacing w:after="80" w:before="240"/>
      </w:pPr>
      <w:r>
        <w:rPr>
          <w:rFonts w:ascii="Calibri" w:cs="Calibri" w:eastAsia="Calibri" w:hAnsi="Calibri"/>
          <w:b/>
          <w:bCs/>
          <w:color w:val="1B3A6B"/>
          <w:sz w:val="22"/>
          <w:szCs w:val="22"/>
        </w:rPr>
        <w:t xml:space="preserve">1.3  Participants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tcPr>
          <w:p>
            <w:r>
              <w:rPr>
                <w:rFonts w:ascii="Calibri" w:cs="Calibri" w:eastAsia="Calibri" w:hAnsi="Calibri"/>
                <w:b/>
                <w:bCs/>
                <w:color w:val="FFFFFF"/>
                <w:sz w:val="18"/>
                <w:szCs w:val="18"/>
              </w:rPr>
              <w:t xml:space="preserve">Role</w:t>
            </w:r>
          </w:p>
        </w:tc>
        <w:tc>
          <w:tcPr>
            <w:tcW w:type="dxa" w:w="6240"/>
            <w:tcBorders>
              <w:top w:val="single" w:color="1B3A6B" w:sz="6"/>
              <w:left w:val="single" w:color="1B3A6B" w:sz="6"/>
              <w:bottom w:val="single" w:color="1B3A6B" w:sz="6"/>
              <w:right w:val="single" w:color="1B3A6B" w:sz="6"/>
            </w:tcBorders>
            <w:shd w:fill="1B3A6B" w:val="clear"/>
            <w:tcMar>
              <w:top w:type="dxa" w:w="80"/>
              <w:left w:type="dxa" w:w="120"/>
              <w:bottom w:type="dxa" w:w="80"/>
              <w:right w:type="dxa" w:w="120"/>
            </w:tcMar>
          </w:tcPr>
          <w:p>
            <w:r>
              <w:rPr>
                <w:rFonts w:ascii="Calibri" w:cs="Calibri" w:eastAsia="Calibri" w:hAnsi="Calibri"/>
                <w:b/>
                <w:bCs/>
                <w:color w:val="FFFFFF"/>
                <w:sz w:val="18"/>
                <w:szCs w:val="18"/>
              </w:rPr>
              <w:t xml:space="preserve">Description</w:t>
            </w:r>
          </w:p>
        </w:tc>
      </w:tr>
      <w:tr>
        <w:tc>
          <w:tcPr>
            <w:tcW w:type="dxa" w:w="3120"/>
            <w:tcBorders>
              <w:top w:val="single" w:color="DDDBCF" w:sz="4"/>
              <w:left w:val="single" w:color="DDDBCF" w:sz="4"/>
              <w:bottom w:val="single" w:color="DDDBCF" w:sz="4"/>
              <w:right w:val="single" w:color="DDDBCF" w:sz="4"/>
            </w:tcBorders>
            <w:tcMar>
              <w:top w:type="dxa" w:w="60"/>
              <w:left w:type="dxa" w:w="120"/>
              <w:bottom w:type="dxa" w:w="60"/>
              <w:right w:type="dxa" w:w="120"/>
            </w:tcMar>
          </w:tcPr>
          <w:p>
            <w:r>
              <w:rPr>
                <w:rFonts w:ascii="Calibri" w:cs="Calibri" w:eastAsia="Calibri" w:hAnsi="Calibri"/>
                <w:b/>
                <w:bCs/>
                <w:color w:val="1a1816"/>
                <w:sz w:val="19"/>
                <w:szCs w:val="19"/>
              </w:rPr>
              <w:t xml:space="preserve">User</w:t>
            </w:r>
          </w:p>
        </w:tc>
        <w:tc>
          <w:tcPr>
            <w:tcW w:type="dxa" w:w="6240"/>
            <w:tcBorders>
              <w:top w:val="single" w:color="DDDBCF" w:sz="4"/>
              <w:left w:val="single" w:color="DDDBCF" w:sz="4"/>
              <w:bottom w:val="single" w:color="DDDBCF" w:sz="4"/>
              <w:right w:val="single" w:color="DDDBCF" w:sz="4"/>
            </w:tcBorders>
            <w:tcMar>
              <w:top w:type="dxa" w:w="60"/>
              <w:left w:type="dxa" w:w="120"/>
              <w:bottom w:type="dxa" w:w="60"/>
              <w:right w:type="dxa" w:w="120"/>
            </w:tcMar>
          </w:tcPr>
          <w:p>
            <w:r>
              <w:rPr>
                <w:rFonts w:ascii="Calibri" w:cs="Calibri" w:eastAsia="Calibri" w:hAnsi="Calibri"/>
                <w:color w:val="2a2920"/>
                <w:sz w:val="19"/>
                <w:szCs w:val="19"/>
              </w:rPr>
              <w:t xml:space="preserve">Lenskart Offline Operations team — building an AI-powered analytics agent for Zonal Managers</w:t>
            </w:r>
          </w:p>
        </w:tc>
      </w:tr>
      <w:tr>
        <w:tc>
          <w:tcPr>
            <w:tcW w:type="dxa" w:w="3120"/>
            <w:tcBorders>
              <w:top w:val="single" w:color="DDDBCF" w:sz="4"/>
              <w:left w:val="single" w:color="DDDBCF" w:sz="4"/>
              <w:bottom w:val="single" w:color="DDDBCF" w:sz="4"/>
              <w:right w:val="single" w:color="DDDBCF" w:sz="4"/>
            </w:tcBorders>
            <w:tcMar>
              <w:top w:type="dxa" w:w="60"/>
              <w:left w:type="dxa" w:w="120"/>
              <w:bottom w:type="dxa" w:w="60"/>
              <w:right w:type="dxa" w:w="120"/>
            </w:tcMar>
          </w:tcPr>
          <w:p>
            <w:r>
              <w:rPr>
                <w:rFonts w:ascii="Calibri" w:cs="Calibri" w:eastAsia="Calibri" w:hAnsi="Calibri"/>
                <w:b/>
                <w:bCs/>
                <w:color w:val="1a1816"/>
                <w:sz w:val="19"/>
                <w:szCs w:val="19"/>
              </w:rPr>
              <w:t xml:space="preserve">Agent (Claude)</w:t>
            </w:r>
          </w:p>
        </w:tc>
        <w:tc>
          <w:tcPr>
            <w:tcW w:type="dxa" w:w="6240"/>
            <w:tcBorders>
              <w:top w:val="single" w:color="DDDBCF" w:sz="4"/>
              <w:left w:val="single" w:color="DDDBCF" w:sz="4"/>
              <w:bottom w:val="single" w:color="DDDBCF" w:sz="4"/>
              <w:right w:val="single" w:color="DDDBCF" w:sz="4"/>
            </w:tcBorders>
            <w:tcMar>
              <w:top w:type="dxa" w:w="60"/>
              <w:left w:type="dxa" w:w="120"/>
              <w:bottom w:type="dxa" w:w="60"/>
              <w:right w:type="dxa" w:w="120"/>
            </w:tcMar>
          </w:tcPr>
          <w:p>
            <w:r>
              <w:rPr>
                <w:rFonts w:ascii="Calibri" w:cs="Calibri" w:eastAsia="Calibri" w:hAnsi="Calibri"/>
                <w:color w:val="2a2920"/>
                <w:sz w:val="19"/>
                <w:szCs w:val="19"/>
              </w:rPr>
              <w:t xml:space="preserve">Claude Sonnet 4.5 via claude.ai — connected to Store Insights model via PowerBI MCP server. Queried DAX, designed diagnostic logic, built UI, validated data, generated all outputs.</w:t>
            </w:r>
          </w:p>
        </w:tc>
      </w:tr>
    </w:tbl>
    <w:p>
      <w:pPr>
        <w:spacing w:after="0" w:before="200"/>
      </w:pPr>
      <w:r>
        <w:t xml:space="preserve"/>
      </w:r>
    </w:p>
    <w:p>
      <w:pPr>
        <w:spacing w:after="0" w:before="200"/>
      </w:pPr>
      <w:r>
        <w:t xml:space="preserve"/>
      </w:r>
    </w:p>
    <w:p>
      <w:pPr>
        <w:pBdr>
          <w:top w:val="single" w:color="C8973A" w:sz="8" w:space="4"/>
        </w:pBdr>
        <w:spacing w:after="0" w:before="0"/>
        <w:jc w:val="center"/>
      </w:pPr>
      <w:r>
        <w:rPr>
          <w:rFonts w:ascii="Calibri" w:cs="Calibri" w:eastAsia="Calibri" w:hAnsi="Calibri"/>
          <w:b/>
          <w:bCs/>
          <w:color w:val="C8973A"/>
          <w:sz w:val="20"/>
          <w:szCs w:val="20"/>
        </w:rPr>
        <w:t xml:space="preserve">  ◆  PHASE 1 — MODEL CONNECTION &amp; INITIAL KPI CHECK  ◆  </w:t>
      </w:r>
    </w:p>
    <w:p>
      <w:pPr>
        <w:spacing w:after="0" w:before="120"/>
      </w:pPr>
      <w:r>
        <w:t xml:space="preserve"/>
      </w:r>
    </w:p>
    <w:p>
      <w:pPr>
        <w:pStyle w:val="Heading1"/>
        <w:pBdr>
          <w:bottom w:val="single" w:color="C8973A" w:sz="6" w:space="4"/>
        </w:pBdr>
        <w:spacing w:after="120" w:before="360"/>
      </w:pPr>
      <w:r>
        <w:rPr>
          <w:rFonts w:ascii="Calibri" w:cs="Calibri" w:eastAsia="Calibri" w:hAnsi="Calibri"/>
          <w:b/>
          <w:bCs/>
          <w:color w:val="0D0D0B"/>
          <w:sz w:val="28"/>
          <w:szCs w:val="28"/>
        </w:rPr>
        <w:t xml:space="preserve">2. Phase 1 — Model Connection &amp; Initial KPI Check</w:t>
      </w:r>
    </w:p>
    <w:p>
      <w:pPr>
        <w:shd w:fill="EAE6DC" w:val="clear"/>
        <w:spacing w:after="60" w:before="200"/>
      </w:pPr>
      <w:r>
        <w:rPr>
          <w:rFonts w:ascii="Calibri" w:cs="Calibri" w:eastAsia="Calibri" w:hAnsi="Calibri"/>
          <w:b/>
          <w:bCs/>
          <w:caps/>
          <w:color w:val="3a3828"/>
          <w:sz w:val="18"/>
          <w:szCs w:val="18"/>
        </w:rPr>
        <w:t xml:space="preserve">👤  USER</w:t>
      </w:r>
    </w:p>
    <w:p>
      <w:pPr>
        <w:shd w:fill="EAE6DC" w:val="clear"/>
        <w:spacing w:after="120" w:before="0"/>
        <w:ind w:left="160"/>
      </w:pPr>
      <w:r>
        <w:rPr>
          <w:rFonts w:ascii="Calibri" w:cs="Calibri" w:eastAsia="Calibri" w:hAnsi="Calibri"/>
          <w:color w:val="1a1816"/>
          <w:sz w:val="20"/>
          <w:szCs w:val="20"/>
        </w:rPr>
        <w:t xml:space="preserve">Connect to semantic model of Store Insights in workspace Offline Operations</w:t>
      </w:r>
    </w:p>
    <w:p>
      <w:pPr>
        <w:shd w:fill="EAF1F7" w:val="clear"/>
        <w:spacing w:after="60" w:before="200"/>
      </w:pPr>
      <w:r>
        <w:rPr>
          <w:rFonts w:ascii="Calibri" w:cs="Calibri" w:eastAsia="Calibri" w:hAnsi="Calibri"/>
          <w:b/>
          <w:bCs/>
          <w:caps/>
          <w:color w:val="1B3A6B"/>
          <w:sz w:val="18"/>
          <w:szCs w:val="18"/>
        </w:rPr>
        <w:t xml:space="preserve">🤖  AGENT — ConnectFabric</w:t>
      </w:r>
    </w:p>
    <w:p>
      <w:pPr>
        <w:shd w:fill="EAF1F7" w:val="clear"/>
        <w:spacing w:after="80" w:before="0"/>
        <w:ind w:left="160"/>
      </w:pPr>
      <w:r>
        <w:rPr>
          <w:rFonts w:ascii="Calibri" w:cs="Calibri" w:eastAsia="Calibri" w:hAnsi="Calibri"/>
          <w:color w:val="1a2830"/>
          <w:sz w:val="19"/>
          <w:szCs w:val="19"/>
        </w:rPr>
        <w:t xml:space="preserve">Connected to Fabric workspace "Offline Operations" semantic model "Store Insights".</w:t>
      </w:r>
    </w:p>
    <w:p>
      <w:pPr>
        <w:shd w:fill="EAF1F7" w:val="clear"/>
        <w:spacing w:after="80" w:before="0"/>
        <w:ind w:left="160"/>
      </w:pPr>
      <w:r>
        <w:rPr>
          <w:rFonts w:ascii="Calibri" w:cs="Calibri" w:eastAsia="Calibri" w:hAnsi="Calibri"/>
          <w:color w:val="1a2830"/>
          <w:sz w:val="19"/>
          <w:szCs w:val="19"/>
        </w:rPr>
        <w:t xml:space="preserve">Connection name: Fabric-Offline%20Operations-Store Insights</w:t>
      </w:r>
    </w:p>
    <w:p>
      <w:pPr>
        <w:shd w:fill="EAF1F7" w:val="clear"/>
        <w:spacing w:after="80" w:before="0"/>
        <w:ind w:left="160"/>
      </w:pPr>
      <w:r>
        <w:rPr>
          <w:rFonts w:ascii="Calibri" w:cs="Calibri" w:eastAsia="Calibri" w:hAnsi="Calibri"/>
          <w:color w:val="1a2830"/>
          <w:sz w:val="19"/>
          <w:szCs w:val="19"/>
        </w:rPr>
        <w:t xml:space="preserve">XMLA Endpoint: powerbi://api.powerbi.com/v1.0/myorg/Offline%20Operations</w:t>
      </w:r>
    </w:p>
    <w:p>
      <w:pPr>
        <w:spacing w:after="0" w:before="80"/>
      </w:pPr>
      <w:r>
        <w:t xml:space="preserve"/>
      </w:r>
    </w:p>
    <w:p>
      <w:pPr>
        <w:shd w:fill="EAE6DC" w:val="clear"/>
        <w:spacing w:after="60" w:before="200"/>
      </w:pPr>
      <w:r>
        <w:rPr>
          <w:rFonts w:ascii="Calibri" w:cs="Calibri" w:eastAsia="Calibri" w:hAnsi="Calibri"/>
          <w:b/>
          <w:bCs/>
          <w:caps/>
          <w:color w:val="3a3828"/>
          <w:sz w:val="18"/>
          <w:szCs w:val="18"/>
        </w:rPr>
        <w:t xml:space="preserve">👤  USER</w:t>
      </w:r>
    </w:p>
    <w:p>
      <w:pPr>
        <w:shd w:fill="EAE6DC" w:val="clear"/>
        <w:spacing w:after="120" w:before="0"/>
        <w:ind w:left="160"/>
      </w:pPr>
      <w:r>
        <w:rPr>
          <w:rFonts w:ascii="Calibri" w:cs="Calibri" w:eastAsia="Calibri" w:hAnsi="Calibri"/>
          <w:color w:val="1a1816"/>
          <w:sz w:val="20"/>
          <w:szCs w:val="20"/>
        </w:rPr>
        <w:t xml:space="preserve">step 1: check these KPIs: net sales, net orders, footfall, conversion, ATV — these define the store growth and degrowth</w:t>
      </w:r>
    </w:p>
    <w:p>
      <w:pPr>
        <w:shd w:fill="EAF1F7" w:val="clear"/>
        <w:spacing w:after="60" w:before="200"/>
      </w:pPr>
      <w:r>
        <w:rPr>
          <w:rFonts w:ascii="Calibri" w:cs="Calibri" w:eastAsia="Calibri" w:hAnsi="Calibri"/>
          <w:b/>
          <w:bCs/>
          <w:caps/>
          <w:color w:val="1B3A6B"/>
          <w:sz w:val="18"/>
          <w:szCs w:val="18"/>
        </w:rPr>
        <w:t xml:space="preserve">🤖  AGENT — DAX Query + KPI Pull — Apr-26 MTD vs Mar-26</w:t>
      </w:r>
    </w:p>
    <w:p>
      <w:pPr>
        <w:shd w:fill="EAF1F7" w:val="clear"/>
        <w:spacing w:after="80" w:before="0"/>
        <w:ind w:left="160"/>
      </w:pPr>
      <w:r>
        <w:rPr>
          <w:rFonts w:ascii="Calibri" w:cs="Calibri" w:eastAsia="Calibri" w:hAnsi="Calibri"/>
          <w:color w:val="1a2830"/>
          <w:sz w:val="19"/>
          <w:szCs w:val="19"/>
        </w:rPr>
        <w:t xml:space="preserve">Queried [Net Sales], [Net Orders], [Footfall], [Conversion], [Net ATV] for Apr-26 MTD.</w:t>
      </w:r>
    </w:p>
    <w:p>
      <w:pPr>
        <w:shd w:fill="EAF1F7" w:val="clear"/>
        <w:spacing w:after="80" w:before="0"/>
        <w:ind w:left="160"/>
      </w:pPr>
      <w:r>
        <w:rPr>
          <w:rFonts w:ascii="Calibri" w:cs="Calibri" w:eastAsia="Calibri" w:hAnsi="Calibri"/>
          <w:color w:val="1a2830"/>
          <w:sz w:val="19"/>
          <w:szCs w:val="19"/>
        </w:rPr>
        <w:t xml:space="preserve">Apr-26: Net Sales ₹359 Cr | Net Orders 12.1 L | Footfall 49.2 L | Conversion 22.90% | Net ATV ₹2,975</w:t>
      </w:r>
    </w:p>
    <w:p>
      <w:pPr>
        <w:shd w:fill="EAF1F7" w:val="clear"/>
        <w:spacing w:after="80" w:before="0"/>
        <w:ind w:left="160"/>
      </w:pPr>
      <w:r>
        <w:rPr>
          <w:rFonts w:ascii="Calibri" w:cs="Calibri" w:eastAsia="Calibri" w:hAnsi="Calibri"/>
          <w:color w:val="1a2830"/>
          <w:sz w:val="19"/>
          <w:szCs w:val="19"/>
        </w:rPr>
        <w:t xml:space="preserve">Mar-26: Net Sales ₹511 Cr | Net Orders 17.2 L | Footfall 68.7 L | Conversion 23.46% | Net ATV ₹2,978</w:t>
      </w:r>
    </w:p>
    <w:p>
      <w:pPr>
        <w:shd w:fill="EAF1F7" w:val="clear"/>
        <w:spacing w:after="80" w:before="0"/>
        <w:ind w:left="160"/>
      </w:pPr>
      <w:r>
        <w:rPr>
          <w:rFonts w:ascii="Calibri" w:cs="Calibri" w:eastAsia="Calibri" w:hAnsi="Calibri"/>
          <w:color w:val="1a2830"/>
          <w:sz w:val="19"/>
          <w:szCs w:val="19"/>
        </w:rPr>
        <w:t xml:space="preserve">PSPD ₹43,105/day (Apr) vs ₹41,283/day (Mar) — +4.4% daily productivity improvement.</w:t>
      </w:r>
    </w:p>
    <w:p>
      <w:pPr>
        <w:shd w:fill="EAF1F7" w:val="clear"/>
        <w:spacing w:after="80" w:before="0"/>
        <w:ind w:left="160"/>
      </w:pPr>
      <w:r>
        <w:rPr>
          <w:rFonts w:ascii="Calibri" w:cs="Calibri" w:eastAsia="Calibri" w:hAnsi="Calibri"/>
          <w:color w:val="1a2830"/>
          <w:sz w:val="19"/>
          <w:szCs w:val="19"/>
        </w:rPr>
        <w:t xml:space="preserve"/>
      </w:r>
    </w:p>
    <w:p>
      <w:pPr>
        <w:shd w:fill="EAF1F7" w:val="clear"/>
        <w:spacing w:after="80" w:before="0"/>
        <w:ind w:left="160"/>
      </w:pPr>
      <w:r>
        <w:rPr>
          <w:rFonts w:ascii="Calibri" w:cs="Calibri" w:eastAsia="Calibri" w:hAnsi="Calibri"/>
          <w:color w:val="1a2830"/>
          <w:sz w:val="19"/>
          <w:szCs w:val="19"/>
        </w:rPr>
        <w:t xml:space="preserve">KEY INSIGHT SURFACED: Footfall growing YoY (+8.4%) and ATV rising (+7.5% YoY) but conversion</w:t>
      </w:r>
    </w:p>
    <w:p>
      <w:pPr>
        <w:shd w:fill="EAF1F7" w:val="clear"/>
        <w:spacing w:after="80" w:before="0"/>
        <w:ind w:left="160"/>
      </w:pPr>
      <w:r>
        <w:rPr>
          <w:rFonts w:ascii="Calibri" w:cs="Calibri" w:eastAsia="Calibri" w:hAnsi="Calibri"/>
          <w:color w:val="1a2830"/>
          <w:sz w:val="19"/>
          <w:szCs w:val="19"/>
        </w:rPr>
        <w:t xml:space="preserve">is the gap — 22.90% vs 23.46% benchmark = ~60 bps decline. This is the lever.</w:t>
      </w:r>
    </w:p>
    <w:p>
      <w:pPr>
        <w:spacing w:after="0" w:before="120"/>
      </w:pPr>
      <w:r>
        <w:t xml:space="preserve"/>
      </w:r>
    </w:p>
    <w:p>
      <w:pPr>
        <w:pStyle w:val="Heading2"/>
        <w:spacing w:after="80" w:before="240"/>
      </w:pPr>
      <w:r>
        <w:rPr>
          <w:rFonts w:ascii="Calibri" w:cs="Calibri" w:eastAsia="Calibri" w:hAnsi="Calibri"/>
          <w:b/>
          <w:bCs/>
          <w:color w:val="1B3A6B"/>
          <w:sz w:val="22"/>
          <w:szCs w:val="22"/>
        </w:rPr>
        <w:t xml:space="preserve">2.1  Critical Discovery — Conversion Measure Discrepancy</w:t>
      </w:r>
    </w:p>
    <w:p>
      <w:pPr>
        <w:pBdr>
          <w:left w:val="single" w:color="B84040" w:sz="12" w:space="8"/>
        </w:pBdr>
        <w:shd w:fill="F7F5EE" w:val="clear"/>
        <w:spacing w:after="60" w:before="60"/>
        <w:ind w:left="360"/>
      </w:pPr>
      <w:r>
        <w:rPr>
          <w:rFonts w:ascii="Calibri" w:cs="Calibri" w:eastAsia="Calibri" w:hAnsi="Calibri"/>
          <w:i/>
          <w:iCs/>
          <w:color w:val="3a3830"/>
          <w:sz w:val="19"/>
          <w:szCs w:val="19"/>
        </w:rPr>
        <w:t xml:space="preserve">The model's [Conversion] measure uses a different internal footfall denominator than the [Footfall] column. This was discovered during data validation: the model reported 43.88% for LKST1838 Mar-26, but the manually derived value (320.67 / 768 × 100) = 41.75%, which matched Power BI visuals. Rule established: ALWAYS discard [Conversion] from the model. ALWAYS compute manually as Net Orders ÷ Footfall × 100.</w:t>
      </w:r>
    </w:p>
    <w:p>
      <w:pPr>
        <w:spacing w:after="0" w:before="200"/>
      </w:pPr>
      <w:r>
        <w:t xml:space="preserve"/>
      </w:r>
    </w:p>
    <w:p>
      <w:pPr>
        <w:spacing w:after="0" w:before="200"/>
      </w:pPr>
      <w:r>
        <w:t xml:space="preserve"/>
      </w:r>
    </w:p>
    <w:p>
      <w:pPr>
        <w:pBdr>
          <w:top w:val="single" w:color="C8973A" w:sz="8" w:space="4"/>
        </w:pBdr>
        <w:spacing w:after="0" w:before="0"/>
        <w:jc w:val="center"/>
      </w:pPr>
      <w:r>
        <w:rPr>
          <w:rFonts w:ascii="Calibri" w:cs="Calibri" w:eastAsia="Calibri" w:hAnsi="Calibri"/>
          <w:b/>
          <w:bCs/>
          <w:color w:val="C8973A"/>
          <w:sz w:val="20"/>
          <w:szCs w:val="20"/>
        </w:rPr>
        <w:t xml:space="preserve">  ◆  PHASE 2 — DIAGNOSTIC LOGIC FRAMEWORK  ◆  </w:t>
      </w:r>
    </w:p>
    <w:p>
      <w:pPr>
        <w:spacing w:after="0" w:before="120"/>
      </w:pPr>
      <w:r>
        <w:t xml:space="preserve"/>
      </w:r>
    </w:p>
    <w:p>
      <w:pPr>
        <w:pStyle w:val="Heading1"/>
        <w:pBdr>
          <w:bottom w:val="single" w:color="C8973A" w:sz="6" w:space="4"/>
        </w:pBdr>
        <w:spacing w:after="120" w:before="360"/>
      </w:pPr>
      <w:r>
        <w:rPr>
          <w:rFonts w:ascii="Calibri" w:cs="Calibri" w:eastAsia="Calibri" w:hAnsi="Calibri"/>
          <w:b/>
          <w:bCs/>
          <w:color w:val="0D0D0B"/>
          <w:sz w:val="28"/>
          <w:szCs w:val="28"/>
        </w:rPr>
        <w:t xml:space="preserve">3. Phase 2 — Diagnostic Logic Framework (Steps 1–3)</w:t>
      </w:r>
    </w:p>
    <w:p>
      <w:pPr>
        <w:pStyle w:val="Heading2"/>
        <w:spacing w:after="80" w:before="240"/>
      </w:pPr>
      <w:r>
        <w:rPr>
          <w:rFonts w:ascii="Calibri" w:cs="Calibri" w:eastAsia="Calibri" w:hAnsi="Calibri"/>
          <w:b/>
          <w:bCs/>
          <w:color w:val="1B3A6B"/>
          <w:sz w:val="22"/>
          <w:szCs w:val="22"/>
        </w:rPr>
        <w:t xml:space="preserve">3.1  Step 1 — KPI Framework (Growth/Degrowth Drivers)</w:t>
      </w:r>
    </w:p>
    <w:p>
      <w:pPr>
        <w:shd w:fill="EAE6DC" w:val="clear"/>
        <w:spacing w:after="60" w:before="200"/>
      </w:pPr>
      <w:r>
        <w:rPr>
          <w:rFonts w:ascii="Calibri" w:cs="Calibri" w:eastAsia="Calibri" w:hAnsi="Calibri"/>
          <w:b/>
          <w:bCs/>
          <w:caps/>
          <w:color w:val="3a3828"/>
          <w:sz w:val="18"/>
          <w:szCs w:val="18"/>
        </w:rPr>
        <w:t xml:space="preserve">👤  USER</w:t>
      </w:r>
    </w:p>
    <w:p>
      <w:pPr>
        <w:shd w:fill="EAE6DC" w:val="clear"/>
        <w:spacing w:after="120" w:before="0"/>
        <w:ind w:left="160"/>
      </w:pPr>
      <w:r>
        <w:rPr>
          <w:rFonts w:ascii="Calibri" w:cs="Calibri" w:eastAsia="Calibri" w:hAnsi="Calibri"/>
          <w:color w:val="1a1816"/>
          <w:sz w:val="20"/>
          <w:szCs w:val="20"/>
        </w:rPr>
        <w:t xml:space="preserve">okay so lets create a Diagnostic Logic for Store Health Report...</w:t>
      </w:r>
    </w:p>
    <w:p>
      <w:pPr>
        <w:spacing w:after="80" w:before="40"/>
      </w:pPr>
      <w:r>
        <w:rPr>
          <w:rFonts w:ascii="Calibri" w:cs="Calibri" w:eastAsia="Calibri" w:hAnsi="Calibri"/>
          <w:color w:val="2a2920"/>
          <w:sz w:val="20"/>
          <w:szCs w:val="20"/>
        </w:rPr>
        <w:t xml:space="preserve">The agent built 8 diagnostic patterns across the KPI matrix, each triggered by specific combinations of KPI signals: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600"/>
        <w:gridCol w:w="2560"/>
      </w:tblGrid>
      <w:tr>
        <w:trPr>
          <w:tblHeader/>
        </w:trPr>
        <w:tc>
          <w:tcPr>
            <w:tcW w:type="dxa" w:w="2000"/>
            <w:tcBorders>
              <w:top w:val="single" w:color="1B3A6B" w:sz="6"/>
              <w:left w:val="single" w:color="1B3A6B" w:sz="6"/>
              <w:bottom w:val="single" w:color="1B3A6B" w:sz="6"/>
              <w:right w:val="single" w:color="1B3A6B" w:sz="6"/>
            </w:tcBorders>
            <w:shd w:fill="1B3A6B" w:val="clear"/>
            <w:tcMar>
              <w:top w:type="dxa" w:w="60"/>
              <w:left w:type="dxa" w:w="100"/>
              <w:bottom w:type="dxa" w:w="60"/>
              <w:right w:type="dxa" w:w="100"/>
            </w:tcMar>
          </w:tcPr>
          <w:p>
            <w:r>
              <w:rPr>
                <w:rFonts w:ascii="Calibri" w:cs="Calibri" w:eastAsia="Calibri" w:hAnsi="Calibri"/>
                <w:b/>
                <w:bCs/>
                <w:color w:val="FFFFFF"/>
                <w:sz w:val="17"/>
                <w:szCs w:val="17"/>
              </w:rPr>
              <w:t xml:space="preserve">Scenario</w:t>
            </w:r>
          </w:p>
        </w:tc>
        <w:tc>
          <w:tcPr>
            <w:tcW w:type="dxa" w:w="2200"/>
            <w:tcBorders>
              <w:top w:val="single" w:color="1B3A6B" w:sz="6"/>
              <w:left w:val="single" w:color="1B3A6B" w:sz="6"/>
              <w:bottom w:val="single" w:color="1B3A6B" w:sz="6"/>
              <w:right w:val="single" w:color="1B3A6B" w:sz="6"/>
            </w:tcBorders>
            <w:shd w:fill="1B3A6B" w:val="clear"/>
            <w:tcMar>
              <w:top w:type="dxa" w:w="60"/>
              <w:left w:type="dxa" w:w="100"/>
              <w:bottom w:type="dxa" w:w="60"/>
              <w:right w:type="dxa" w:w="100"/>
            </w:tcMar>
          </w:tcPr>
          <w:p>
            <w:r>
              <w:rPr>
                <w:rFonts w:ascii="Calibri" w:cs="Calibri" w:eastAsia="Calibri" w:hAnsi="Calibri"/>
                <w:b/>
                <w:bCs/>
                <w:color w:val="FFFFFF"/>
                <w:sz w:val="17"/>
                <w:szCs w:val="17"/>
              </w:rPr>
              <w:t xml:space="preserve">Pattern</w:t>
            </w:r>
          </w:p>
        </w:tc>
        <w:tc>
          <w:tcPr>
            <w:tcW w:type="dxa" w:w="2600"/>
            <w:tcBorders>
              <w:top w:val="single" w:color="1B3A6B" w:sz="6"/>
              <w:left w:val="single" w:color="1B3A6B" w:sz="6"/>
              <w:bottom w:val="single" w:color="1B3A6B" w:sz="6"/>
              <w:right w:val="single" w:color="1B3A6B" w:sz="6"/>
            </w:tcBorders>
            <w:shd w:fill="1B3A6B" w:val="clear"/>
            <w:tcMar>
              <w:top w:type="dxa" w:w="60"/>
              <w:left w:type="dxa" w:w="100"/>
              <w:bottom w:type="dxa" w:w="60"/>
              <w:right w:type="dxa" w:w="100"/>
            </w:tcMar>
          </w:tcPr>
          <w:p>
            <w:r>
              <w:rPr>
                <w:rFonts w:ascii="Calibri" w:cs="Calibri" w:eastAsia="Calibri" w:hAnsi="Calibri"/>
                <w:b/>
                <w:bCs/>
                <w:color w:val="FFFFFF"/>
                <w:sz w:val="17"/>
                <w:szCs w:val="17"/>
              </w:rPr>
              <w:t xml:space="preserve">Diagnosis</w:t>
            </w:r>
          </w:p>
        </w:tc>
        <w:tc>
          <w:tcPr>
            <w:tcW w:type="dxa" w:w="2560"/>
            <w:tcBorders>
              <w:top w:val="single" w:color="1B3A6B" w:sz="6"/>
              <w:left w:val="single" w:color="1B3A6B" w:sz="6"/>
              <w:bottom w:val="single" w:color="1B3A6B" w:sz="6"/>
              <w:right w:val="single" w:color="1B3A6B" w:sz="6"/>
            </w:tcBorders>
            <w:shd w:fill="1B3A6B" w:val="clear"/>
            <w:tcMar>
              <w:top w:type="dxa" w:w="60"/>
              <w:left w:type="dxa" w:w="100"/>
              <w:bottom w:type="dxa" w:w="60"/>
              <w:right w:type="dxa" w:w="100"/>
            </w:tcMar>
          </w:tcPr>
          <w:p>
            <w:r>
              <w:rPr>
                <w:rFonts w:ascii="Calibri" w:cs="Calibri" w:eastAsia="Calibri" w:hAnsi="Calibri"/>
                <w:b/>
                <w:bCs/>
                <w:color w:val="FFFFFF"/>
                <w:sz w:val="17"/>
                <w:szCs w:val="17"/>
              </w:rPr>
              <w:t xml:space="preserve">Primary Action</w:t>
            </w:r>
          </w:p>
        </w:tc>
      </w:tr>
      <w:tr>
        <w:tc>
          <w:tcPr>
            <w:tcW w:type="dxa" w:w="2000"/>
            <w:tcBorders>
              <w:top w:val="single" w:color="DDDBCF" w:sz="4"/>
              <w:left w:val="single" w:color="DDDBCF" w:sz="4"/>
              <w:bottom w:val="single" w:color="DDDBCF" w:sz="4"/>
              <w:right w:val="single" w:color="DDDBCF" w:sz="4"/>
            </w:tcBorders>
            <w:tcMar>
              <w:top w:type="dxa" w:w="50"/>
              <w:left w:type="dxa" w:w="100"/>
              <w:bottom w:type="dxa" w:w="50"/>
              <w:right w:type="dxa" w:w="100"/>
            </w:tcMar>
          </w:tcPr>
          <w:p>
            <w:r>
              <w:rPr>
                <w:rFonts w:ascii="Calibri" w:cs="Calibri" w:eastAsia="Calibri" w:hAnsi="Calibri"/>
                <w:b/>
                <w:bCs/>
                <w:color w:val="1B3A6B"/>
                <w:sz w:val="17"/>
                <w:szCs w:val="17"/>
              </w:rPr>
              <w:t xml:space="preserve">A — Conversion trap</w:t>
            </w:r>
          </w:p>
        </w:tc>
        <w:tc>
          <w:tcPr>
            <w:tcW w:type="dxa" w:w="2200"/>
            <w:tcBorders>
              <w:top w:val="single" w:color="DDDBCF" w:sz="4"/>
              <w:left w:val="single" w:color="DDDBCF" w:sz="4"/>
              <w:bottom w:val="single" w:color="DDDBCF" w:sz="4"/>
              <w:right w:val="single" w:color="DDDBCF" w:sz="4"/>
            </w:tcBorders>
            <w:tcMar>
              <w:top w:type="dxa" w:w="50"/>
              <w:left w:type="dxa" w:w="100"/>
              <w:bottom w:type="dxa" w:w="50"/>
              <w:right w:type="dxa" w:w="100"/>
            </w:tcMar>
          </w:tcPr>
          <w:p>
            <w:r>
              <w:rPr>
                <w:rFonts w:ascii="Calibri" w:cs="Calibri" w:eastAsia="Calibri" w:hAnsi="Calibri"/>
                <w:color w:val="2a2920"/>
                <w:sz w:val="17"/>
                <w:szCs w:val="17"/>
              </w:rPr>
              <w:t xml:space="preserve">Footfall ↑, Conversion ↓</w:t>
            </w:r>
          </w:p>
        </w:tc>
        <w:tc>
          <w:tcPr>
            <w:tcW w:type="dxa" w:w="2600"/>
            <w:tcBorders>
              <w:top w:val="single" w:color="DDDBCF" w:sz="4"/>
              <w:left w:val="single" w:color="DDDBCF" w:sz="4"/>
              <w:bottom w:val="single" w:color="DDDBCF" w:sz="4"/>
              <w:right w:val="single" w:color="DDDBCF" w:sz="4"/>
            </w:tcBorders>
            <w:tcMar>
              <w:top w:type="dxa" w:w="50"/>
              <w:left w:type="dxa" w:w="100"/>
              <w:bottom w:type="dxa" w:w="50"/>
              <w:right w:type="dxa" w:w="100"/>
            </w:tcMar>
          </w:tcPr>
          <w:p>
            <w:r>
              <w:rPr>
                <w:rFonts w:ascii="Calibri" w:cs="Calibri" w:eastAsia="Calibri" w:hAnsi="Calibri"/>
                <w:color w:val="2a2920"/>
                <w:sz w:val="17"/>
                <w:szCs w:val="17"/>
              </w:rPr>
              <w:t xml:space="preserve">Service bottleneck / Stock-outs</w:t>
            </w:r>
          </w:p>
        </w:tc>
        <w:tc>
          <w:tcPr>
            <w:tcW w:type="dxa" w:w="2560"/>
            <w:tcBorders>
              <w:top w:val="single" w:color="DDDBCF" w:sz="4"/>
              <w:left w:val="single" w:color="DDDBCF" w:sz="4"/>
              <w:bottom w:val="single" w:color="DDDBCF" w:sz="4"/>
              <w:right w:val="single" w:color="DDDBCF" w:sz="4"/>
            </w:tcBorders>
            <w:tcMar>
              <w:top w:type="dxa" w:w="50"/>
              <w:left w:type="dxa" w:w="100"/>
              <w:bottom w:type="dxa" w:w="50"/>
              <w:right w:type="dxa" w:w="100"/>
            </w:tcMar>
          </w:tcPr>
          <w:p>
            <w:r>
              <w:rPr>
                <w:rFonts w:ascii="Calibri" w:cs="Calibri" w:eastAsia="Calibri" w:hAnsi="Calibri"/>
                <w:color w:val="2a2920"/>
                <w:sz w:val="17"/>
                <w:szCs w:val="17"/>
              </w:rPr>
              <w:t xml:space="preserve">Audit ET queue, count empty pegs, check peak staffing</w:t>
            </w:r>
          </w:p>
        </w:tc>
      </w:tr>
      <w:tr>
        <w:tc>
          <w:tcPr>
            <w:tcW w:type="dxa" w:w="2000"/>
            <w:tcBorders>
              <w:top w:val="single" w:color="DDDBCF" w:sz="4"/>
              <w:left w:val="single" w:color="DDDBCF" w:sz="4"/>
              <w:bottom w:val="single" w:color="DDDBCF" w:sz="4"/>
              <w:right w:val="single" w:color="DDDBCF" w:sz="4"/>
            </w:tcBorders>
            <w:tcMar>
              <w:top w:type="dxa" w:w="50"/>
              <w:left w:type="dxa" w:w="100"/>
              <w:bottom w:type="dxa" w:w="50"/>
              <w:right w:type="dxa" w:w="100"/>
            </w:tcMar>
          </w:tcPr>
          <w:p>
            <w:r>
              <w:rPr>
                <w:rFonts w:ascii="Calibri" w:cs="Calibri" w:eastAsia="Calibri" w:hAnsi="Calibri"/>
                <w:b/>
                <w:bCs/>
                <w:color w:val="1B3A6B"/>
                <w:sz w:val="17"/>
                <w:szCs w:val="17"/>
              </w:rPr>
              <w:t xml:space="preserve">B — Transaction size gap</w:t>
            </w:r>
          </w:p>
        </w:tc>
        <w:tc>
          <w:tcPr>
            <w:tcW w:type="dxa" w:w="2200"/>
            <w:tcBorders>
              <w:top w:val="single" w:color="DDDBCF" w:sz="4"/>
              <w:left w:val="single" w:color="DDDBCF" w:sz="4"/>
              <w:bottom w:val="single" w:color="DDDBCF" w:sz="4"/>
              <w:right w:val="single" w:color="DDDBCF" w:sz="4"/>
            </w:tcBorders>
            <w:tcMar>
              <w:top w:type="dxa" w:w="50"/>
              <w:left w:type="dxa" w:w="100"/>
              <w:bottom w:type="dxa" w:w="50"/>
              <w:right w:type="dxa" w:w="100"/>
            </w:tcMar>
          </w:tcPr>
          <w:p>
            <w:r>
              <w:rPr>
                <w:rFonts w:ascii="Calibri" w:cs="Calibri" w:eastAsia="Calibri" w:hAnsi="Calibri"/>
                <w:color w:val="2a2920"/>
                <w:sz w:val="17"/>
                <w:szCs w:val="17"/>
              </w:rPr>
              <w:t xml:space="preserve">Conversion ↑, ATV ↓</w:t>
            </w:r>
          </w:p>
        </w:tc>
        <w:tc>
          <w:tcPr>
            <w:tcW w:type="dxa" w:w="2600"/>
            <w:tcBorders>
              <w:top w:val="single" w:color="DDDBCF" w:sz="4"/>
              <w:left w:val="single" w:color="DDDBCF" w:sz="4"/>
              <w:bottom w:val="single" w:color="DDDBCF" w:sz="4"/>
              <w:right w:val="single" w:color="DDDBCF" w:sz="4"/>
            </w:tcBorders>
            <w:tcMar>
              <w:top w:type="dxa" w:w="50"/>
              <w:left w:type="dxa" w:w="100"/>
              <w:bottom w:type="dxa" w:w="50"/>
              <w:right w:type="dxa" w:w="100"/>
            </w:tcMar>
          </w:tcPr>
          <w:p>
            <w:r>
              <w:rPr>
                <w:rFonts w:ascii="Calibri" w:cs="Calibri" w:eastAsia="Calibri" w:hAnsi="Calibri"/>
                <w:color w:val="2a2920"/>
                <w:sz w:val="17"/>
                <w:szCs w:val="17"/>
              </w:rPr>
              <w:t xml:space="preserve">Upselling failure / Low-value mix</w:t>
            </w:r>
          </w:p>
        </w:tc>
        <w:tc>
          <w:tcPr>
            <w:tcW w:type="dxa" w:w="2560"/>
            <w:tcBorders>
              <w:top w:val="single" w:color="DDDBCF" w:sz="4"/>
              <w:left w:val="single" w:color="DDDBCF" w:sz="4"/>
              <w:bottom w:val="single" w:color="DDDBCF" w:sz="4"/>
              <w:right w:val="single" w:color="DDDBCF" w:sz="4"/>
            </w:tcBorders>
            <w:tcMar>
              <w:top w:type="dxa" w:w="50"/>
              <w:left w:type="dxa" w:w="100"/>
              <w:bottom w:type="dxa" w:w="50"/>
              <w:right w:type="dxa" w:w="100"/>
            </w:tcMar>
          </w:tcPr>
          <w:p>
            <w:r>
              <w:rPr>
                <w:rFonts w:ascii="Calibri" w:cs="Calibri" w:eastAsia="Calibri" w:hAnsi="Calibri"/>
                <w:color w:val="2a2920"/>
                <w:sz w:val="17"/>
                <w:szCs w:val="17"/>
              </w:rPr>
              <w:t xml:space="preserve">Coating attach rate, Progressive coaching, planogram</w:t>
            </w:r>
          </w:p>
        </w:tc>
      </w:tr>
      <w:tr>
        <w:tc>
          <w:tcPr>
            <w:tcW w:type="dxa" w:w="2000"/>
            <w:tcBorders>
              <w:top w:val="single" w:color="DDDBCF" w:sz="4"/>
              <w:left w:val="single" w:color="DDDBCF" w:sz="4"/>
              <w:bottom w:val="single" w:color="DDDBCF" w:sz="4"/>
              <w:right w:val="single" w:color="DDDBCF" w:sz="4"/>
            </w:tcBorders>
            <w:tcMar>
              <w:top w:type="dxa" w:w="50"/>
              <w:left w:type="dxa" w:w="100"/>
              <w:bottom w:type="dxa" w:w="50"/>
              <w:right w:type="dxa" w:w="100"/>
            </w:tcMar>
          </w:tcPr>
          <w:p>
            <w:r>
              <w:rPr>
                <w:rFonts w:ascii="Calibri" w:cs="Calibri" w:eastAsia="Calibri" w:hAnsi="Calibri"/>
                <w:b/>
                <w:bCs/>
                <w:color w:val="1B3A6B"/>
                <w:sz w:val="17"/>
                <w:szCs w:val="17"/>
              </w:rPr>
              <w:t xml:space="preserve">C — Demand collapse</w:t>
            </w:r>
          </w:p>
        </w:tc>
        <w:tc>
          <w:tcPr>
            <w:tcW w:type="dxa" w:w="2200"/>
            <w:tcBorders>
              <w:top w:val="single" w:color="DDDBCF" w:sz="4"/>
              <w:left w:val="single" w:color="DDDBCF" w:sz="4"/>
              <w:bottom w:val="single" w:color="DDDBCF" w:sz="4"/>
              <w:right w:val="single" w:color="DDDBCF" w:sz="4"/>
            </w:tcBorders>
            <w:tcMar>
              <w:top w:type="dxa" w:w="50"/>
              <w:left w:type="dxa" w:w="100"/>
              <w:bottom w:type="dxa" w:w="50"/>
              <w:right w:type="dxa" w:w="100"/>
            </w:tcMar>
          </w:tcPr>
          <w:p>
            <w:r>
              <w:rPr>
                <w:rFonts w:ascii="Calibri" w:cs="Calibri" w:eastAsia="Calibri" w:hAnsi="Calibri"/>
                <w:color w:val="2a2920"/>
                <w:sz w:val="17"/>
                <w:szCs w:val="17"/>
              </w:rPr>
              <w:t xml:space="preserve">Footfall ↓ + Conversion ↓ + Sales ↓</w:t>
            </w:r>
          </w:p>
        </w:tc>
        <w:tc>
          <w:tcPr>
            <w:tcW w:type="dxa" w:w="2600"/>
            <w:tcBorders>
              <w:top w:val="single" w:color="DDDBCF" w:sz="4"/>
              <w:left w:val="single" w:color="DDDBCF" w:sz="4"/>
              <w:bottom w:val="single" w:color="DDDBCF" w:sz="4"/>
              <w:right w:val="single" w:color="DDDBCF" w:sz="4"/>
            </w:tcBorders>
            <w:tcMar>
              <w:top w:type="dxa" w:w="50"/>
              <w:left w:type="dxa" w:w="100"/>
              <w:bottom w:type="dxa" w:w="50"/>
              <w:right w:type="dxa" w:w="100"/>
            </w:tcMar>
          </w:tcPr>
          <w:p>
            <w:r>
              <w:rPr>
                <w:rFonts w:ascii="Calibri" w:cs="Calibri" w:eastAsia="Calibri" w:hAnsi="Calibri"/>
                <w:color w:val="2a2920"/>
                <w:sz w:val="17"/>
                <w:szCs w:val="17"/>
              </w:rPr>
              <w:t xml:space="preserve">Full-funnel failure</w:t>
            </w:r>
          </w:p>
        </w:tc>
        <w:tc>
          <w:tcPr>
            <w:tcW w:type="dxa" w:w="2560"/>
            <w:tcBorders>
              <w:top w:val="single" w:color="DDDBCF" w:sz="4"/>
              <w:left w:val="single" w:color="DDDBCF" w:sz="4"/>
              <w:bottom w:val="single" w:color="DDDBCF" w:sz="4"/>
              <w:right w:val="single" w:color="DDDBCF" w:sz="4"/>
            </w:tcBorders>
            <w:tcMar>
              <w:top w:type="dxa" w:w="50"/>
              <w:left w:type="dxa" w:w="100"/>
              <w:bottom w:type="dxa" w:w="50"/>
              <w:right w:type="dxa" w:w="100"/>
            </w:tcMar>
          </w:tcPr>
          <w:p>
            <w:r>
              <w:rPr>
                <w:rFonts w:ascii="Calibri" w:cs="Calibri" w:eastAsia="Calibri" w:hAnsi="Calibri"/>
                <w:color w:val="2a2920"/>
                <w:sz w:val="17"/>
                <w:szCs w:val="17"/>
              </w:rPr>
              <w:t xml:space="preserve">Frontage audit, Google Maps, local marketing</w:t>
            </w:r>
          </w:p>
        </w:tc>
      </w:tr>
      <w:tr>
        <w:tc>
          <w:tcPr>
            <w:tcW w:type="dxa" w:w="2000"/>
            <w:tcBorders>
              <w:top w:val="single" w:color="DDDBCF" w:sz="4"/>
              <w:left w:val="single" w:color="DDDBCF" w:sz="4"/>
              <w:bottom w:val="single" w:color="DDDBCF" w:sz="4"/>
              <w:right w:val="single" w:color="DDDBCF" w:sz="4"/>
            </w:tcBorders>
            <w:tcMar>
              <w:top w:type="dxa" w:w="50"/>
              <w:left w:type="dxa" w:w="100"/>
              <w:bottom w:type="dxa" w:w="50"/>
              <w:right w:type="dxa" w:w="100"/>
            </w:tcMar>
          </w:tcPr>
          <w:p>
            <w:r>
              <w:rPr>
                <w:rFonts w:ascii="Calibri" w:cs="Calibri" w:eastAsia="Calibri" w:hAnsi="Calibri"/>
                <w:b/>
                <w:bCs/>
                <w:color w:val="1B3A6B"/>
                <w:sz w:val="17"/>
                <w:szCs w:val="17"/>
              </w:rPr>
              <w:t xml:space="preserve">D — Invisible store</w:t>
            </w:r>
          </w:p>
        </w:tc>
        <w:tc>
          <w:tcPr>
            <w:tcW w:type="dxa" w:w="2200"/>
            <w:tcBorders>
              <w:top w:val="single" w:color="DDDBCF" w:sz="4"/>
              <w:left w:val="single" w:color="DDDBCF" w:sz="4"/>
              <w:bottom w:val="single" w:color="DDDBCF" w:sz="4"/>
              <w:right w:val="single" w:color="DDDBCF" w:sz="4"/>
            </w:tcBorders>
            <w:tcMar>
              <w:top w:type="dxa" w:w="50"/>
              <w:left w:type="dxa" w:w="100"/>
              <w:bottom w:type="dxa" w:w="50"/>
              <w:right w:type="dxa" w:w="100"/>
            </w:tcMar>
          </w:tcPr>
          <w:p>
            <w:r>
              <w:rPr>
                <w:rFonts w:ascii="Calibri" w:cs="Calibri" w:eastAsia="Calibri" w:hAnsi="Calibri"/>
                <w:color w:val="2a2920"/>
                <w:sz w:val="17"/>
                <w:szCs w:val="17"/>
              </w:rPr>
              <w:t xml:space="preserve">Footfall ↓, Conversion ↑, ATV ↑</w:t>
            </w:r>
          </w:p>
        </w:tc>
        <w:tc>
          <w:tcPr>
            <w:tcW w:type="dxa" w:w="2600"/>
            <w:tcBorders>
              <w:top w:val="single" w:color="DDDBCF" w:sz="4"/>
              <w:left w:val="single" w:color="DDDBCF" w:sz="4"/>
              <w:bottom w:val="single" w:color="DDDBCF" w:sz="4"/>
              <w:right w:val="single" w:color="DDDBCF" w:sz="4"/>
            </w:tcBorders>
            <w:tcMar>
              <w:top w:type="dxa" w:w="50"/>
              <w:left w:type="dxa" w:w="100"/>
              <w:bottom w:type="dxa" w:w="50"/>
              <w:right w:type="dxa" w:w="100"/>
            </w:tcMar>
          </w:tcPr>
          <w:p>
            <w:r>
              <w:rPr>
                <w:rFonts w:ascii="Calibri" w:cs="Calibri" w:eastAsia="Calibri" w:hAnsi="Calibri"/>
                <w:color w:val="2a2920"/>
                <w:sz w:val="17"/>
                <w:szCs w:val="17"/>
              </w:rPr>
              <w:t xml:space="preserve">Great team, weak awareness</w:t>
            </w:r>
          </w:p>
        </w:tc>
        <w:tc>
          <w:tcPr>
            <w:tcW w:type="dxa" w:w="2560"/>
            <w:tcBorders>
              <w:top w:val="single" w:color="DDDBCF" w:sz="4"/>
              <w:left w:val="single" w:color="DDDBCF" w:sz="4"/>
              <w:bottom w:val="single" w:color="DDDBCF" w:sz="4"/>
              <w:right w:val="single" w:color="DDDBCF" w:sz="4"/>
            </w:tcBorders>
            <w:tcMar>
              <w:top w:type="dxa" w:w="50"/>
              <w:left w:type="dxa" w:w="100"/>
              <w:bottom w:type="dxa" w:w="50"/>
              <w:right w:type="dxa" w:w="100"/>
            </w:tcMar>
          </w:tcPr>
          <w:p>
            <w:r>
              <w:rPr>
                <w:rFonts w:ascii="Calibri" w:cs="Calibri" w:eastAsia="Calibri" w:hAnsi="Calibri"/>
                <w:color w:val="2a2920"/>
                <w:sz w:val="17"/>
                <w:szCs w:val="17"/>
              </w:rPr>
              <w:t xml:space="preserve">WhatsApp CRM, referrals, hyperlocal campaign</w:t>
            </w:r>
          </w:p>
        </w:tc>
      </w:tr>
      <w:tr>
        <w:tc>
          <w:tcPr>
            <w:tcW w:type="dxa" w:w="2000"/>
            <w:tcBorders>
              <w:top w:val="single" w:color="DDDBCF" w:sz="4"/>
              <w:left w:val="single" w:color="DDDBCF" w:sz="4"/>
              <w:bottom w:val="single" w:color="DDDBCF" w:sz="4"/>
              <w:right w:val="single" w:color="DDDBCF" w:sz="4"/>
            </w:tcBorders>
            <w:tcMar>
              <w:top w:type="dxa" w:w="50"/>
              <w:left w:type="dxa" w:w="100"/>
              <w:bottom w:type="dxa" w:w="50"/>
              <w:right w:type="dxa" w:w="100"/>
            </w:tcMar>
          </w:tcPr>
          <w:p>
            <w:r>
              <w:rPr>
                <w:rFonts w:ascii="Calibri" w:cs="Calibri" w:eastAsia="Calibri" w:hAnsi="Calibri"/>
                <w:b/>
                <w:bCs/>
                <w:color w:val="1B3A6B"/>
                <w:sz w:val="17"/>
                <w:szCs w:val="17"/>
              </w:rPr>
              <w:t xml:space="preserve">E — Volume without value</w:t>
            </w:r>
          </w:p>
        </w:tc>
        <w:tc>
          <w:tcPr>
            <w:tcW w:type="dxa" w:w="2200"/>
            <w:tcBorders>
              <w:top w:val="single" w:color="DDDBCF" w:sz="4"/>
              <w:left w:val="single" w:color="DDDBCF" w:sz="4"/>
              <w:bottom w:val="single" w:color="DDDBCF" w:sz="4"/>
              <w:right w:val="single" w:color="DDDBCF" w:sz="4"/>
            </w:tcBorders>
            <w:tcMar>
              <w:top w:type="dxa" w:w="50"/>
              <w:left w:type="dxa" w:w="100"/>
              <w:bottom w:type="dxa" w:w="50"/>
              <w:right w:type="dxa" w:w="100"/>
            </w:tcMar>
          </w:tcPr>
          <w:p>
            <w:r>
              <w:rPr>
                <w:rFonts w:ascii="Calibri" w:cs="Calibri" w:eastAsia="Calibri" w:hAnsi="Calibri"/>
                <w:color w:val="2a2920"/>
                <w:sz w:val="17"/>
                <w:szCs w:val="17"/>
              </w:rPr>
              <w:t xml:space="preserve">Orders ↑, Net Sales ↓</w:t>
            </w:r>
          </w:p>
        </w:tc>
        <w:tc>
          <w:tcPr>
            <w:tcW w:type="dxa" w:w="2600"/>
            <w:tcBorders>
              <w:top w:val="single" w:color="DDDBCF" w:sz="4"/>
              <w:left w:val="single" w:color="DDDBCF" w:sz="4"/>
              <w:bottom w:val="single" w:color="DDDBCF" w:sz="4"/>
              <w:right w:val="single" w:color="DDDBCF" w:sz="4"/>
            </w:tcBorders>
            <w:tcMar>
              <w:top w:type="dxa" w:w="50"/>
              <w:left w:type="dxa" w:w="100"/>
              <w:bottom w:type="dxa" w:w="50"/>
              <w:right w:type="dxa" w:w="100"/>
            </w:tcMar>
          </w:tcPr>
          <w:p>
            <w:r>
              <w:rPr>
                <w:rFonts w:ascii="Calibri" w:cs="Calibri" w:eastAsia="Calibri" w:hAnsi="Calibri"/>
                <w:color w:val="2a2920"/>
                <w:sz w:val="17"/>
                <w:szCs w:val="17"/>
              </w:rPr>
              <w:t xml:space="preserve">Discount / scheme erosion</w:t>
            </w:r>
          </w:p>
        </w:tc>
        <w:tc>
          <w:tcPr>
            <w:tcW w:type="dxa" w:w="2560"/>
            <w:tcBorders>
              <w:top w:val="single" w:color="DDDBCF" w:sz="4"/>
              <w:left w:val="single" w:color="DDDBCF" w:sz="4"/>
              <w:bottom w:val="single" w:color="DDDBCF" w:sz="4"/>
              <w:right w:val="single" w:color="DDDBCF" w:sz="4"/>
            </w:tcBorders>
            <w:tcMar>
              <w:top w:type="dxa" w:w="50"/>
              <w:left w:type="dxa" w:w="100"/>
              <w:bottom w:type="dxa" w:w="50"/>
              <w:right w:type="dxa" w:w="100"/>
            </w:tcMar>
          </w:tcPr>
          <w:p>
            <w:r>
              <w:rPr>
                <w:rFonts w:ascii="Calibri" w:cs="Calibri" w:eastAsia="Calibri" w:hAnsi="Calibri"/>
                <w:color w:val="2a2920"/>
                <w:sz w:val="17"/>
                <w:szCs w:val="17"/>
              </w:rPr>
              <w:t xml:space="preserve">Discount log audit, scheme ratio, Prog vs SV mix</w:t>
            </w:r>
          </w:p>
        </w:tc>
      </w:tr>
      <w:tr>
        <w:tc>
          <w:tcPr>
            <w:tcW w:type="dxa" w:w="2000"/>
            <w:tcBorders>
              <w:top w:val="single" w:color="DDDBCF" w:sz="4"/>
              <w:left w:val="single" w:color="DDDBCF" w:sz="4"/>
              <w:bottom w:val="single" w:color="DDDBCF" w:sz="4"/>
              <w:right w:val="single" w:color="DDDBCF" w:sz="4"/>
            </w:tcBorders>
            <w:tcMar>
              <w:top w:type="dxa" w:w="50"/>
              <w:left w:type="dxa" w:w="100"/>
              <w:bottom w:type="dxa" w:w="50"/>
              <w:right w:type="dxa" w:w="100"/>
            </w:tcMar>
          </w:tcPr>
          <w:p>
            <w:r>
              <w:rPr>
                <w:rFonts w:ascii="Calibri" w:cs="Calibri" w:eastAsia="Calibri" w:hAnsi="Calibri"/>
                <w:b/>
                <w:bCs/>
                <w:color w:val="1B3A6B"/>
                <w:sz w:val="17"/>
                <w:szCs w:val="17"/>
              </w:rPr>
              <w:t xml:space="preserve">F — Star store</w:t>
            </w:r>
          </w:p>
        </w:tc>
        <w:tc>
          <w:tcPr>
            <w:tcW w:type="dxa" w:w="2200"/>
            <w:tcBorders>
              <w:top w:val="single" w:color="DDDBCF" w:sz="4"/>
              <w:left w:val="single" w:color="DDDBCF" w:sz="4"/>
              <w:bottom w:val="single" w:color="DDDBCF" w:sz="4"/>
              <w:right w:val="single" w:color="DDDBCF" w:sz="4"/>
            </w:tcBorders>
            <w:tcMar>
              <w:top w:type="dxa" w:w="50"/>
              <w:left w:type="dxa" w:w="100"/>
              <w:bottom w:type="dxa" w:w="50"/>
              <w:right w:type="dxa" w:w="100"/>
            </w:tcMar>
          </w:tcPr>
          <w:p>
            <w:r>
              <w:rPr>
                <w:rFonts w:ascii="Calibri" w:cs="Calibri" w:eastAsia="Calibri" w:hAnsi="Calibri"/>
                <w:color w:val="2a2920"/>
                <w:sz w:val="17"/>
                <w:szCs w:val="17"/>
              </w:rPr>
              <w:t xml:space="preserve">All KPIs ↑</w:t>
            </w:r>
          </w:p>
        </w:tc>
        <w:tc>
          <w:tcPr>
            <w:tcW w:type="dxa" w:w="2600"/>
            <w:tcBorders>
              <w:top w:val="single" w:color="DDDBCF" w:sz="4"/>
              <w:left w:val="single" w:color="DDDBCF" w:sz="4"/>
              <w:bottom w:val="single" w:color="DDDBCF" w:sz="4"/>
              <w:right w:val="single" w:color="DDDBCF" w:sz="4"/>
            </w:tcBorders>
            <w:tcMar>
              <w:top w:type="dxa" w:w="50"/>
              <w:left w:type="dxa" w:w="100"/>
              <w:bottom w:type="dxa" w:w="50"/>
              <w:right w:type="dxa" w:w="100"/>
            </w:tcMar>
          </w:tcPr>
          <w:p>
            <w:r>
              <w:rPr>
                <w:rFonts w:ascii="Calibri" w:cs="Calibri" w:eastAsia="Calibri" w:hAnsi="Calibri"/>
                <w:color w:val="2a2920"/>
                <w:sz w:val="17"/>
                <w:szCs w:val="17"/>
              </w:rPr>
              <w:t xml:space="preserve">Benchmark store</w:t>
            </w:r>
          </w:p>
        </w:tc>
        <w:tc>
          <w:tcPr>
            <w:tcW w:type="dxa" w:w="2560"/>
            <w:tcBorders>
              <w:top w:val="single" w:color="DDDBCF" w:sz="4"/>
              <w:left w:val="single" w:color="DDDBCF" w:sz="4"/>
              <w:bottom w:val="single" w:color="DDDBCF" w:sz="4"/>
              <w:right w:val="single" w:color="DDDBCF" w:sz="4"/>
            </w:tcBorders>
            <w:tcMar>
              <w:top w:type="dxa" w:w="50"/>
              <w:left w:type="dxa" w:w="100"/>
              <w:bottom w:type="dxa" w:w="50"/>
              <w:right w:type="dxa" w:w="100"/>
            </w:tcMar>
          </w:tcPr>
          <w:p>
            <w:r>
              <w:rPr>
                <w:rFonts w:ascii="Calibri" w:cs="Calibri" w:eastAsia="Calibri" w:hAnsi="Calibri"/>
                <w:color w:val="2a2920"/>
                <w:sz w:val="17"/>
                <w:szCs w:val="17"/>
              </w:rPr>
              <w:t xml:space="preserve">Document playbook, share with cluster</w:t>
            </w:r>
          </w:p>
        </w:tc>
      </w:tr>
    </w:tbl>
    <w:p>
      <w:pPr>
        <w:spacing w:after="0" w:before="120"/>
      </w:pPr>
      <w:r>
        <w:t xml:space="preserve"/>
      </w:r>
    </w:p>
    <w:p>
      <w:pPr>
        <w:pStyle w:val="Heading2"/>
        <w:spacing w:after="80" w:before="240"/>
      </w:pPr>
      <w:r>
        <w:rPr>
          <w:rFonts w:ascii="Calibri" w:cs="Calibri" w:eastAsia="Calibri" w:hAnsi="Calibri"/>
          <w:b/>
          <w:bCs/>
          <w:color w:val="1B3A6B"/>
          <w:sz w:val="22"/>
          <w:szCs w:val="22"/>
        </w:rPr>
        <w:t xml:space="preserve">3.2  Step 2 — Diagnostic Logic with Timeline Granularities</w:t>
      </w:r>
    </w:p>
    <w:p>
      <w:pPr>
        <w:shd w:fill="EAE6DC" w:val="clear"/>
        <w:spacing w:after="60" w:before="200"/>
      </w:pPr>
      <w:r>
        <w:rPr>
          <w:rFonts w:ascii="Calibri" w:cs="Calibri" w:eastAsia="Calibri" w:hAnsi="Calibri"/>
          <w:b/>
          <w:bCs/>
          <w:caps/>
          <w:color w:val="3a3828"/>
          <w:sz w:val="18"/>
          <w:szCs w:val="18"/>
        </w:rPr>
        <w:t xml:space="preserve">👤  USER</w:t>
      </w:r>
    </w:p>
    <w:p>
      <w:pPr>
        <w:shd w:fill="EAE6DC" w:val="clear"/>
        <w:spacing w:after="120" w:before="0"/>
        <w:ind w:left="160"/>
      </w:pPr>
      <w:r>
        <w:rPr>
          <w:rFonts w:ascii="Calibri" w:cs="Calibri" w:eastAsia="Calibri" w:hAnsi="Calibri"/>
          <w:color w:val="1a1816"/>
          <w:sz w:val="20"/>
          <w:szCs w:val="20"/>
        </w:rPr>
        <w:t xml:space="preserve">also add hourly, daily, weekly, half month, monthly, quarterly, and yearly timeline to this.</w:t>
      </w:r>
    </w:p>
    <w:p>
      <w:pPr>
        <w:spacing w:after="80" w:before="40"/>
      </w:pPr>
      <w:r>
        <w:rPr>
          <w:rFonts w:ascii="Calibri" w:cs="Calibri" w:eastAsia="Calibri" w:hAnsi="Calibri"/>
          <w:color w:val="2a2920"/>
          <w:sz w:val="20"/>
          <w:szCs w:val="20"/>
        </w:rPr>
        <w:t xml:space="preserve">The agent extended the diagnostic engine with 7 timeline granularities. Each granularity received its own contextual insight per diagnostic pattern — e.g., "Conversion trap" at hourly level points to shift gaps at billing, while at yearly level it points to VM refresh cycles and team tenure.</w:t>
      </w:r>
    </w:p>
    <w:p>
      <w:pPr>
        <w:spacing w:after="0" w:before="80"/>
      </w:pPr>
      <w:r>
        <w:t xml:space="preserve"/>
      </w:r>
    </w:p>
    <w:p>
      <w:pPr>
        <w:spacing w:after="80" w:before="40"/>
      </w:pPr>
      <w:r>
        <w:rPr>
          <w:rFonts w:ascii="Calibri" w:cs="Calibri" w:eastAsia="Calibri" w:hAnsi="Calibri"/>
          <w:color w:val="2a2920"/>
          <w:sz w:val="20"/>
          <w:szCs w:val="20"/>
        </w:rPr>
        <w:t xml:space="preserve">Notable: Hourly, half-month, and yearly periods are not native in dim_dynamic_date_master. The agent added notice banners explaining which table or workaround to use for sub-daily or non-native periods.</w:t>
      </w:r>
    </w:p>
    <w:p>
      <w:pPr>
        <w:spacing w:after="0" w:before="200"/>
      </w:pPr>
      <w:r>
        <w:t xml:space="preserve"/>
      </w:r>
    </w:p>
    <w:p>
      <w:pPr>
        <w:spacing w:after="0" w:before="200"/>
      </w:pPr>
      <w:r>
        <w:t xml:space="preserve"/>
      </w:r>
    </w:p>
    <w:p>
      <w:pPr>
        <w:pBdr>
          <w:top w:val="single" w:color="C8973A" w:sz="8" w:space="4"/>
        </w:pBdr>
        <w:spacing w:after="0" w:before="0"/>
        <w:jc w:val="center"/>
      </w:pPr>
      <w:r>
        <w:rPr>
          <w:rFonts w:ascii="Calibri" w:cs="Calibri" w:eastAsia="Calibri" w:hAnsi="Calibri"/>
          <w:b/>
          <w:bCs/>
          <w:color w:val="C8973A"/>
          <w:sz w:val="20"/>
          <w:szCs w:val="20"/>
        </w:rPr>
        <w:t xml:space="preserve">  ◆  PHASE 3 — CORRELATION ENGINE  ◆  </w:t>
      </w:r>
    </w:p>
    <w:p>
      <w:pPr>
        <w:spacing w:after="0" w:before="120"/>
      </w:pPr>
      <w:r>
        <w:t xml:space="preserve"/>
      </w:r>
    </w:p>
    <w:p>
      <w:pPr>
        <w:pStyle w:val="Heading1"/>
        <w:pBdr>
          <w:bottom w:val="single" w:color="C8973A" w:sz="6" w:space="4"/>
        </w:pBdr>
        <w:spacing w:after="120" w:before="360"/>
      </w:pPr>
      <w:r>
        <w:rPr>
          <w:rFonts w:ascii="Calibri" w:cs="Calibri" w:eastAsia="Calibri" w:hAnsi="Calibri"/>
          <w:b/>
          <w:bCs/>
          <w:color w:val="0D0D0B"/>
          <w:sz w:val="28"/>
          <w:szCs w:val="28"/>
        </w:rPr>
        <w:t xml:space="preserve">4. Phase 3 — Correlation Engine</w:t>
      </w:r>
    </w:p>
    <w:p>
      <w:pPr>
        <w:shd w:fill="EAE6DC" w:val="clear"/>
        <w:spacing w:after="60" w:before="200"/>
      </w:pPr>
      <w:r>
        <w:rPr>
          <w:rFonts w:ascii="Calibri" w:cs="Calibri" w:eastAsia="Calibri" w:hAnsi="Calibri"/>
          <w:b/>
          <w:bCs/>
          <w:caps/>
          <w:color w:val="3a3828"/>
          <w:sz w:val="18"/>
          <w:szCs w:val="18"/>
        </w:rPr>
        <w:t xml:space="preserve">👤  USER</w:t>
      </w:r>
    </w:p>
    <w:p>
      <w:pPr>
        <w:shd w:fill="EAE6DC" w:val="clear"/>
        <w:spacing w:after="120" w:before="0"/>
        <w:ind w:left="160"/>
      </w:pPr>
      <w:r>
        <w:rPr>
          <w:rFonts w:ascii="Calibri" w:cs="Calibri" w:eastAsia="Calibri" w:hAnsi="Calibri"/>
          <w:color w:val="1a1816"/>
          <w:sz w:val="20"/>
          <w:szCs w:val="20"/>
        </w:rPr>
        <w:t xml:space="preserve">for correlation engine, I want my agent to compare KPIs to find the leak...</w:t>
      </w:r>
    </w:p>
    <w:p>
      <w:pPr>
        <w:spacing w:after="80" w:before="40"/>
      </w:pPr>
      <w:r>
        <w:rPr>
          <w:rFonts w:ascii="Calibri" w:cs="Calibri" w:eastAsia="Calibri" w:hAnsi="Calibri"/>
          <w:color w:val="2a2920"/>
          <w:sz w:val="20"/>
          <w:szCs w:val="20"/>
        </w:rPr>
        <w:t xml:space="preserve">The Correlation Engine was built as Step 3 of the diagnostic framework. It takes actual KPI values, computes relative positions vs benchmark/prior period, identifies which KPIs are diverging from each other, and surfaces the specific leak with a confidence score.</w:t>
      </w:r>
    </w:p>
    <w:p>
      <w:pPr>
        <w:spacing w:after="0" w:before="80"/>
      </w:pPr>
      <w:r>
        <w:t xml:space="preserve"/>
      </w:r>
    </w:p>
    <w:p>
      <w:pPr>
        <w:pStyle w:val="Heading2"/>
        <w:spacing w:after="80" w:before="240"/>
      </w:pPr>
      <w:r>
        <w:rPr>
          <w:rFonts w:ascii="Calibri" w:cs="Calibri" w:eastAsia="Calibri" w:hAnsi="Calibri"/>
          <w:b/>
          <w:bCs/>
          <w:color w:val="1B3A6B"/>
          <w:sz w:val="22"/>
          <w:szCs w:val="22"/>
        </w:rPr>
        <w:t xml:space="preserve">4.1  Correlation scenarios built</w:t>
      </w:r>
    </w:p>
    <w:p>
      <w:pPr>
        <w:spacing w:after="20" w:before="100"/>
      </w:pPr>
      <w:r>
        <w:rPr>
          <w:rFonts w:ascii="Calibri" w:cs="Calibri" w:eastAsia="Calibri" w:hAnsi="Calibri"/>
          <w:b/>
          <w:bCs/>
          <w:color w:val="1B3A6B"/>
          <w:sz w:val="19"/>
          <w:szCs w:val="19"/>
        </w:rPr>
        <w:t xml:space="preserve">Scenario A: Footfall ↑ + Conversion ↓ = Service Bottleneck</w:t>
      </w:r>
    </w:p>
    <w:p>
      <w:pPr>
        <w:spacing w:after="80" w:before="0"/>
        <w:ind w:left="240"/>
      </w:pPr>
      <w:r>
        <w:rPr>
          <w:rFonts w:ascii="Calibri" w:cs="Calibri" w:eastAsia="Calibri" w:hAnsi="Calibri"/>
          <w:color w:val="3a3828"/>
          <w:sz w:val="18"/>
          <w:szCs w:val="18"/>
        </w:rPr>
        <w:t xml:space="preserve">Causes: Long ET queue, empty pegs, understaffing at peak hours</w:t>
      </w:r>
    </w:p>
    <w:p>
      <w:pPr>
        <w:spacing w:after="20" w:before="100"/>
      </w:pPr>
      <w:r>
        <w:rPr>
          <w:rFonts w:ascii="Calibri" w:cs="Calibri" w:eastAsia="Calibri" w:hAnsi="Calibri"/>
          <w:b/>
          <w:bCs/>
          <w:color w:val="1B3A6B"/>
          <w:sz w:val="19"/>
          <w:szCs w:val="19"/>
        </w:rPr>
        <w:t xml:space="preserve">Scenario B: Conversion ↑ + ATV ↓ = Upselling Failure</w:t>
      </w:r>
    </w:p>
    <w:p>
      <w:pPr>
        <w:spacing w:after="80" w:before="0"/>
        <w:ind w:left="240"/>
      </w:pPr>
      <w:r>
        <w:rPr>
          <w:rFonts w:ascii="Calibri" w:cs="Calibri" w:eastAsia="Calibri" w:hAnsi="Calibri"/>
          <w:color w:val="3a3828"/>
          <w:sz w:val="18"/>
          <w:szCs w:val="18"/>
        </w:rPr>
        <w:t xml:space="preserve">Causes: No coating recommendation, staff closing with cheap option, premium OOS</w:t>
      </w:r>
    </w:p>
    <w:p>
      <w:pPr>
        <w:spacing w:after="20" w:before="100"/>
      </w:pPr>
      <w:r>
        <w:rPr>
          <w:rFonts w:ascii="Calibri" w:cs="Calibri" w:eastAsia="Calibri" w:hAnsi="Calibri"/>
          <w:b/>
          <w:bCs/>
          <w:color w:val="1B3A6B"/>
          <w:sz w:val="19"/>
          <w:szCs w:val="19"/>
        </w:rPr>
        <w:t xml:space="preserve">Scenario C: All three primary KPIs ↓ = Demand Collapse</w:t>
      </w:r>
    </w:p>
    <w:p>
      <w:pPr>
        <w:spacing w:after="80" w:before="0"/>
        <w:ind w:left="240"/>
      </w:pPr>
      <w:r>
        <w:rPr>
          <w:rFonts w:ascii="Calibri" w:cs="Calibri" w:eastAsia="Calibri" w:hAnsi="Calibri"/>
          <w:color w:val="3a3828"/>
          <w:sz w:val="18"/>
          <w:szCs w:val="18"/>
        </w:rPr>
        <w:t xml:space="preserve">Causes: Competition, frontage issue, no local digital presence, access disruption</w:t>
      </w:r>
    </w:p>
    <w:p>
      <w:pPr>
        <w:spacing w:after="20" w:before="100"/>
      </w:pPr>
      <w:r>
        <w:rPr>
          <w:rFonts w:ascii="Calibri" w:cs="Calibri" w:eastAsia="Calibri" w:hAnsi="Calibri"/>
          <w:b/>
          <w:bCs/>
          <w:color w:val="1B3A6B"/>
          <w:sz w:val="19"/>
          <w:szCs w:val="19"/>
        </w:rPr>
        <w:t xml:space="preserve">Scenario D: Footfall ↓ + Conversion ↑ + ATV ↑ = Invisible Store</w:t>
      </w:r>
    </w:p>
    <w:p>
      <w:pPr>
        <w:spacing w:after="80" w:before="0"/>
        <w:ind w:left="240"/>
      </w:pPr>
      <w:r>
        <w:rPr>
          <w:rFonts w:ascii="Calibri" w:cs="Calibri" w:eastAsia="Calibri" w:hAnsi="Calibri"/>
          <w:color w:val="3a3828"/>
          <w:sz w:val="18"/>
          <w:szCs w:val="18"/>
        </w:rPr>
        <w:t xml:space="preserve">Causes: Team is excellent, awareness is the gap — hyperlocal marketing needed</w:t>
      </w:r>
    </w:p>
    <w:p>
      <w:pPr>
        <w:spacing w:after="20" w:before="100"/>
      </w:pPr>
      <w:r>
        <w:rPr>
          <w:rFonts w:ascii="Calibri" w:cs="Calibri" w:eastAsia="Calibri" w:hAnsi="Calibri"/>
          <w:b/>
          <w:bCs/>
          <w:color w:val="1B3A6B"/>
          <w:sz w:val="19"/>
          <w:szCs w:val="19"/>
        </w:rPr>
        <w:t xml:space="preserve">Scenario E: Orders ↑ + Net Sales ↓ = Volume Without Revenue</w:t>
      </w:r>
    </w:p>
    <w:p>
      <w:pPr>
        <w:spacing w:after="80" w:before="0"/>
        <w:ind w:left="240"/>
      </w:pPr>
      <w:r>
        <w:rPr>
          <w:rFonts w:ascii="Calibri" w:cs="Calibri" w:eastAsia="Calibri" w:hAnsi="Calibri"/>
          <w:color w:val="3a3828"/>
          <w:sz w:val="18"/>
          <w:szCs w:val="18"/>
        </w:rPr>
        <w:t xml:space="preserve">Causes: Scheme/discount erosion, free-lens offers, SV dominance over Progressive</w:t>
      </w:r>
    </w:p>
    <w:p>
      <w:pPr>
        <w:spacing w:after="20" w:before="100"/>
      </w:pPr>
      <w:r>
        <w:rPr>
          <w:rFonts w:ascii="Calibri" w:cs="Calibri" w:eastAsia="Calibri" w:hAnsi="Calibri"/>
          <w:b/>
          <w:bCs/>
          <w:color w:val="1B3A6B"/>
          <w:sz w:val="19"/>
          <w:szCs w:val="19"/>
        </w:rPr>
        <w:t xml:space="preserve">Scenario F: All KPIs ↑ = Star Store</w:t>
      </w:r>
    </w:p>
    <w:p>
      <w:pPr>
        <w:spacing w:after="80" w:before="0"/>
        <w:ind w:left="240"/>
      </w:pPr>
      <w:r>
        <w:rPr>
          <w:rFonts w:ascii="Calibri" w:cs="Calibri" w:eastAsia="Calibri" w:hAnsi="Calibri"/>
          <w:color w:val="3a3828"/>
          <w:sz w:val="18"/>
          <w:szCs w:val="18"/>
        </w:rPr>
        <w:t xml:space="preserve">Causes: Benchmark — document and share playbook with cluster</w:t>
      </w:r>
    </w:p>
    <w:p>
      <w:pPr>
        <w:spacing w:after="0" w:before="80"/>
      </w:pPr>
      <w:r>
        <w:t xml:space="preserve"/>
      </w:r>
    </w:p>
    <w:p>
      <w:pPr>
        <w:pStyle w:val="Heading2"/>
        <w:spacing w:after="80" w:before="240"/>
      </w:pPr>
      <w:r>
        <w:rPr>
          <w:rFonts w:ascii="Calibri" w:cs="Calibri" w:eastAsia="Calibri" w:hAnsi="Calibri"/>
          <w:b/>
          <w:bCs/>
          <w:color w:val="1B3A6B"/>
          <w:sz w:val="22"/>
          <w:szCs w:val="22"/>
        </w:rPr>
        <w:t xml:space="preserve">4.2  Confidence scoring</w:t>
      </w:r>
    </w:p>
    <w:p>
      <w:pPr>
        <w:spacing w:after="80" w:before="40"/>
      </w:pPr>
      <w:r>
        <w:rPr>
          <w:rFonts w:ascii="Calibri" w:cs="Calibri" w:eastAsia="Calibri" w:hAnsi="Calibri"/>
          <w:color w:val="2a2920"/>
          <w:sz w:val="20"/>
          <w:szCs w:val="20"/>
        </w:rPr>
        <w:t xml:space="preserve">Each correlation finding is assigned a confidence score (High / Medium / Low) computed from the magnitude of the KPI divergence gap. Wider gaps between paired KPIs produce higher confidence ratings. For example, Scenario A (conversion trap) is scored High confidence when footfall-conversion divergence exceeds 10 percentage points.</w:t>
      </w:r>
    </w:p>
    <w:p>
      <w:pPr>
        <w:spacing w:after="0" w:before="200"/>
      </w:pPr>
      <w:r>
        <w:t xml:space="preserve"/>
      </w:r>
    </w:p>
    <w:p>
      <w:pPr>
        <w:spacing w:after="0" w:before="200"/>
      </w:pPr>
      <w:r>
        <w:t xml:space="preserve"/>
      </w:r>
    </w:p>
    <w:p>
      <w:pPr>
        <w:pBdr>
          <w:top w:val="single" w:color="C8973A" w:sz="8" w:space="4"/>
        </w:pBdr>
        <w:spacing w:after="0" w:before="0"/>
        <w:jc w:val="center"/>
      </w:pPr>
      <w:r>
        <w:rPr>
          <w:rFonts w:ascii="Calibri" w:cs="Calibri" w:eastAsia="Calibri" w:hAnsi="Calibri"/>
          <w:b/>
          <w:bCs/>
          <w:color w:val="C8973A"/>
          <w:sz w:val="20"/>
          <w:szCs w:val="20"/>
        </w:rPr>
        <w:t xml:space="preserve">  ◆  PHASE 4 — LEAKAGE DIAGNOSTIC PATHWAY (LEVELS 1–3)  ◆  </w:t>
      </w:r>
    </w:p>
    <w:p>
      <w:pPr>
        <w:spacing w:after="0" w:before="120"/>
      </w:pPr>
      <w:r>
        <w:t xml:space="preserve"/>
      </w:r>
    </w:p>
    <w:p>
      <w:pPr>
        <w:pStyle w:val="Heading1"/>
        <w:pBdr>
          <w:bottom w:val="single" w:color="C8973A" w:sz="6" w:space="4"/>
        </w:pBdr>
        <w:spacing w:after="120" w:before="360"/>
      </w:pPr>
      <w:r>
        <w:rPr>
          <w:rFonts w:ascii="Calibri" w:cs="Calibri" w:eastAsia="Calibri" w:hAnsi="Calibri"/>
          <w:b/>
          <w:bCs/>
          <w:color w:val="0D0D0B"/>
          <w:sz w:val="28"/>
          <w:szCs w:val="28"/>
        </w:rPr>
        <w:t xml:space="preserve">5. Phase 4 — Leakage Diagnostic Pathway</w:t>
      </w:r>
    </w:p>
    <w:p>
      <w:pPr>
        <w:shd w:fill="EAE6DC" w:val="clear"/>
        <w:spacing w:after="60" w:before="200"/>
      </w:pPr>
      <w:r>
        <w:rPr>
          <w:rFonts w:ascii="Calibri" w:cs="Calibri" w:eastAsia="Calibri" w:hAnsi="Calibri"/>
          <w:b/>
          <w:bCs/>
          <w:caps/>
          <w:color w:val="3a3828"/>
          <w:sz w:val="18"/>
          <w:szCs w:val="18"/>
        </w:rPr>
        <w:t xml:space="preserve">👤  USER</w:t>
      </w:r>
    </w:p>
    <w:p>
      <w:pPr>
        <w:shd w:fill="EAE6DC" w:val="clear"/>
        <w:spacing w:after="120" w:before="0"/>
        <w:ind w:left="160"/>
      </w:pPr>
      <w:r>
        <w:rPr>
          <w:rFonts w:ascii="Calibri" w:cs="Calibri" w:eastAsia="Calibri" w:hAnsi="Calibri"/>
          <w:color w:val="1a1816"/>
          <w:sz w:val="20"/>
          <w:szCs w:val="20"/>
        </w:rPr>
        <w:t xml:space="preserve">for correlation engine, The Diagnostic Logic Pathway (The "Leakage" Search) — Level 1: Funnel Check, Level 2: Why of Conversion, Level 3: Value Check...</w:t>
      </w:r>
    </w:p>
    <w:p>
      <w:pPr>
        <w:spacing w:after="80" w:before="40"/>
      </w:pPr>
      <w:r>
        <w:rPr>
          <w:rFonts w:ascii="Calibri" w:cs="Calibri" w:eastAsia="Calibri" w:hAnsi="Calibri"/>
          <w:color w:val="2a2920"/>
          <w:sz w:val="20"/>
          <w:szCs w:val="20"/>
        </w:rPr>
        <w:t xml:space="preserve">The user specified a full 3-level structured diagnostic logic. The agent implemented it precisely:</w:t>
      </w:r>
    </w:p>
    <w:p>
      <w:pPr>
        <w:spacing w:after="0" w:before="80"/>
      </w:pPr>
      <w:r>
        <w:t xml:space="preserve"/>
      </w:r>
    </w:p>
    <w:p>
      <w:pPr>
        <w:pStyle w:val="Heading2"/>
        <w:spacing w:after="80" w:before="240"/>
      </w:pPr>
      <w:r>
        <w:rPr>
          <w:rFonts w:ascii="Calibri" w:cs="Calibri" w:eastAsia="Calibri" w:hAnsi="Calibri"/>
          <w:b/>
          <w:bCs/>
          <w:color w:val="1B3A6B"/>
          <w:sz w:val="22"/>
          <w:szCs w:val="22"/>
        </w:rPr>
        <w:t xml:space="preserve">5.1  Level 1 — Funnel Check (Volume vs Efficiency)</w:t>
      </w:r>
    </w:p>
    <w:p>
      <w:pPr>
        <w:shd w:fill="F2F1EC" w:val="clear"/>
        <w:spacing w:after="40" w:before="40"/>
        <w:ind w:left="360"/>
      </w:pPr>
      <w:r>
        <w:rPr>
          <w:rFonts w:ascii="Courier New" w:cs="Courier New" w:eastAsia="Courier New" w:hAnsi="Courier New"/>
          <w:color w:val="1a3a2a"/>
          <w:sz w:val="18"/>
          <w:szCs w:val="18"/>
        </w:rPr>
        <w:t xml:space="preserve">Footfall (opportunity) → Net Orders (success)</w:t>
      </w:r>
    </w:p>
    <w:p>
      <w:pPr>
        <w:shd w:fill="F2F1EC" w:val="clear"/>
        <w:spacing w:after="40" w:before="40"/>
        <w:ind w:left="360"/>
      </w:pPr>
      <w:r>
        <w:rPr>
          <w:rFonts w:ascii="Courier New" w:cs="Courier New" w:eastAsia="Courier New" w:hAnsi="Courier New"/>
          <w:color w:val="1a3a2a"/>
          <w:sz w:val="18"/>
          <w:szCs w:val="18"/>
        </w:rPr>
        <w:t xml:space="preserve">Conversion = (Net Orders / Footfall) × 100  ← ALWAYS manual, never from [Conversion] measure</w:t>
      </w:r>
    </w:p>
    <w:p>
      <w:pPr>
        <w:shd w:fill="F2F1EC" w:val="clear"/>
        <w:spacing w:after="40" w:before="40"/>
        <w:ind w:left="360"/>
      </w:pPr>
      <w:r>
        <w:rPr>
          <w:rFonts w:ascii="Courier New" w:cs="Courier New" w:eastAsia="Courier New" w:hAnsi="Courier New"/>
          <w:color w:val="1a3a2a"/>
          <w:sz w:val="18"/>
          <w:szCs w:val="18"/>
        </w:rPr>
        <w:t xml:space="preserve">IF Footfall ↑ AND Orders ↓ or flat → people entering but leaving empty-handed → go to Level 2</w:t>
      </w:r>
    </w:p>
    <w:p>
      <w:pPr>
        <w:spacing w:after="0" w:before="80"/>
      </w:pPr>
      <w:r>
        <w:t xml:space="preserve"/>
      </w:r>
    </w:p>
    <w:p>
      <w:pPr>
        <w:pStyle w:val="Heading2"/>
        <w:spacing w:after="80" w:before="240"/>
      </w:pPr>
      <w:r>
        <w:rPr>
          <w:rFonts w:ascii="Calibri" w:cs="Calibri" w:eastAsia="Calibri" w:hAnsi="Calibri"/>
          <w:b/>
          <w:bCs/>
          <w:color w:val="1B3A6B"/>
          <w:sz w:val="22"/>
          <w:szCs w:val="22"/>
        </w:rPr>
        <w:t xml:space="preserve">5.2  Level 2 — Why of Conversion (Operational Friction)</w:t>
      </w:r>
    </w:p>
    <w:p>
      <w:pPr>
        <w:spacing w:after="80" w:before="40"/>
      </w:pPr>
      <w:r>
        <w:rPr>
          <w:rFonts w:ascii="Calibri" w:cs="Calibri" w:eastAsia="Calibri" w:hAnsi="Calibri"/>
          <w:color w:val="2a2920"/>
          <w:sz w:val="20"/>
          <w:szCs w:val="20"/>
        </w:rPr>
        <w:t xml:space="preserve">Two sub-paths checked simultaneously:</w:t>
      </w:r>
    </w:p>
    <w:p>
      <w:pPr>
        <w:spacing w:after="0" w:before="80"/>
      </w:pPr>
      <w:r>
        <w:t xml:space="preserve"/>
      </w:r>
    </w:p>
    <w:p>
      <w:pPr>
        <w:spacing w:after="40" w:before="40"/>
      </w:pPr>
      <w:r>
        <w:rPr>
          <w:rFonts w:ascii="Calibri" w:cs="Calibri" w:eastAsia="Calibri" w:hAnsi="Calibri"/>
          <w:b/>
          <w:bCs/>
          <w:color w:val="0E5A6F"/>
          <w:sz w:val="19"/>
          <w:szCs w:val="19"/>
        </w:rPr>
        <w:t xml:space="preserve">Sub-Path A — Staffing / Service:</w:t>
      </w:r>
    </w:p>
    <w:p>
      <w:pPr>
        <w:shd w:fill="F2F1EC" w:val="clear"/>
        <w:spacing w:after="40" w:before="40"/>
        <w:ind w:left="360"/>
      </w:pPr>
      <w:r>
        <w:rPr>
          <w:rFonts w:ascii="Courier New" w:cs="Courier New" w:eastAsia="Courier New" w:hAnsi="Courier New"/>
          <w:color w:val="1a3a2a"/>
          <w:sz w:val="18"/>
          <w:szCs w:val="18"/>
        </w:rPr>
        <w:t xml:space="preserve">Check: ET Wait Time  →  &gt;8 min = Critical (billing bottleneck)  |  6.5–8 min = Watch  |  &lt;6.5 = Normal</w:t>
      </w:r>
    </w:p>
    <w:p>
      <w:pPr>
        <w:shd w:fill="F2F1EC" w:val="clear"/>
        <w:spacing w:after="40" w:before="40"/>
        <w:ind w:left="360"/>
      </w:pPr>
      <w:r>
        <w:rPr>
          <w:rFonts w:ascii="Courier New" w:cs="Courier New" w:eastAsia="Courier New" w:hAnsi="Courier New"/>
          <w:color w:val="1a3a2a"/>
          <w:sz w:val="18"/>
          <w:szCs w:val="18"/>
        </w:rPr>
        <w:t xml:space="preserve">Check: NOB per Staff (orders per staff)  →  below benchmark = understaffing or low productivity</w:t>
      </w:r>
    </w:p>
    <w:p>
      <w:pPr>
        <w:spacing w:after="0" w:before="80"/>
      </w:pPr>
      <w:r>
        <w:t xml:space="preserve"/>
      </w:r>
    </w:p>
    <w:p>
      <w:pPr>
        <w:spacing w:after="40" w:before="40"/>
      </w:pPr>
      <w:r>
        <w:rPr>
          <w:rFonts w:ascii="Calibri" w:cs="Calibri" w:eastAsia="Calibri" w:hAnsi="Calibri"/>
          <w:b/>
          <w:bCs/>
          <w:color w:val="0E5A6F"/>
          <w:sz w:val="19"/>
          <w:szCs w:val="19"/>
        </w:rPr>
        <w:t xml:space="preserve">Sub-Path B — Merchandise:</w:t>
      </w:r>
    </w:p>
    <w:p>
      <w:pPr>
        <w:shd w:fill="F2F1EC" w:val="clear"/>
        <w:spacing w:after="40" w:before="40"/>
        <w:ind w:left="360"/>
      </w:pPr>
      <w:r>
        <w:rPr>
          <w:rFonts w:ascii="Courier New" w:cs="Courier New" w:eastAsia="Courier New" w:hAnsi="Courier New"/>
          <w:color w:val="1a3a2a"/>
          <w:sz w:val="18"/>
          <w:szCs w:val="18"/>
        </w:rPr>
        <w:t xml:space="preserve">Check: Serviceable fill rate  →  below benchmark = stock gap on high-demand SKUs</w:t>
      </w:r>
    </w:p>
    <w:p>
      <w:pPr>
        <w:shd w:fill="F2F1EC" w:val="clear"/>
        <w:spacing w:after="40" w:before="40"/>
        <w:ind w:left="360"/>
      </w:pPr>
      <w:r>
        <w:rPr>
          <w:rFonts w:ascii="Courier New" w:cs="Courier New" w:eastAsia="Courier New" w:hAnsi="Courier New"/>
          <w:color w:val="1a3a2a"/>
          <w:sz w:val="18"/>
          <w:szCs w:val="18"/>
        </w:rPr>
        <w:t xml:space="preserve">Check: Progressive share %  →  below 22% = assortment or recommendation gap</w:t>
      </w:r>
    </w:p>
    <w:p>
      <w:pPr>
        <w:spacing w:after="0" w:before="80"/>
      </w:pPr>
      <w:r>
        <w:t xml:space="preserve"/>
      </w:r>
    </w:p>
    <w:p>
      <w:pPr>
        <w:pStyle w:val="Heading2"/>
        <w:spacing w:after="80" w:before="240"/>
      </w:pPr>
      <w:r>
        <w:rPr>
          <w:rFonts w:ascii="Calibri" w:cs="Calibri" w:eastAsia="Calibri" w:hAnsi="Calibri"/>
          <w:b/>
          <w:bCs/>
          <w:color w:val="1B3A6B"/>
          <w:sz w:val="22"/>
          <w:szCs w:val="22"/>
        </w:rPr>
        <w:t xml:space="preserve">5.3  Level 3 — Value Check (Transaction / Basket Quality)</w:t>
      </w:r>
    </w:p>
    <w:p>
      <w:pPr>
        <w:shd w:fill="F2F1EC" w:val="clear"/>
        <w:spacing w:after="40" w:before="40"/>
        <w:ind w:left="360"/>
      </w:pPr>
      <w:r>
        <w:rPr>
          <w:rFonts w:ascii="Courier New" w:cs="Courier New" w:eastAsia="Courier New" w:hAnsi="Courier New"/>
          <w:color w:val="1a3a2a"/>
          <w:sz w:val="18"/>
          <w:szCs w:val="18"/>
        </w:rPr>
        <w:t xml:space="preserve">ATV = Net Sales / Net Orders</w:t>
      </w:r>
    </w:p>
    <w:p>
      <w:pPr>
        <w:shd w:fill="F2F1EC" w:val="clear"/>
        <w:spacing w:after="40" w:before="40"/>
        <w:ind w:left="360"/>
      </w:pPr>
      <w:r>
        <w:rPr>
          <w:rFonts w:ascii="Courier New" w:cs="Courier New" w:eastAsia="Courier New" w:hAnsi="Courier New"/>
          <w:color w:val="1a3a2a"/>
          <w:sz w:val="18"/>
          <w:szCs w:val="18"/>
        </w:rPr>
        <w:t xml:space="preserve">UPT = Net Qty / Net Orders</w:t>
      </w:r>
    </w:p>
    <w:p>
      <w:pPr>
        <w:shd w:fill="F2F1EC" w:val="clear"/>
        <w:spacing w:after="40" w:before="40"/>
        <w:ind w:left="360"/>
      </w:pPr>
      <w:r>
        <w:rPr>
          <w:rFonts w:ascii="Courier New" w:cs="Courier New" w:eastAsia="Courier New" w:hAnsi="Courier New"/>
          <w:color w:val="1a3a2a"/>
          <w:sz w:val="18"/>
          <w:szCs w:val="18"/>
        </w:rPr>
        <w:t xml:space="preserve">ASP = Net Sales / Net Qty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0E5A6F" w:sz="6"/>
              <w:left w:val="single" w:color="0E5A6F" w:sz="6"/>
              <w:bottom w:val="single" w:color="0E5A6F" w:sz="6"/>
              <w:right w:val="single" w:color="0E5A6F" w:sz="6"/>
            </w:tcBorders>
            <w:shd w:fill="0E5A6F" w:val="clear"/>
            <w:tcMar>
              <w:top w:type="dxa" w:w="60"/>
              <w:left w:type="dxa" w:w="100"/>
              <w:bottom w:type="dxa" w:w="60"/>
              <w:right w:type="dxa" w:w="100"/>
            </w:tcMar>
          </w:tcPr>
          <w:p>
            <w:r>
              <w:rPr>
                <w:rFonts w:ascii="Calibri" w:cs="Calibri" w:eastAsia="Calibri" w:hAnsi="Calibri"/>
                <w:b/>
                <w:bCs/>
                <w:color w:val="FFFFFF"/>
                <w:sz w:val="17"/>
                <w:szCs w:val="17"/>
              </w:rPr>
              <w:t xml:space="preserve">UPT</w:t>
            </w:r>
          </w:p>
        </w:tc>
        <w:tc>
          <w:tcPr>
            <w:tcW w:type="dxa" w:w="2400"/>
            <w:tcBorders>
              <w:top w:val="single" w:color="0E5A6F" w:sz="6"/>
              <w:left w:val="single" w:color="0E5A6F" w:sz="6"/>
              <w:bottom w:val="single" w:color="0E5A6F" w:sz="6"/>
              <w:right w:val="single" w:color="0E5A6F" w:sz="6"/>
            </w:tcBorders>
            <w:shd w:fill="0E5A6F" w:val="clear"/>
            <w:tcMar>
              <w:top w:type="dxa" w:w="60"/>
              <w:left w:type="dxa" w:w="100"/>
              <w:bottom w:type="dxa" w:w="60"/>
              <w:right w:type="dxa" w:w="100"/>
            </w:tcMar>
          </w:tcPr>
          <w:p>
            <w:r>
              <w:rPr>
                <w:rFonts w:ascii="Calibri" w:cs="Calibri" w:eastAsia="Calibri" w:hAnsi="Calibri"/>
                <w:b/>
                <w:bCs/>
                <w:color w:val="FFFFFF"/>
                <w:sz w:val="17"/>
                <w:szCs w:val="17"/>
              </w:rPr>
              <w:t xml:space="preserve">ATV</w:t>
            </w:r>
          </w:p>
        </w:tc>
        <w:tc>
          <w:tcPr>
            <w:tcW w:type="dxa" w:w="4560"/>
            <w:tcBorders>
              <w:top w:val="single" w:color="0E5A6F" w:sz="6"/>
              <w:left w:val="single" w:color="0E5A6F" w:sz="6"/>
              <w:bottom w:val="single" w:color="0E5A6F" w:sz="6"/>
              <w:right w:val="single" w:color="0E5A6F" w:sz="6"/>
            </w:tcBorders>
            <w:shd w:fill="0E5A6F" w:val="clear"/>
            <w:tcMar>
              <w:top w:type="dxa" w:w="60"/>
              <w:left w:type="dxa" w:w="100"/>
              <w:bottom w:type="dxa" w:w="60"/>
              <w:right w:type="dxa" w:w="100"/>
            </w:tcMar>
          </w:tcPr>
          <w:p>
            <w:r>
              <w:rPr>
                <w:rFonts w:ascii="Calibri" w:cs="Calibri" w:eastAsia="Calibri" w:hAnsi="Calibri"/>
                <w:b/>
                <w:bCs/>
                <w:color w:val="FFFFFF"/>
                <w:sz w:val="17"/>
                <w:szCs w:val="17"/>
              </w:rPr>
              <w:t xml:space="preserve">Diagnosis</w:t>
            </w:r>
          </w:p>
        </w:tc>
      </w:tr>
      <w:tr>
        <w:tc>
          <w:tcPr>
            <w:tcW w:type="dxa" w:w="2400"/>
            <w:tcBorders>
              <w:top w:val="single" w:color="DDDBCF" w:sz="4"/>
              <w:left w:val="single" w:color="DDDBCF" w:sz="4"/>
              <w:bottom w:val="single" w:color="DDDBCF" w:sz="4"/>
              <w:right w:val="single" w:color="DDDBCF" w:sz="4"/>
            </w:tcBorders>
            <w:tcMar>
              <w:top w:type="dxa" w:w="50"/>
              <w:left w:type="dxa" w:w="100"/>
              <w:bottom w:type="dxa" w:w="50"/>
              <w:right w:type="dxa" w:w="100"/>
            </w:tcMar>
          </w:tcPr>
          <w:p>
            <w:r>
              <w:rPr>
                <w:rFonts w:ascii="Calibri" w:cs="Calibri" w:eastAsia="Calibri" w:hAnsi="Calibri"/>
                <w:color w:val="2a2920"/>
                <w:sz w:val="17"/>
                <w:szCs w:val="17"/>
              </w:rPr>
              <w:t xml:space="preserve">↓ (below bm)</w:t>
            </w:r>
          </w:p>
        </w:tc>
        <w:tc>
          <w:tcPr>
            <w:tcW w:type="dxa" w:w="2400"/>
            <w:tcBorders>
              <w:top w:val="single" w:color="DDDBCF" w:sz="4"/>
              <w:left w:val="single" w:color="DDDBCF" w:sz="4"/>
              <w:bottom w:val="single" w:color="DDDBCF" w:sz="4"/>
              <w:right w:val="single" w:color="DDDBCF" w:sz="4"/>
            </w:tcBorders>
            <w:tcMar>
              <w:top w:type="dxa" w:w="50"/>
              <w:left w:type="dxa" w:w="100"/>
              <w:bottom w:type="dxa" w:w="50"/>
              <w:right w:type="dxa" w:w="100"/>
            </w:tcMar>
          </w:tcPr>
          <w:p>
            <w:r>
              <w:rPr>
                <w:rFonts w:ascii="Calibri" w:cs="Calibri" w:eastAsia="Calibri" w:hAnsi="Calibri"/>
                <w:color w:val="2a2920"/>
                <w:sz w:val="17"/>
                <w:szCs w:val="17"/>
              </w:rPr>
              <w:t xml:space="preserve">↓ (below bm)</w:t>
            </w:r>
          </w:p>
        </w:tc>
        <w:tc>
          <w:tcPr>
            <w:tcW w:type="dxa" w:w="4560"/>
            <w:tcBorders>
              <w:top w:val="single" w:color="DDDBCF" w:sz="4"/>
              <w:left w:val="single" w:color="DDDBCF" w:sz="4"/>
              <w:bottom w:val="single" w:color="DDDBCF" w:sz="4"/>
              <w:right w:val="single" w:color="DDDBCF" w:sz="4"/>
            </w:tcBorders>
            <w:tcMar>
              <w:top w:type="dxa" w:w="50"/>
              <w:left w:type="dxa" w:w="100"/>
              <w:bottom w:type="dxa" w:w="50"/>
              <w:right w:type="dxa" w:w="100"/>
            </w:tcMar>
          </w:tcPr>
          <w:p>
            <w:r>
              <w:rPr>
                <w:rFonts w:ascii="Calibri" w:cs="Calibri" w:eastAsia="Calibri" w:hAnsi="Calibri"/>
                <w:color w:val="2a2920"/>
                <w:sz w:val="17"/>
                <w:szCs w:val="17"/>
              </w:rPr>
              <w:t xml:space="preserve">Upsell failure — buying one cheap item, no coatings or add-ons offered</w:t>
            </w:r>
          </w:p>
        </w:tc>
      </w:tr>
      <w:tr>
        <w:tc>
          <w:tcPr>
            <w:tcW w:type="dxa" w:w="2400"/>
            <w:tcBorders>
              <w:top w:val="single" w:color="DDDBCF" w:sz="4"/>
              <w:left w:val="single" w:color="DDDBCF" w:sz="4"/>
              <w:bottom w:val="single" w:color="DDDBCF" w:sz="4"/>
              <w:right w:val="single" w:color="DDDBCF" w:sz="4"/>
            </w:tcBorders>
            <w:tcMar>
              <w:top w:type="dxa" w:w="50"/>
              <w:left w:type="dxa" w:w="100"/>
              <w:bottom w:type="dxa" w:w="50"/>
              <w:right w:type="dxa" w:w="100"/>
            </w:tcMar>
          </w:tcPr>
          <w:p>
            <w:r>
              <w:rPr>
                <w:rFonts w:ascii="Calibri" w:cs="Calibri" w:eastAsia="Calibri" w:hAnsi="Calibri"/>
                <w:color w:val="2a2920"/>
                <w:sz w:val="17"/>
                <w:szCs w:val="17"/>
              </w:rPr>
              <w:t xml:space="preserve">↑ (above bm)</w:t>
            </w:r>
          </w:p>
        </w:tc>
        <w:tc>
          <w:tcPr>
            <w:tcW w:type="dxa" w:w="2400"/>
            <w:tcBorders>
              <w:top w:val="single" w:color="DDDBCF" w:sz="4"/>
              <w:left w:val="single" w:color="DDDBCF" w:sz="4"/>
              <w:bottom w:val="single" w:color="DDDBCF" w:sz="4"/>
              <w:right w:val="single" w:color="DDDBCF" w:sz="4"/>
            </w:tcBorders>
            <w:tcMar>
              <w:top w:type="dxa" w:w="50"/>
              <w:left w:type="dxa" w:w="100"/>
              <w:bottom w:type="dxa" w:w="50"/>
              <w:right w:type="dxa" w:w="100"/>
            </w:tcMar>
          </w:tcPr>
          <w:p>
            <w:r>
              <w:rPr>
                <w:rFonts w:ascii="Calibri" w:cs="Calibri" w:eastAsia="Calibri" w:hAnsi="Calibri"/>
                <w:color w:val="2a2920"/>
                <w:sz w:val="17"/>
                <w:szCs w:val="17"/>
              </w:rPr>
              <w:t xml:space="preserve">↓ (below bm)</w:t>
            </w:r>
          </w:p>
        </w:tc>
        <w:tc>
          <w:tcPr>
            <w:tcW w:type="dxa" w:w="4560"/>
            <w:tcBorders>
              <w:top w:val="single" w:color="DDDBCF" w:sz="4"/>
              <w:left w:val="single" w:color="DDDBCF" w:sz="4"/>
              <w:bottom w:val="single" w:color="DDDBCF" w:sz="4"/>
              <w:right w:val="single" w:color="DDDBCF" w:sz="4"/>
            </w:tcBorders>
            <w:tcMar>
              <w:top w:type="dxa" w:w="50"/>
              <w:left w:type="dxa" w:w="100"/>
              <w:bottom w:type="dxa" w:w="50"/>
              <w:right w:type="dxa" w:w="100"/>
            </w:tcMar>
          </w:tcPr>
          <w:p>
            <w:r>
              <w:rPr>
                <w:rFonts w:ascii="Calibri" w:cs="Calibri" w:eastAsia="Calibri" w:hAnsi="Calibri"/>
                <w:color w:val="2a2920"/>
                <w:sz w:val="17"/>
                <w:szCs w:val="17"/>
              </w:rPr>
              <w:t xml:space="preserve">Cheap mix / markdown drag — many items but all low-value or clearance goods</w:t>
            </w:r>
          </w:p>
        </w:tc>
      </w:tr>
      <w:tr>
        <w:tc>
          <w:tcPr>
            <w:tcW w:type="dxa" w:w="2400"/>
            <w:tcBorders>
              <w:top w:val="single" w:color="DDDBCF" w:sz="4"/>
              <w:left w:val="single" w:color="DDDBCF" w:sz="4"/>
              <w:bottom w:val="single" w:color="DDDBCF" w:sz="4"/>
              <w:right w:val="single" w:color="DDDBCF" w:sz="4"/>
            </w:tcBorders>
            <w:tcMar>
              <w:top w:type="dxa" w:w="50"/>
              <w:left w:type="dxa" w:w="100"/>
              <w:bottom w:type="dxa" w:w="50"/>
              <w:right w:type="dxa" w:w="100"/>
            </w:tcMar>
          </w:tcPr>
          <w:p>
            <w:r>
              <w:rPr>
                <w:rFonts w:ascii="Calibri" w:cs="Calibri" w:eastAsia="Calibri" w:hAnsi="Calibri"/>
                <w:color w:val="2a2920"/>
                <w:sz w:val="17"/>
                <w:szCs w:val="17"/>
              </w:rPr>
              <w:t xml:space="preserve">≈ flat</w:t>
            </w:r>
          </w:p>
        </w:tc>
        <w:tc>
          <w:tcPr>
            <w:tcW w:type="dxa" w:w="2400"/>
            <w:tcBorders>
              <w:top w:val="single" w:color="DDDBCF" w:sz="4"/>
              <w:left w:val="single" w:color="DDDBCF" w:sz="4"/>
              <w:bottom w:val="single" w:color="DDDBCF" w:sz="4"/>
              <w:right w:val="single" w:color="DDDBCF" w:sz="4"/>
            </w:tcBorders>
            <w:tcMar>
              <w:top w:type="dxa" w:w="50"/>
              <w:left w:type="dxa" w:w="100"/>
              <w:bottom w:type="dxa" w:w="50"/>
              <w:right w:type="dxa" w:w="100"/>
            </w:tcMar>
          </w:tcPr>
          <w:p>
            <w:r>
              <w:rPr>
                <w:rFonts w:ascii="Calibri" w:cs="Calibri" w:eastAsia="Calibri" w:hAnsi="Calibri"/>
                <w:color w:val="2a2920"/>
                <w:sz w:val="17"/>
                <w:szCs w:val="17"/>
              </w:rPr>
              <w:t xml:space="preserve">↓ (below bm)</w:t>
            </w:r>
          </w:p>
        </w:tc>
        <w:tc>
          <w:tcPr>
            <w:tcW w:type="dxa" w:w="4560"/>
            <w:tcBorders>
              <w:top w:val="single" w:color="DDDBCF" w:sz="4"/>
              <w:left w:val="single" w:color="DDDBCF" w:sz="4"/>
              <w:bottom w:val="single" w:color="DDDBCF" w:sz="4"/>
              <w:right w:val="single" w:color="DDDBCF" w:sz="4"/>
            </w:tcBorders>
            <w:tcMar>
              <w:top w:type="dxa" w:w="50"/>
              <w:left w:type="dxa" w:w="100"/>
              <w:bottom w:type="dxa" w:w="50"/>
              <w:right w:type="dxa" w:w="100"/>
            </w:tcMar>
          </w:tcPr>
          <w:p>
            <w:r>
              <w:rPr>
                <w:rFonts w:ascii="Calibri" w:cs="Calibri" w:eastAsia="Calibri" w:hAnsi="Calibri"/>
                <w:color w:val="2a2920"/>
                <w:sz w:val="17"/>
                <w:szCs w:val="17"/>
              </w:rPr>
              <w:t xml:space="preserve">Price mix drag — same quantity but lower-value items or discounting</w:t>
            </w:r>
          </w:p>
        </w:tc>
      </w:tr>
      <w:tr>
        <w:tc>
          <w:tcPr>
            <w:tcW w:type="dxa" w:w="2400"/>
            <w:tcBorders>
              <w:top w:val="single" w:color="DDDBCF" w:sz="4"/>
              <w:left w:val="single" w:color="DDDBCF" w:sz="4"/>
              <w:bottom w:val="single" w:color="DDDBCF" w:sz="4"/>
              <w:right w:val="single" w:color="DDDBCF" w:sz="4"/>
            </w:tcBorders>
            <w:tcMar>
              <w:top w:type="dxa" w:w="50"/>
              <w:left w:type="dxa" w:w="100"/>
              <w:bottom w:type="dxa" w:w="50"/>
              <w:right w:type="dxa" w:w="100"/>
            </w:tcMar>
          </w:tcPr>
          <w:p>
            <w:r>
              <w:rPr>
                <w:rFonts w:ascii="Calibri" w:cs="Calibri" w:eastAsia="Calibri" w:hAnsi="Calibri"/>
                <w:color w:val="2a2920"/>
                <w:sz w:val="17"/>
                <w:szCs w:val="17"/>
              </w:rPr>
              <w:t xml:space="preserve">↑ (above bm)</w:t>
            </w:r>
          </w:p>
        </w:tc>
        <w:tc>
          <w:tcPr>
            <w:tcW w:type="dxa" w:w="2400"/>
            <w:tcBorders>
              <w:top w:val="single" w:color="DDDBCF" w:sz="4"/>
              <w:left w:val="single" w:color="DDDBCF" w:sz="4"/>
              <w:bottom w:val="single" w:color="DDDBCF" w:sz="4"/>
              <w:right w:val="single" w:color="DDDBCF" w:sz="4"/>
            </w:tcBorders>
            <w:tcMar>
              <w:top w:type="dxa" w:w="50"/>
              <w:left w:type="dxa" w:w="100"/>
              <w:bottom w:type="dxa" w:w="50"/>
              <w:right w:type="dxa" w:w="100"/>
            </w:tcMar>
          </w:tcPr>
          <w:p>
            <w:r>
              <w:rPr>
                <w:rFonts w:ascii="Calibri" w:cs="Calibri" w:eastAsia="Calibri" w:hAnsi="Calibri"/>
                <w:color w:val="2a2920"/>
                <w:sz w:val="17"/>
                <w:szCs w:val="17"/>
              </w:rPr>
              <w:t xml:space="preserve">↑ (above bm)</w:t>
            </w:r>
          </w:p>
        </w:tc>
        <w:tc>
          <w:tcPr>
            <w:tcW w:type="dxa" w:w="4560"/>
            <w:tcBorders>
              <w:top w:val="single" w:color="DDDBCF" w:sz="4"/>
              <w:left w:val="single" w:color="DDDBCF" w:sz="4"/>
              <w:bottom w:val="single" w:color="DDDBCF" w:sz="4"/>
              <w:right w:val="single" w:color="DDDBCF" w:sz="4"/>
            </w:tcBorders>
            <w:tcMar>
              <w:top w:type="dxa" w:w="50"/>
              <w:left w:type="dxa" w:w="100"/>
              <w:bottom w:type="dxa" w:w="50"/>
              <w:right w:type="dxa" w:w="100"/>
            </w:tcMar>
          </w:tcPr>
          <w:p>
            <w:r>
              <w:rPr>
                <w:rFonts w:ascii="Calibri" w:cs="Calibri" w:eastAsia="Calibri" w:hAnsi="Calibri"/>
                <w:color w:val="2a2920"/>
                <w:sz w:val="17"/>
                <w:szCs w:val="17"/>
              </w:rPr>
              <w:t xml:space="preserve">Basket healthy — focus on footfall and conversion instead</w:t>
            </w:r>
          </w:p>
        </w:tc>
      </w:tr>
    </w:tbl>
    <w:p>
      <w:pPr>
        <w:spacing w:after="0" w:before="200"/>
      </w:pPr>
      <w:r>
        <w:t xml:space="preserve"/>
      </w:r>
    </w:p>
    <w:p>
      <w:pPr>
        <w:spacing w:after="0" w:before="200"/>
      </w:pPr>
      <w:r>
        <w:t xml:space="preserve"/>
      </w:r>
    </w:p>
    <w:p>
      <w:pPr>
        <w:pBdr>
          <w:top w:val="single" w:color="C8973A" w:sz="8" w:space="4"/>
        </w:pBdr>
        <w:spacing w:after="0" w:before="0"/>
        <w:jc w:val="center"/>
      </w:pPr>
      <w:r>
        <w:rPr>
          <w:rFonts w:ascii="Calibri" w:cs="Calibri" w:eastAsia="Calibri" w:hAnsi="Calibri"/>
          <w:b/>
          <w:bCs/>
          <w:color w:val="C8973A"/>
          <w:sz w:val="20"/>
          <w:szCs w:val="20"/>
        </w:rPr>
        <w:t xml:space="preserve">  ◆  PHASE 5 — STORE HEALTH REPORT DESIGN  ◆  </w:t>
      </w:r>
    </w:p>
    <w:p>
      <w:pPr>
        <w:spacing w:after="0" w:before="120"/>
      </w:pPr>
      <w:r>
        <w:t xml:space="preserve"/>
      </w:r>
    </w:p>
    <w:p>
      <w:pPr>
        <w:pStyle w:val="Heading1"/>
        <w:pBdr>
          <w:bottom w:val="single" w:color="C8973A" w:sz="6" w:space="4"/>
        </w:pBdr>
        <w:spacing w:after="120" w:before="360"/>
      </w:pPr>
      <w:r>
        <w:rPr>
          <w:rFonts w:ascii="Calibri" w:cs="Calibri" w:eastAsia="Calibri" w:hAnsi="Calibri"/>
          <w:b/>
          <w:bCs/>
          <w:color w:val="0D0D0B"/>
          <w:sz w:val="28"/>
          <w:szCs w:val="28"/>
        </w:rPr>
        <w:t xml:space="preserve">6. Phase 5 — Store Health Report Design</w:t>
      </w:r>
    </w:p>
    <w:p>
      <w:pPr>
        <w:shd w:fill="EAE6DC" w:val="clear"/>
        <w:spacing w:after="60" w:before="200"/>
      </w:pPr>
      <w:r>
        <w:rPr>
          <w:rFonts w:ascii="Calibri" w:cs="Calibri" w:eastAsia="Calibri" w:hAnsi="Calibri"/>
          <w:b/>
          <w:bCs/>
          <w:caps/>
          <w:color w:val="3a3828"/>
          <w:sz w:val="18"/>
          <w:szCs w:val="18"/>
        </w:rPr>
        <w:t xml:space="preserve">👤  USER</w:t>
      </w:r>
    </w:p>
    <w:p>
      <w:pPr>
        <w:shd w:fill="EAE6DC" w:val="clear"/>
        <w:spacing w:after="120" w:before="0"/>
        <w:ind w:left="160"/>
      </w:pPr>
      <w:r>
        <w:rPr>
          <w:rFonts w:ascii="Calibri" w:cs="Calibri" w:eastAsia="Calibri" w:hAnsi="Calibri"/>
          <w:color w:val="1a1816"/>
          <w:sz w:val="20"/>
          <w:szCs w:val="20"/>
        </w:rPr>
        <w:t xml:space="preserve">make the Store Health Diagnostic Report [with full section spec including: Customer Experience POV, Revenue &amp; Financial Performance, Operations &amp; Staffing, Merchandising &amp; Stock Health, Store Infrastructure, Actionable Playbook]</w:t>
      </w:r>
    </w:p>
    <w:p>
      <w:pPr>
        <w:spacing w:after="80" w:before="40"/>
      </w:pPr>
      <w:r>
        <w:rPr>
          <w:rFonts w:ascii="Calibri" w:cs="Calibri" w:eastAsia="Calibri" w:hAnsi="Calibri"/>
          <w:color w:val="2a2920"/>
          <w:sz w:val="20"/>
          <w:szCs w:val="20"/>
        </w:rPr>
        <w:t xml:space="preserve">The agent built the full Store Health Diagnostic Report with 7 sections, an AI Health Score ring, section-level ratings, and an AI-generated actionable playbook. The report renders as an interactive HTML widget inside Claude — collapsible sections, Chart.js charts, editable audit textareas.</w:t>
      </w:r>
    </w:p>
    <w:p>
      <w:pPr>
        <w:spacing w:after="0" w:before="80"/>
      </w:pPr>
      <w:r>
        <w:t xml:space="preserve"/>
      </w:r>
    </w:p>
    <w:p>
      <w:pPr>
        <w:pStyle w:val="Heading2"/>
        <w:spacing w:after="80" w:before="240"/>
      </w:pPr>
      <w:r>
        <w:rPr>
          <w:rFonts w:ascii="Calibri" w:cs="Calibri" w:eastAsia="Calibri" w:hAnsi="Calibri"/>
          <w:b/>
          <w:bCs/>
          <w:color w:val="1B3A6B"/>
          <w:sz w:val="22"/>
          <w:szCs w:val="22"/>
        </w:rPr>
        <w:t xml:space="preserve">6.1  AI Health Score methodology</w:t>
      </w:r>
    </w:p>
    <w:p>
      <w:pPr>
        <w:spacing w:after="80" w:before="40"/>
      </w:pPr>
      <w:r>
        <w:rPr>
          <w:rFonts w:ascii="Calibri" w:cs="Calibri" w:eastAsia="Calibri" w:hAnsi="Calibri"/>
          <w:color w:val="2a2920"/>
          <w:sz w:val="20"/>
          <w:szCs w:val="20"/>
        </w:rPr>
        <w:t xml:space="preserve">The AI Health Score (0–100) is a weighted composite of 6 KPI performance scores: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440"/>
        <w:gridCol w:w="4560"/>
      </w:tblGrid>
      <w:tr>
        <w:trPr>
          <w:tblHeader/>
        </w:trPr>
        <w:tc>
          <w:tcPr>
            <w:tcW w:type="dxa" w:w="3360"/>
            <w:tcBorders>
              <w:top w:val="single" w:color="1B3A6B" w:sz="6"/>
              <w:left w:val="single" w:color="1B3A6B" w:sz="6"/>
              <w:bottom w:val="single" w:color="1B3A6B" w:sz="6"/>
              <w:right w:val="single" w:color="1B3A6B" w:sz="6"/>
            </w:tcBorders>
            <w:shd w:fill="1B3A6B" w:val="clear"/>
            <w:tcMar>
              <w:top w:type="dxa" w:w="60"/>
              <w:left w:type="dxa" w:w="100"/>
              <w:bottom w:type="dxa" w:w="60"/>
              <w:right w:type="dxa" w:w="100"/>
            </w:tcMar>
          </w:tcPr>
          <w:p>
            <w:r>
              <w:rPr>
                <w:rFonts w:ascii="Calibri" w:cs="Calibri" w:eastAsia="Calibri" w:hAnsi="Calibri"/>
                <w:b/>
                <w:bCs/>
                <w:color w:val="FFFFFF"/>
                <w:sz w:val="17"/>
                <w:szCs w:val="17"/>
              </w:rPr>
              <w:t xml:space="preserve">KPI Component</w:t>
            </w:r>
          </w:p>
        </w:tc>
        <w:tc>
          <w:tcPr>
            <w:tcW w:type="dxa" w:w="1440"/>
            <w:tcBorders>
              <w:top w:val="single" w:color="1B3A6B" w:sz="6"/>
              <w:left w:val="single" w:color="1B3A6B" w:sz="6"/>
              <w:bottom w:val="single" w:color="1B3A6B" w:sz="6"/>
              <w:right w:val="single" w:color="1B3A6B" w:sz="6"/>
            </w:tcBorders>
            <w:shd w:fill="1B3A6B" w:val="clear"/>
            <w:tcMar>
              <w:top w:type="dxa" w:w="60"/>
              <w:left w:type="dxa" w:w="100"/>
              <w:bottom w:type="dxa" w:w="60"/>
              <w:right w:type="dxa" w:w="100"/>
            </w:tcMar>
          </w:tcPr>
          <w:p>
            <w:r>
              <w:rPr>
                <w:rFonts w:ascii="Calibri" w:cs="Calibri" w:eastAsia="Calibri" w:hAnsi="Calibri"/>
                <w:b/>
                <w:bCs/>
                <w:color w:val="FFFFFF"/>
                <w:sz w:val="17"/>
                <w:szCs w:val="17"/>
              </w:rPr>
              <w:t xml:space="preserve">Weight</w:t>
            </w:r>
          </w:p>
        </w:tc>
        <w:tc>
          <w:tcPr>
            <w:tcW w:type="dxa" w:w="4560"/>
            <w:tcBorders>
              <w:top w:val="single" w:color="1B3A6B" w:sz="6"/>
              <w:left w:val="single" w:color="1B3A6B" w:sz="6"/>
              <w:bottom w:val="single" w:color="1B3A6B" w:sz="6"/>
              <w:right w:val="single" w:color="1B3A6B" w:sz="6"/>
            </w:tcBorders>
            <w:shd w:fill="1B3A6B" w:val="clear"/>
            <w:tcMar>
              <w:top w:type="dxa" w:w="60"/>
              <w:left w:type="dxa" w:w="100"/>
              <w:bottom w:type="dxa" w:w="60"/>
              <w:right w:type="dxa" w:w="100"/>
            </w:tcMar>
          </w:tcPr>
          <w:p>
            <w:r>
              <w:rPr>
                <w:rFonts w:ascii="Calibri" w:cs="Calibri" w:eastAsia="Calibri" w:hAnsi="Calibri"/>
                <w:b/>
                <w:bCs/>
                <w:color w:val="FFFFFF"/>
                <w:sz w:val="17"/>
                <w:szCs w:val="17"/>
              </w:rPr>
              <w:t xml:space="preserve">Scoring note</w:t>
            </w:r>
          </w:p>
        </w:tc>
      </w:tr>
      <w:tr>
        <w:tc>
          <w:tcPr>
            <w:tcW w:type="dxa" w:w="3360"/>
            <w:tcBorders>
              <w:top w:val="single" w:color="DDDBCF" w:sz="4"/>
              <w:left w:val="single" w:color="DDDBCF" w:sz="4"/>
              <w:bottom w:val="single" w:color="DDDBCF" w:sz="4"/>
              <w:right w:val="single" w:color="DDDBCF" w:sz="4"/>
            </w:tcBorders>
            <w:tcMar>
              <w:top w:type="dxa" w:w="50"/>
              <w:left w:type="dxa" w:w="100"/>
              <w:bottom w:type="dxa" w:w="50"/>
              <w:right w:type="dxa" w:w="100"/>
            </w:tcMar>
          </w:tcPr>
          <w:p>
            <w:r>
              <w:rPr>
                <w:rFonts w:ascii="Calibri" w:cs="Calibri" w:eastAsia="Calibri" w:hAnsi="Calibri"/>
                <w:b/>
                <w:bCs/>
                <w:color w:val="1a1816"/>
                <w:sz w:val="18"/>
                <w:szCs w:val="18"/>
              </w:rPr>
              <w:t xml:space="preserve">Net Sales</w:t>
            </w:r>
          </w:p>
        </w:tc>
        <w:tc>
          <w:tcPr>
            <w:tcW w:type="dxa" w:w="1440"/>
            <w:tcBorders>
              <w:top w:val="single" w:color="DDDBCF" w:sz="4"/>
              <w:left w:val="single" w:color="DDDBCF" w:sz="4"/>
              <w:bottom w:val="single" w:color="DDDBCF" w:sz="4"/>
              <w:right w:val="single" w:color="DDDBCF" w:sz="4"/>
            </w:tcBorders>
            <w:tcMar>
              <w:top w:type="dxa" w:w="50"/>
              <w:left w:type="dxa" w:w="100"/>
              <w:bottom w:type="dxa" w:w="50"/>
              <w:right w:type="dxa" w:w="100"/>
            </w:tcMar>
          </w:tcPr>
          <w:p>
            <w:pPr>
              <w:jc w:val="center"/>
            </w:pPr>
            <w:r>
              <w:rPr>
                <w:rFonts w:ascii="Calibri" w:cs="Calibri" w:eastAsia="Calibri" w:hAnsi="Calibri"/>
                <w:b/>
                <w:bCs/>
                <w:color w:val="C8973A"/>
                <w:sz w:val="18"/>
                <w:szCs w:val="18"/>
              </w:rPr>
              <w:t xml:space="preserve">30%</w:t>
            </w:r>
          </w:p>
        </w:tc>
        <w:tc>
          <w:tcPr>
            <w:tcW w:type="dxa" w:w="4560"/>
            <w:tcBorders>
              <w:top w:val="single" w:color="DDDBCF" w:sz="4"/>
              <w:left w:val="single" w:color="DDDBCF" w:sz="4"/>
              <w:bottom w:val="single" w:color="DDDBCF" w:sz="4"/>
              <w:right w:val="single" w:color="DDDBCF" w:sz="4"/>
            </w:tcBorders>
            <w:tcMar>
              <w:top w:type="dxa" w:w="50"/>
              <w:left w:type="dxa" w:w="100"/>
              <w:bottom w:type="dxa" w:w="50"/>
              <w:right w:type="dxa" w:w="100"/>
            </w:tcMar>
          </w:tcPr>
          <w:p>
            <w:r>
              <w:rPr>
                <w:rFonts w:ascii="Calibri" w:cs="Calibri" w:eastAsia="Calibri" w:hAnsi="Calibri"/>
                <w:color w:val="3a3828"/>
                <w:sz w:val="17"/>
                <w:szCs w:val="17"/>
              </w:rPr>
              <w:t xml:space="preserve">Primary revenue driver — highest weight</w:t>
            </w:r>
          </w:p>
        </w:tc>
      </w:tr>
      <w:tr>
        <w:tc>
          <w:tcPr>
            <w:tcW w:type="dxa" w:w="3360"/>
            <w:tcBorders>
              <w:top w:val="single" w:color="DDDBCF" w:sz="4"/>
              <w:left w:val="single" w:color="DDDBCF" w:sz="4"/>
              <w:bottom w:val="single" w:color="DDDBCF" w:sz="4"/>
              <w:right w:val="single" w:color="DDDBCF" w:sz="4"/>
            </w:tcBorders>
            <w:tcMar>
              <w:top w:type="dxa" w:w="50"/>
              <w:left w:type="dxa" w:w="100"/>
              <w:bottom w:type="dxa" w:w="50"/>
              <w:right w:type="dxa" w:w="100"/>
            </w:tcMar>
          </w:tcPr>
          <w:p>
            <w:r>
              <w:rPr>
                <w:rFonts w:ascii="Calibri" w:cs="Calibri" w:eastAsia="Calibri" w:hAnsi="Calibri"/>
                <w:b/>
                <w:bCs/>
                <w:color w:val="1a1816"/>
                <w:sz w:val="18"/>
                <w:szCs w:val="18"/>
              </w:rPr>
              <w:t xml:space="preserve">Conversion %</w:t>
            </w:r>
          </w:p>
        </w:tc>
        <w:tc>
          <w:tcPr>
            <w:tcW w:type="dxa" w:w="1440"/>
            <w:tcBorders>
              <w:top w:val="single" w:color="DDDBCF" w:sz="4"/>
              <w:left w:val="single" w:color="DDDBCF" w:sz="4"/>
              <w:bottom w:val="single" w:color="DDDBCF" w:sz="4"/>
              <w:right w:val="single" w:color="DDDBCF" w:sz="4"/>
            </w:tcBorders>
            <w:tcMar>
              <w:top w:type="dxa" w:w="50"/>
              <w:left w:type="dxa" w:w="100"/>
              <w:bottom w:type="dxa" w:w="50"/>
              <w:right w:type="dxa" w:w="100"/>
            </w:tcMar>
          </w:tcPr>
          <w:p>
            <w:pPr>
              <w:jc w:val="center"/>
            </w:pPr>
            <w:r>
              <w:rPr>
                <w:rFonts w:ascii="Calibri" w:cs="Calibri" w:eastAsia="Calibri" w:hAnsi="Calibri"/>
                <w:b/>
                <w:bCs/>
                <w:color w:val="C8973A"/>
                <w:sz w:val="18"/>
                <w:szCs w:val="18"/>
              </w:rPr>
              <w:t xml:space="preserve">25%</w:t>
            </w:r>
          </w:p>
        </w:tc>
        <w:tc>
          <w:tcPr>
            <w:tcW w:type="dxa" w:w="4560"/>
            <w:tcBorders>
              <w:top w:val="single" w:color="DDDBCF" w:sz="4"/>
              <w:left w:val="single" w:color="DDDBCF" w:sz="4"/>
              <w:bottom w:val="single" w:color="DDDBCF" w:sz="4"/>
              <w:right w:val="single" w:color="DDDBCF" w:sz="4"/>
            </w:tcBorders>
            <w:tcMar>
              <w:top w:type="dxa" w:w="50"/>
              <w:left w:type="dxa" w:w="100"/>
              <w:bottom w:type="dxa" w:w="50"/>
              <w:right w:type="dxa" w:w="100"/>
            </w:tcMar>
          </w:tcPr>
          <w:p>
            <w:r>
              <w:rPr>
                <w:rFonts w:ascii="Calibri" w:cs="Calibri" w:eastAsia="Calibri" w:hAnsi="Calibri"/>
                <w:color w:val="3a3828"/>
                <w:sz w:val="17"/>
                <w:szCs w:val="17"/>
              </w:rPr>
              <w:t xml:space="preserve">Funnel efficiency — always derived manually</w:t>
            </w:r>
          </w:p>
        </w:tc>
      </w:tr>
      <w:tr>
        <w:tc>
          <w:tcPr>
            <w:tcW w:type="dxa" w:w="3360"/>
            <w:tcBorders>
              <w:top w:val="single" w:color="DDDBCF" w:sz="4"/>
              <w:left w:val="single" w:color="DDDBCF" w:sz="4"/>
              <w:bottom w:val="single" w:color="DDDBCF" w:sz="4"/>
              <w:right w:val="single" w:color="DDDBCF" w:sz="4"/>
            </w:tcBorders>
            <w:tcMar>
              <w:top w:type="dxa" w:w="50"/>
              <w:left w:type="dxa" w:w="100"/>
              <w:bottom w:type="dxa" w:w="50"/>
              <w:right w:type="dxa" w:w="100"/>
            </w:tcMar>
          </w:tcPr>
          <w:p>
            <w:r>
              <w:rPr>
                <w:rFonts w:ascii="Calibri" w:cs="Calibri" w:eastAsia="Calibri" w:hAnsi="Calibri"/>
                <w:b/>
                <w:bCs/>
                <w:color w:val="1a1816"/>
                <w:sz w:val="18"/>
                <w:szCs w:val="18"/>
              </w:rPr>
              <w:t xml:space="preserve">Footfall</w:t>
            </w:r>
          </w:p>
        </w:tc>
        <w:tc>
          <w:tcPr>
            <w:tcW w:type="dxa" w:w="1440"/>
            <w:tcBorders>
              <w:top w:val="single" w:color="DDDBCF" w:sz="4"/>
              <w:left w:val="single" w:color="DDDBCF" w:sz="4"/>
              <w:bottom w:val="single" w:color="DDDBCF" w:sz="4"/>
              <w:right w:val="single" w:color="DDDBCF" w:sz="4"/>
            </w:tcBorders>
            <w:tcMar>
              <w:top w:type="dxa" w:w="50"/>
              <w:left w:type="dxa" w:w="100"/>
              <w:bottom w:type="dxa" w:w="50"/>
              <w:right w:type="dxa" w:w="100"/>
            </w:tcMar>
          </w:tcPr>
          <w:p>
            <w:pPr>
              <w:jc w:val="center"/>
            </w:pPr>
            <w:r>
              <w:rPr>
                <w:rFonts w:ascii="Calibri" w:cs="Calibri" w:eastAsia="Calibri" w:hAnsi="Calibri"/>
                <w:b/>
                <w:bCs/>
                <w:color w:val="C8973A"/>
                <w:sz w:val="18"/>
                <w:szCs w:val="18"/>
              </w:rPr>
              <w:t xml:space="preserve">15%</w:t>
            </w:r>
          </w:p>
        </w:tc>
        <w:tc>
          <w:tcPr>
            <w:tcW w:type="dxa" w:w="4560"/>
            <w:tcBorders>
              <w:top w:val="single" w:color="DDDBCF" w:sz="4"/>
              <w:left w:val="single" w:color="DDDBCF" w:sz="4"/>
              <w:bottom w:val="single" w:color="DDDBCF" w:sz="4"/>
              <w:right w:val="single" w:color="DDDBCF" w:sz="4"/>
            </w:tcBorders>
            <w:tcMar>
              <w:top w:type="dxa" w:w="50"/>
              <w:left w:type="dxa" w:w="100"/>
              <w:bottom w:type="dxa" w:w="50"/>
              <w:right w:type="dxa" w:w="100"/>
            </w:tcMar>
          </w:tcPr>
          <w:p>
            <w:r>
              <w:rPr>
                <w:rFonts w:ascii="Calibri" w:cs="Calibri" w:eastAsia="Calibri" w:hAnsi="Calibri"/>
                <w:color w:val="3a3828"/>
                <w:sz w:val="17"/>
                <w:szCs w:val="17"/>
              </w:rPr>
              <w:t xml:space="preserve">Demand signal — walk-in volume</w:t>
            </w:r>
          </w:p>
        </w:tc>
      </w:tr>
      <w:tr>
        <w:tc>
          <w:tcPr>
            <w:tcW w:type="dxa" w:w="3360"/>
            <w:tcBorders>
              <w:top w:val="single" w:color="DDDBCF" w:sz="4"/>
              <w:left w:val="single" w:color="DDDBCF" w:sz="4"/>
              <w:bottom w:val="single" w:color="DDDBCF" w:sz="4"/>
              <w:right w:val="single" w:color="DDDBCF" w:sz="4"/>
            </w:tcBorders>
            <w:tcMar>
              <w:top w:type="dxa" w:w="50"/>
              <w:left w:type="dxa" w:w="100"/>
              <w:bottom w:type="dxa" w:w="50"/>
              <w:right w:type="dxa" w:w="100"/>
            </w:tcMar>
          </w:tcPr>
          <w:p>
            <w:r>
              <w:rPr>
                <w:rFonts w:ascii="Calibri" w:cs="Calibri" w:eastAsia="Calibri" w:hAnsi="Calibri"/>
                <w:b/>
                <w:bCs/>
                <w:color w:val="1a1816"/>
                <w:sz w:val="18"/>
                <w:szCs w:val="18"/>
              </w:rPr>
              <w:t xml:space="preserve">Net Orders</w:t>
            </w:r>
          </w:p>
        </w:tc>
        <w:tc>
          <w:tcPr>
            <w:tcW w:type="dxa" w:w="1440"/>
            <w:tcBorders>
              <w:top w:val="single" w:color="DDDBCF" w:sz="4"/>
              <w:left w:val="single" w:color="DDDBCF" w:sz="4"/>
              <w:bottom w:val="single" w:color="DDDBCF" w:sz="4"/>
              <w:right w:val="single" w:color="DDDBCF" w:sz="4"/>
            </w:tcBorders>
            <w:tcMar>
              <w:top w:type="dxa" w:w="50"/>
              <w:left w:type="dxa" w:w="100"/>
              <w:bottom w:type="dxa" w:w="50"/>
              <w:right w:type="dxa" w:w="100"/>
            </w:tcMar>
          </w:tcPr>
          <w:p>
            <w:pPr>
              <w:jc w:val="center"/>
            </w:pPr>
            <w:r>
              <w:rPr>
                <w:rFonts w:ascii="Calibri" w:cs="Calibri" w:eastAsia="Calibri" w:hAnsi="Calibri"/>
                <w:b/>
                <w:bCs/>
                <w:color w:val="C8973A"/>
                <w:sz w:val="18"/>
                <w:szCs w:val="18"/>
              </w:rPr>
              <w:t xml:space="preserve">10%</w:t>
            </w:r>
          </w:p>
        </w:tc>
        <w:tc>
          <w:tcPr>
            <w:tcW w:type="dxa" w:w="4560"/>
            <w:tcBorders>
              <w:top w:val="single" w:color="DDDBCF" w:sz="4"/>
              <w:left w:val="single" w:color="DDDBCF" w:sz="4"/>
              <w:bottom w:val="single" w:color="DDDBCF" w:sz="4"/>
              <w:right w:val="single" w:color="DDDBCF" w:sz="4"/>
            </w:tcBorders>
            <w:tcMar>
              <w:top w:type="dxa" w:w="50"/>
              <w:left w:type="dxa" w:w="100"/>
              <w:bottom w:type="dxa" w:w="50"/>
              <w:right w:type="dxa" w:w="100"/>
            </w:tcMar>
          </w:tcPr>
          <w:p>
            <w:r>
              <w:rPr>
                <w:rFonts w:ascii="Calibri" w:cs="Calibri" w:eastAsia="Calibri" w:hAnsi="Calibri"/>
                <w:color w:val="3a3828"/>
                <w:sz w:val="17"/>
                <w:szCs w:val="17"/>
              </w:rPr>
              <w:t xml:space="preserve">Volume confirmation</w:t>
            </w:r>
          </w:p>
        </w:tc>
      </w:tr>
      <w:tr>
        <w:tc>
          <w:tcPr>
            <w:tcW w:type="dxa" w:w="3360"/>
            <w:tcBorders>
              <w:top w:val="single" w:color="DDDBCF" w:sz="4"/>
              <w:left w:val="single" w:color="DDDBCF" w:sz="4"/>
              <w:bottom w:val="single" w:color="DDDBCF" w:sz="4"/>
              <w:right w:val="single" w:color="DDDBCF" w:sz="4"/>
            </w:tcBorders>
            <w:tcMar>
              <w:top w:type="dxa" w:w="50"/>
              <w:left w:type="dxa" w:w="100"/>
              <w:bottom w:type="dxa" w:w="50"/>
              <w:right w:type="dxa" w:w="100"/>
            </w:tcMar>
          </w:tcPr>
          <w:p>
            <w:r>
              <w:rPr>
                <w:rFonts w:ascii="Calibri" w:cs="Calibri" w:eastAsia="Calibri" w:hAnsi="Calibri"/>
                <w:b/>
                <w:bCs/>
                <w:color w:val="1a1816"/>
                <w:sz w:val="18"/>
                <w:szCs w:val="18"/>
              </w:rPr>
              <w:t xml:space="preserve">Net ATV</w:t>
            </w:r>
          </w:p>
        </w:tc>
        <w:tc>
          <w:tcPr>
            <w:tcW w:type="dxa" w:w="1440"/>
            <w:tcBorders>
              <w:top w:val="single" w:color="DDDBCF" w:sz="4"/>
              <w:left w:val="single" w:color="DDDBCF" w:sz="4"/>
              <w:bottom w:val="single" w:color="DDDBCF" w:sz="4"/>
              <w:right w:val="single" w:color="DDDBCF" w:sz="4"/>
            </w:tcBorders>
            <w:tcMar>
              <w:top w:type="dxa" w:w="50"/>
              <w:left w:type="dxa" w:w="100"/>
              <w:bottom w:type="dxa" w:w="50"/>
              <w:right w:type="dxa" w:w="100"/>
            </w:tcMar>
          </w:tcPr>
          <w:p>
            <w:pPr>
              <w:jc w:val="center"/>
            </w:pPr>
            <w:r>
              <w:rPr>
                <w:rFonts w:ascii="Calibri" w:cs="Calibri" w:eastAsia="Calibri" w:hAnsi="Calibri"/>
                <w:b/>
                <w:bCs/>
                <w:color w:val="C8973A"/>
                <w:sz w:val="18"/>
                <w:szCs w:val="18"/>
              </w:rPr>
              <w:t xml:space="preserve">10%</w:t>
            </w:r>
          </w:p>
        </w:tc>
        <w:tc>
          <w:tcPr>
            <w:tcW w:type="dxa" w:w="4560"/>
            <w:tcBorders>
              <w:top w:val="single" w:color="DDDBCF" w:sz="4"/>
              <w:left w:val="single" w:color="DDDBCF" w:sz="4"/>
              <w:bottom w:val="single" w:color="DDDBCF" w:sz="4"/>
              <w:right w:val="single" w:color="DDDBCF" w:sz="4"/>
            </w:tcBorders>
            <w:tcMar>
              <w:top w:type="dxa" w:w="50"/>
              <w:left w:type="dxa" w:w="100"/>
              <w:bottom w:type="dxa" w:w="50"/>
              <w:right w:type="dxa" w:w="100"/>
            </w:tcMar>
          </w:tcPr>
          <w:p>
            <w:r>
              <w:rPr>
                <w:rFonts w:ascii="Calibri" w:cs="Calibri" w:eastAsia="Calibri" w:hAnsi="Calibri"/>
                <w:color w:val="3a3828"/>
                <w:sz w:val="17"/>
                <w:szCs w:val="17"/>
              </w:rPr>
              <w:t xml:space="preserve">Basket value quality</w:t>
            </w:r>
          </w:p>
        </w:tc>
      </w:tr>
      <w:tr>
        <w:tc>
          <w:tcPr>
            <w:tcW w:type="dxa" w:w="3360"/>
            <w:tcBorders>
              <w:top w:val="single" w:color="DDDBCF" w:sz="4"/>
              <w:left w:val="single" w:color="DDDBCF" w:sz="4"/>
              <w:bottom w:val="single" w:color="DDDBCF" w:sz="4"/>
              <w:right w:val="single" w:color="DDDBCF" w:sz="4"/>
            </w:tcBorders>
            <w:tcMar>
              <w:top w:type="dxa" w:w="50"/>
              <w:left w:type="dxa" w:w="100"/>
              <w:bottom w:type="dxa" w:w="50"/>
              <w:right w:type="dxa" w:w="100"/>
            </w:tcMar>
          </w:tcPr>
          <w:p>
            <w:r>
              <w:rPr>
                <w:rFonts w:ascii="Calibri" w:cs="Calibri" w:eastAsia="Calibri" w:hAnsi="Calibri"/>
                <w:b/>
                <w:bCs/>
                <w:color w:val="1a1816"/>
                <w:sz w:val="18"/>
                <w:szCs w:val="18"/>
              </w:rPr>
              <w:t xml:space="preserve">ET Wait Time</w:t>
            </w:r>
          </w:p>
        </w:tc>
        <w:tc>
          <w:tcPr>
            <w:tcW w:type="dxa" w:w="1440"/>
            <w:tcBorders>
              <w:top w:val="single" w:color="DDDBCF" w:sz="4"/>
              <w:left w:val="single" w:color="DDDBCF" w:sz="4"/>
              <w:bottom w:val="single" w:color="DDDBCF" w:sz="4"/>
              <w:right w:val="single" w:color="DDDBCF" w:sz="4"/>
            </w:tcBorders>
            <w:tcMar>
              <w:top w:type="dxa" w:w="50"/>
              <w:left w:type="dxa" w:w="100"/>
              <w:bottom w:type="dxa" w:w="50"/>
              <w:right w:type="dxa" w:w="100"/>
            </w:tcMar>
          </w:tcPr>
          <w:p>
            <w:pPr>
              <w:jc w:val="center"/>
            </w:pPr>
            <w:r>
              <w:rPr>
                <w:rFonts w:ascii="Calibri" w:cs="Calibri" w:eastAsia="Calibri" w:hAnsi="Calibri"/>
                <w:b/>
                <w:bCs/>
                <w:color w:val="C8973A"/>
                <w:sz w:val="18"/>
                <w:szCs w:val="18"/>
              </w:rPr>
              <w:t xml:space="preserve">10%</w:t>
            </w:r>
          </w:p>
        </w:tc>
        <w:tc>
          <w:tcPr>
            <w:tcW w:type="dxa" w:w="4560"/>
            <w:tcBorders>
              <w:top w:val="single" w:color="DDDBCF" w:sz="4"/>
              <w:left w:val="single" w:color="DDDBCF" w:sz="4"/>
              <w:bottom w:val="single" w:color="DDDBCF" w:sz="4"/>
              <w:right w:val="single" w:color="DDDBCF" w:sz="4"/>
            </w:tcBorders>
            <w:tcMar>
              <w:top w:type="dxa" w:w="50"/>
              <w:left w:type="dxa" w:w="100"/>
              <w:bottom w:type="dxa" w:w="50"/>
              <w:right w:type="dxa" w:w="100"/>
            </w:tcMar>
          </w:tcPr>
          <w:p>
            <w:r>
              <w:rPr>
                <w:rFonts w:ascii="Calibri" w:cs="Calibri" w:eastAsia="Calibri" w:hAnsi="Calibri"/>
                <w:color w:val="3a3828"/>
                <w:sz w:val="17"/>
                <w:szCs w:val="17"/>
              </w:rPr>
              <w:t xml:space="preserve">Inverted — lower is better; &gt;8 min = low score</w:t>
            </w:r>
          </w:p>
        </w:tc>
      </w:tr>
    </w:tbl>
    <w:p>
      <w:pPr>
        <w:spacing w:after="0" w:before="80"/>
      </w:pPr>
      <w:r>
        <w:t xml:space="preserve"/>
      </w:r>
    </w:p>
    <w:p>
      <w:pPr>
        <w:shd w:fill="F2F1EC" w:val="clear"/>
        <w:spacing w:after="40" w:before="40"/>
        <w:ind w:left="360"/>
      </w:pPr>
      <w:r>
        <w:rPr>
          <w:rFonts w:ascii="Courier New" w:cs="Courier New" w:eastAsia="Courier New" w:hAnsi="Courier New"/>
          <w:color w:val="1a3a2a"/>
          <w:sz w:val="18"/>
          <w:szCs w:val="18"/>
        </w:rPr>
        <w:t xml:space="preserve">Overall = Net Sales×0.30 + Conversion×0.25 + Footfall×0.15 + Net Orders×0.10 + ATV×0.10 + ET Wait×0.10</w:t>
      </w:r>
    </w:p>
    <w:p>
      <w:pPr>
        <w:shd w:fill="F2F1EC" w:val="clear"/>
        <w:spacing w:after="40" w:before="40"/>
        <w:ind w:left="360"/>
      </w:pPr>
      <w:r>
        <w:rPr>
          <w:rFonts w:ascii="Courier New" w:cs="Courier New" w:eastAsia="Courier New" w:hAnsi="Courier New"/>
          <w:color w:val="1a3a2a"/>
          <w:sz w:val="18"/>
          <w:szCs w:val="18"/>
        </w:rPr>
        <w:t xml:space="preserve">Revenue  = Net Sales×0.40 + Conversion×0.35 + ATV×0.25</w:t>
      </w:r>
    </w:p>
    <w:p>
      <w:pPr>
        <w:shd w:fill="F2F1EC" w:val="clear"/>
        <w:spacing w:after="40" w:before="40"/>
        <w:ind w:left="360"/>
      </w:pPr>
      <w:r>
        <w:rPr>
          <w:rFonts w:ascii="Courier New" w:cs="Courier New" w:eastAsia="Courier New" w:hAnsi="Courier New"/>
          <w:color w:val="1a3a2a"/>
          <w:sz w:val="18"/>
          <w:szCs w:val="18"/>
        </w:rPr>
        <w:t xml:space="preserve">Ops      = ET Wait(inv)×0.60 + NOB per Staff×0.40</w:t>
      </w:r>
    </w:p>
    <w:p>
      <w:pPr>
        <w:shd w:fill="F2F1EC" w:val="clear"/>
        <w:spacing w:after="40" w:before="40"/>
        <w:ind w:left="360"/>
      </w:pPr>
      <w:r>
        <w:rPr>
          <w:rFonts w:ascii="Courier New" w:cs="Courier New" w:eastAsia="Courier New" w:hAnsi="Courier New"/>
          <w:color w:val="1a3a2a"/>
          <w:sz w:val="18"/>
          <w:szCs w:val="18"/>
        </w:rPr>
        <w:t xml:space="preserve">Merch    = UPT×0.50 + ASP×0.30 + Conversion×0.20</w:t>
      </w:r>
    </w:p>
    <w:p>
      <w:pPr>
        <w:spacing w:after="0" w:before="80"/>
      </w:pPr>
      <w:r>
        <w:t xml:space="preserve"/>
      </w:r>
    </w:p>
    <w:p>
      <w:pPr>
        <w:pBdr>
          <w:left w:val="single" w:color="0E5A6F" w:sz="12" w:space="8"/>
        </w:pBdr>
        <w:shd w:fill="F7F5EE" w:val="clear"/>
        <w:spacing w:after="60" w:before="60"/>
        <w:ind w:left="360"/>
      </w:pPr>
      <w:r>
        <w:rPr>
          <w:rFonts w:ascii="Calibri" w:cs="Calibri" w:eastAsia="Calibri" w:hAnsi="Calibri"/>
          <w:i/>
          <w:iCs/>
          <w:color w:val="3a3830"/>
          <w:sz w:val="19"/>
          <w:szCs w:val="19"/>
        </w:rPr>
        <w:t xml:space="preserve">Score bands: 80–100 Excellent | 65–79 Good | 50–64 Needs attention | 35–49 At risk | 0–34 Critical. Score colour: Green ≥75, Amber 55–74, Red &lt;55.</w:t>
      </w:r>
    </w:p>
    <w:p>
      <w:pPr>
        <w:spacing w:after="0" w:before="200"/>
      </w:pPr>
      <w:r>
        <w:t xml:space="preserve"/>
      </w:r>
    </w:p>
    <w:p>
      <w:pPr>
        <w:spacing w:after="0" w:before="200"/>
      </w:pPr>
      <w:r>
        <w:t xml:space="preserve"/>
      </w:r>
    </w:p>
    <w:p>
      <w:pPr>
        <w:pBdr>
          <w:top w:val="single" w:color="C8973A" w:sz="8" w:space="4"/>
        </w:pBdr>
        <w:spacing w:after="0" w:before="0"/>
        <w:jc w:val="center"/>
      </w:pPr>
      <w:r>
        <w:rPr>
          <w:rFonts w:ascii="Calibri" w:cs="Calibri" w:eastAsia="Calibri" w:hAnsi="Calibri"/>
          <w:b/>
          <w:bCs/>
          <w:color w:val="C8973A"/>
          <w:sz w:val="20"/>
          <w:szCs w:val="20"/>
        </w:rPr>
        <w:t xml:space="preserve">  ◆  PHASE 6 — DATA VALIDATION (LKST1838 &amp; LKST1781)  ◆  </w:t>
      </w:r>
    </w:p>
    <w:p>
      <w:pPr>
        <w:spacing w:after="0" w:before="120"/>
      </w:pPr>
      <w:r>
        <w:t xml:space="preserve"/>
      </w:r>
    </w:p>
    <w:p>
      <w:pPr>
        <w:pStyle w:val="Heading1"/>
        <w:pBdr>
          <w:bottom w:val="single" w:color="C8973A" w:sz="6" w:space="4"/>
        </w:pBdr>
        <w:spacing w:after="120" w:before="360"/>
      </w:pPr>
      <w:r>
        <w:rPr>
          <w:rFonts w:ascii="Calibri" w:cs="Calibri" w:eastAsia="Calibri" w:hAnsi="Calibri"/>
          <w:b/>
          <w:bCs/>
          <w:color w:val="0D0D0B"/>
          <w:sz w:val="28"/>
          <w:szCs w:val="28"/>
        </w:rPr>
        <w:t xml:space="preserve">7. Phase 6 — Data Validation</w:t>
      </w:r>
    </w:p>
    <w:p>
      <w:pPr>
        <w:shd w:fill="EAE6DC" w:val="clear"/>
        <w:spacing w:after="60" w:before="200"/>
      </w:pPr>
      <w:r>
        <w:rPr>
          <w:rFonts w:ascii="Calibri" w:cs="Calibri" w:eastAsia="Calibri" w:hAnsi="Calibri"/>
          <w:b/>
          <w:bCs/>
          <w:caps/>
          <w:color w:val="3a3828"/>
          <w:sz w:val="18"/>
          <w:szCs w:val="18"/>
        </w:rPr>
        <w:t xml:space="preserve">👤  USER</w:t>
      </w:r>
    </w:p>
    <w:p>
      <w:pPr>
        <w:shd w:fill="EAE6DC" w:val="clear"/>
        <w:spacing w:after="120" w:before="0"/>
        <w:ind w:left="160"/>
      </w:pPr>
      <w:r>
        <w:rPr>
          <w:rFonts w:ascii="Calibri" w:cs="Calibri" w:eastAsia="Calibri" w:hAnsi="Calibri"/>
          <w:color w:val="1a1816"/>
          <w:sz w:val="20"/>
          <w:szCs w:val="20"/>
        </w:rPr>
        <w:t xml:space="preserve">do not create html right now, lets first validate the report you're generating</w:t>
      </w:r>
    </w:p>
    <w:p>
      <w:pPr>
        <w:shd w:fill="EAF1F7" w:val="clear"/>
        <w:spacing w:after="60" w:before="200"/>
      </w:pPr>
      <w:r>
        <w:rPr>
          <w:rFonts w:ascii="Calibri" w:cs="Calibri" w:eastAsia="Calibri" w:hAnsi="Calibri"/>
          <w:b/>
          <w:bCs/>
          <w:caps/>
          <w:color w:val="1B3A6B"/>
          <w:sz w:val="18"/>
          <w:szCs w:val="18"/>
        </w:rPr>
        <w:t xml:space="preserve">🤖  AGENT — Data Validation Protocol</w:t>
      </w:r>
    </w:p>
    <w:p>
      <w:pPr>
        <w:shd w:fill="EAF1F7" w:val="clear"/>
        <w:spacing w:after="80" w:before="0"/>
        <w:ind w:left="160"/>
      </w:pPr>
      <w:r>
        <w:rPr>
          <w:rFonts w:ascii="Calibri" w:cs="Calibri" w:eastAsia="Calibri" w:hAnsi="Calibri"/>
          <w:color w:val="1a2830"/>
          <w:sz w:val="19"/>
          <w:szCs w:val="19"/>
        </w:rPr>
        <w:t xml:space="preserve">Pulled store master for selected store from Dim_Store_Master.</w:t>
      </w:r>
    </w:p>
    <w:p>
      <w:pPr>
        <w:shd w:fill="EAF1F7" w:val="clear"/>
        <w:spacing w:after="80" w:before="0"/>
        <w:ind w:left="160"/>
      </w:pPr>
      <w:r>
        <w:rPr>
          <w:rFonts w:ascii="Calibri" w:cs="Calibri" w:eastAsia="Calibri" w:hAnsi="Calibri"/>
          <w:color w:val="1a2830"/>
          <w:sz w:val="19"/>
          <w:szCs w:val="19"/>
        </w:rPr>
        <w:t xml:space="preserve">Pulled all 15 KPIs for current period AND benchmark period — both filtered by store code AND date parameter.</w:t>
      </w:r>
    </w:p>
    <w:p>
      <w:pPr>
        <w:shd w:fill="EAF1F7" w:val="clear"/>
        <w:spacing w:after="80" w:before="0"/>
        <w:ind w:left="160"/>
      </w:pPr>
      <w:r>
        <w:rPr>
          <w:rFonts w:ascii="Calibri" w:cs="Calibri" w:eastAsia="Calibri" w:hAnsi="Calibri"/>
          <w:color w:val="1a2830"/>
          <w:sz w:val="19"/>
          <w:szCs w:val="19"/>
        </w:rPr>
        <w:t xml:space="preserve">Computed all derived KPIs: Conversion (manual), UPT, ASP, Progressive share %, Return rate.</w:t>
      </w:r>
    </w:p>
    <w:p>
      <w:pPr>
        <w:shd w:fill="EAF1F7" w:val="clear"/>
        <w:spacing w:after="80" w:before="0"/>
        <w:ind w:left="160"/>
      </w:pPr>
      <w:r>
        <w:rPr>
          <w:rFonts w:ascii="Calibri" w:cs="Calibri" w:eastAsia="Calibri" w:hAnsi="Calibri"/>
          <w:color w:val="1a2830"/>
          <w:sz w:val="19"/>
          <w:szCs w:val="19"/>
        </w:rPr>
        <w:t xml:space="preserve">Showed full validation table in chat. Waited for user confirmation before building report.</w:t>
      </w:r>
    </w:p>
    <w:p>
      <w:pPr>
        <w:spacing w:after="0" w:before="80"/>
      </w:pPr>
      <w:r>
        <w:t xml:space="preserve"/>
      </w:r>
    </w:p>
    <w:p>
      <w:pPr>
        <w:pStyle w:val="Heading2"/>
        <w:spacing w:after="80" w:before="240"/>
      </w:pPr>
      <w:r>
        <w:rPr>
          <w:rFonts w:ascii="Calibri" w:cs="Calibri" w:eastAsia="Calibri" w:hAnsi="Calibri"/>
          <w:b/>
          <w:bCs/>
          <w:color w:val="1B3A6B"/>
          <w:sz w:val="22"/>
          <w:szCs w:val="22"/>
        </w:rPr>
        <w:t xml:space="preserve">7.1  LKST1838 — Chennai Pallavaram | Mar-26 vs Feb-26 (validated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60"/>
        <w:gridCol w:w="1560"/>
        <w:gridCol w:w="960"/>
        <w:gridCol w:w="1280"/>
        <w:gridCol w:w="1800"/>
      </w:tblGrid>
      <w:tr>
        <w:trPr>
          <w:tblHeader/>
        </w:trPr>
        <w:tc>
          <w:tcPr>
            <w:tcW w:type="dxa" w:w="2200"/>
            <w:tcBorders>
              <w:top w:val="single" w:color="1B3A6B" w:sz="6"/>
              <w:left w:val="single" w:color="1B3A6B" w:sz="6"/>
              <w:bottom w:val="single" w:color="1B3A6B" w:sz="6"/>
              <w:right w:val="single" w:color="1B3A6B" w:sz="6"/>
            </w:tcBorders>
            <w:shd w:fill="1B3A6B" w:val="clear"/>
            <w:tcMar>
              <w:top w:type="dxa" w:w="50"/>
              <w:left w:type="dxa" w:w="80"/>
              <w:bottom w:type="dxa" w:w="50"/>
              <w:right w:type="dxa" w:w="80"/>
            </w:tcMar>
          </w:tcPr>
          <w:p>
            <w:r>
              <w:rPr>
                <w:rFonts w:ascii="Calibri" w:cs="Calibri" w:eastAsia="Calibri" w:hAnsi="Calibri"/>
                <w:b/>
                <w:bCs/>
                <w:color w:val="FFFFFF"/>
                <w:sz w:val="16"/>
                <w:szCs w:val="16"/>
              </w:rPr>
              <w:t xml:space="preserve">KPI</w:t>
            </w:r>
          </w:p>
        </w:tc>
        <w:tc>
          <w:tcPr>
            <w:tcW w:type="dxa" w:w="1560"/>
            <w:tcBorders>
              <w:top w:val="single" w:color="1B3A6B" w:sz="6"/>
              <w:left w:val="single" w:color="1B3A6B" w:sz="6"/>
              <w:bottom w:val="single" w:color="1B3A6B" w:sz="6"/>
              <w:right w:val="single" w:color="1B3A6B" w:sz="6"/>
            </w:tcBorders>
            <w:shd w:fill="1B3A6B" w:val="clear"/>
            <w:tcMar>
              <w:top w:type="dxa" w:w="50"/>
              <w:left w:type="dxa" w:w="80"/>
              <w:bottom w:type="dxa" w:w="50"/>
              <w:right w:type="dxa" w:w="80"/>
            </w:tcMar>
          </w:tcPr>
          <w:p>
            <w:r>
              <w:rPr>
                <w:rFonts w:ascii="Calibri" w:cs="Calibri" w:eastAsia="Calibri" w:hAnsi="Calibri"/>
                <w:b/>
                <w:bCs/>
                <w:color w:val="FFFFFF"/>
                <w:sz w:val="16"/>
                <w:szCs w:val="16"/>
              </w:rPr>
              <w:t xml:space="preserve">Mar-26</w:t>
            </w:r>
          </w:p>
        </w:tc>
        <w:tc>
          <w:tcPr>
            <w:tcW w:type="dxa" w:w="1560"/>
            <w:tcBorders>
              <w:top w:val="single" w:color="1B3A6B" w:sz="6"/>
              <w:left w:val="single" w:color="1B3A6B" w:sz="6"/>
              <w:bottom w:val="single" w:color="1B3A6B" w:sz="6"/>
              <w:right w:val="single" w:color="1B3A6B" w:sz="6"/>
            </w:tcBorders>
            <w:shd w:fill="1B3A6B" w:val="clear"/>
            <w:tcMar>
              <w:top w:type="dxa" w:w="50"/>
              <w:left w:type="dxa" w:w="80"/>
              <w:bottom w:type="dxa" w:w="50"/>
              <w:right w:type="dxa" w:w="80"/>
            </w:tcMar>
          </w:tcPr>
          <w:p>
            <w:r>
              <w:rPr>
                <w:rFonts w:ascii="Calibri" w:cs="Calibri" w:eastAsia="Calibri" w:hAnsi="Calibri"/>
                <w:b/>
                <w:bCs/>
                <w:color w:val="FFFFFF"/>
                <w:sz w:val="16"/>
                <w:szCs w:val="16"/>
              </w:rPr>
              <w:t xml:space="preserve">Feb-26 (BM)</w:t>
            </w:r>
          </w:p>
        </w:tc>
        <w:tc>
          <w:tcPr>
            <w:tcW w:type="dxa" w:w="960"/>
            <w:tcBorders>
              <w:top w:val="single" w:color="1B3A6B" w:sz="6"/>
              <w:left w:val="single" w:color="1B3A6B" w:sz="6"/>
              <w:bottom w:val="single" w:color="1B3A6B" w:sz="6"/>
              <w:right w:val="single" w:color="1B3A6B" w:sz="6"/>
            </w:tcBorders>
            <w:shd w:fill="1B3A6B" w:val="clear"/>
            <w:tcMar>
              <w:top w:type="dxa" w:w="50"/>
              <w:left w:type="dxa" w:w="80"/>
              <w:bottom w:type="dxa" w:w="50"/>
              <w:right w:type="dxa" w:w="80"/>
            </w:tcMar>
          </w:tcPr>
          <w:p>
            <w:r>
              <w:rPr>
                <w:rFonts w:ascii="Calibri" w:cs="Calibri" w:eastAsia="Calibri" w:hAnsi="Calibri"/>
                <w:b/>
                <w:bCs/>
                <w:color w:val="FFFFFF"/>
                <w:sz w:val="16"/>
                <w:szCs w:val="16"/>
              </w:rPr>
              <w:t xml:space="preserve">Var %</w:t>
            </w:r>
          </w:p>
        </w:tc>
        <w:tc>
          <w:tcPr>
            <w:tcW w:type="dxa" w:w="1280"/>
            <w:tcBorders>
              <w:top w:val="single" w:color="1B3A6B" w:sz="6"/>
              <w:left w:val="single" w:color="1B3A6B" w:sz="6"/>
              <w:bottom w:val="single" w:color="1B3A6B" w:sz="6"/>
              <w:right w:val="single" w:color="1B3A6B" w:sz="6"/>
            </w:tcBorders>
            <w:shd w:fill="1B3A6B" w:val="clear"/>
            <w:tcMar>
              <w:top w:type="dxa" w:w="50"/>
              <w:left w:type="dxa" w:w="80"/>
              <w:bottom w:type="dxa" w:w="50"/>
              <w:right w:type="dxa" w:w="80"/>
            </w:tcMar>
          </w:tcPr>
          <w:p>
            <w:r>
              <w:rPr>
                <w:rFonts w:ascii="Calibri" w:cs="Calibri" w:eastAsia="Calibri" w:hAnsi="Calibri"/>
                <w:b/>
                <w:bCs/>
                <w:color w:val="FFFFFF"/>
                <w:sz w:val="16"/>
                <w:szCs w:val="16"/>
              </w:rPr>
              <w:t xml:space="preserve">Abs Δ</w:t>
            </w:r>
          </w:p>
        </w:tc>
        <w:tc>
          <w:tcPr>
            <w:tcW w:type="dxa" w:w="1800"/>
            <w:tcBorders>
              <w:top w:val="single" w:color="1B3A6B" w:sz="6"/>
              <w:left w:val="single" w:color="1B3A6B" w:sz="6"/>
              <w:bottom w:val="single" w:color="1B3A6B" w:sz="6"/>
              <w:right w:val="single" w:color="1B3A6B" w:sz="6"/>
            </w:tcBorders>
            <w:shd w:fill="1B3A6B" w:val="clear"/>
            <w:tcMar>
              <w:top w:type="dxa" w:w="50"/>
              <w:left w:type="dxa" w:w="80"/>
              <w:bottom w:type="dxa" w:w="50"/>
              <w:right w:type="dxa" w:w="80"/>
            </w:tcMar>
          </w:tcPr>
          <w:p>
            <w:r>
              <w:rPr>
                <w:rFonts w:ascii="Calibri" w:cs="Calibri" w:eastAsia="Calibri" w:hAnsi="Calibri"/>
                <w:b/>
                <w:bCs/>
                <w:color w:val="FFFFFF"/>
                <w:sz w:val="16"/>
                <w:szCs w:val="16"/>
              </w:rPr>
              <w:t xml:space="preserve">Status</w:t>
            </w:r>
          </w:p>
        </w:tc>
      </w:tr>
      <w:tr>
        <w:tc>
          <w:tcPr>
            <w:tcW w:type="dxa" w:w="2200"/>
            <w:tcBorders>
              <w:top w:val="single" w:color="DDDBCF" w:sz="4"/>
              <w:left w:val="single" w:color="DDDBCF" w:sz="4"/>
              <w:bottom w:val="single" w:color="DDDBCF" w:sz="4"/>
              <w:right w:val="single" w:color="DDDBCF" w:sz="4"/>
            </w:tcBorders>
            <w:tcMar>
              <w:top w:type="dxa" w:w="60"/>
              <w:left w:type="dxa" w:w="100"/>
              <w:bottom w:type="dxa" w:w="60"/>
              <w:right w:type="dxa" w:w="100"/>
            </w:tcMar>
          </w:tcPr>
          <w:p>
            <w:r>
              <w:rPr>
                <w:rFonts w:ascii="Calibri" w:cs="Calibri" w:eastAsia="Calibri" w:hAnsi="Calibri"/>
                <w:b/>
                <w:bCs/>
                <w:color w:val="1a1816"/>
                <w:sz w:val="18"/>
                <w:szCs w:val="18"/>
              </w:rPr>
              <w:t xml:space="preserve">Net Sales</w:t>
            </w:r>
          </w:p>
        </w:tc>
        <w:tc>
          <w:tcPr>
            <w:tcW w:type="dxa" w:w="1680"/>
            <w:tcBorders>
              <w:top w:val="single" w:color="DDDBCF" w:sz="4"/>
              <w:left w:val="single" w:color="DDDBCF" w:sz="4"/>
              <w:bottom w:val="single" w:color="DDDBCF" w:sz="4"/>
              <w:right w:val="single" w:color="DDDBCF" w:sz="4"/>
            </w:tcBorders>
            <w:tcMar>
              <w:top w:type="dxa" w:w="60"/>
              <w:left w:type="dxa" w:w="100"/>
              <w:bottom w:type="dxa" w:w="60"/>
              <w:right w:type="dxa" w:w="100"/>
            </w:tcMar>
          </w:tcPr>
          <w:p>
            <w:pPr>
              <w:jc w:val="right"/>
            </w:pPr>
            <w:r>
              <w:rPr>
                <w:rFonts w:ascii="Courier New" w:cs="Courier New" w:eastAsia="Courier New" w:hAnsi="Courier New"/>
                <w:color w:val="1a1816"/>
                <w:sz w:val="18"/>
                <w:szCs w:val="18"/>
              </w:rPr>
              <w:t xml:space="preserve">₹9,87,657</w:t>
            </w:r>
          </w:p>
        </w:tc>
        <w:tc>
          <w:tcPr>
            <w:tcW w:type="dxa" w:w="1680"/>
            <w:tcBorders>
              <w:top w:val="single" w:color="DDDBCF" w:sz="4"/>
              <w:left w:val="single" w:color="DDDBCF" w:sz="4"/>
              <w:bottom w:val="single" w:color="DDDBCF" w:sz="4"/>
              <w:right w:val="single" w:color="DDDBCF" w:sz="4"/>
            </w:tcBorders>
            <w:tcMar>
              <w:top w:type="dxa" w:w="60"/>
              <w:left w:type="dxa" w:w="100"/>
              <w:bottom w:type="dxa" w:w="60"/>
              <w:right w:type="dxa" w:w="100"/>
            </w:tcMar>
          </w:tcPr>
          <w:p>
            <w:pPr>
              <w:jc w:val="right"/>
            </w:pPr>
            <w:r>
              <w:rPr>
                <w:rFonts w:ascii="Courier New" w:cs="Courier New" w:eastAsia="Courier New" w:hAnsi="Courier New"/>
                <w:color w:val="555248"/>
                <w:sz w:val="18"/>
                <w:szCs w:val="18"/>
              </w:rPr>
              <w:t xml:space="preserve">₹7,55,468</w:t>
            </w:r>
          </w:p>
        </w:tc>
        <w:tc>
          <w:tcPr>
            <w:tcW w:type="dxa" w:w="1200"/>
            <w:tcBorders>
              <w:top w:val="single" w:color="DDDBCF" w:sz="4"/>
              <w:left w:val="single" w:color="DDDBCF" w:sz="4"/>
              <w:bottom w:val="single" w:color="DDDBCF" w:sz="4"/>
              <w:right w:val="single" w:color="DDDBCF" w:sz="4"/>
            </w:tcBorders>
            <w:tcMar>
              <w:top w:type="dxa" w:w="60"/>
              <w:left w:type="dxa" w:w="100"/>
              <w:bottom w:type="dxa" w:w="60"/>
              <w:right w:type="dxa" w:w="100"/>
            </w:tcMar>
          </w:tcPr>
          <w:p>
            <w:pPr>
              <w:jc w:val="right"/>
            </w:pPr>
            <w:r>
              <w:rPr>
                <w:rFonts w:ascii="Courier New" w:cs="Courier New" w:eastAsia="Courier New" w:hAnsi="Courier New"/>
                <w:b/>
                <w:bCs/>
                <w:color w:val="2E7D32"/>
                <w:sz w:val="18"/>
                <w:szCs w:val="18"/>
              </w:rPr>
              <w:t xml:space="preserve">+30.7%</w:t>
            </w:r>
          </w:p>
        </w:tc>
        <w:tc>
          <w:tcPr>
            <w:tcW w:type="dxa" w:w="1400"/>
            <w:tcBorders>
              <w:top w:val="single" w:color="DDDBCF" w:sz="4"/>
              <w:left w:val="single" w:color="DDDBCF" w:sz="4"/>
              <w:bottom w:val="single" w:color="DDDBCF" w:sz="4"/>
              <w:right w:val="single" w:color="DDDBCF" w:sz="4"/>
            </w:tcBorders>
            <w:tcMar>
              <w:top w:type="dxa" w:w="60"/>
              <w:left w:type="dxa" w:w="100"/>
              <w:bottom w:type="dxa" w:w="60"/>
              <w:right w:type="dxa" w:w="100"/>
            </w:tcMar>
          </w:tcPr>
          <w:p>
            <w:pPr>
              <w:jc w:val="center"/>
            </w:pPr>
            <w:r>
              <w:rPr>
                <w:rFonts w:ascii="Calibri" w:cs="Calibri" w:eastAsia="Calibri" w:hAnsi="Calibri"/>
                <w:b/>
                <w:bCs/>
                <w:color w:val="0E5A6F"/>
                <w:sz w:val="17"/>
                <w:szCs w:val="17"/>
              </w:rPr>
              <w:t xml:space="preserve">On track</w:t>
            </w:r>
          </w:p>
        </w:tc>
      </w:tr>
      <w:tr>
        <w:tc>
          <w:tcPr>
            <w:tcW w:type="dxa" w:w="2200"/>
            <w:tcBorders>
              <w:top w:val="single" w:color="DDDBCF" w:sz="4"/>
              <w:left w:val="single" w:color="DDDBCF" w:sz="4"/>
              <w:bottom w:val="single" w:color="DDDBCF" w:sz="4"/>
              <w:right w:val="single" w:color="DDDBCF" w:sz="4"/>
            </w:tcBorders>
            <w:tcMar>
              <w:top w:type="dxa" w:w="60"/>
              <w:left w:type="dxa" w:w="100"/>
              <w:bottom w:type="dxa" w:w="60"/>
              <w:right w:type="dxa" w:w="100"/>
            </w:tcMar>
          </w:tcPr>
          <w:p>
            <w:r>
              <w:rPr>
                <w:rFonts w:ascii="Calibri" w:cs="Calibri" w:eastAsia="Calibri" w:hAnsi="Calibri"/>
                <w:b/>
                <w:bCs/>
                <w:color w:val="1a1816"/>
                <w:sz w:val="18"/>
                <w:szCs w:val="18"/>
              </w:rPr>
              <w:t xml:space="preserve">Net Orders</w:t>
            </w:r>
          </w:p>
        </w:tc>
        <w:tc>
          <w:tcPr>
            <w:tcW w:type="dxa" w:w="1680"/>
            <w:tcBorders>
              <w:top w:val="single" w:color="DDDBCF" w:sz="4"/>
              <w:left w:val="single" w:color="DDDBCF" w:sz="4"/>
              <w:bottom w:val="single" w:color="DDDBCF" w:sz="4"/>
              <w:right w:val="single" w:color="DDDBCF" w:sz="4"/>
            </w:tcBorders>
            <w:tcMar>
              <w:top w:type="dxa" w:w="60"/>
              <w:left w:type="dxa" w:w="100"/>
              <w:bottom w:type="dxa" w:w="60"/>
              <w:right w:type="dxa" w:w="100"/>
            </w:tcMar>
          </w:tcPr>
          <w:p>
            <w:pPr>
              <w:jc w:val="right"/>
            </w:pPr>
            <w:r>
              <w:rPr>
                <w:rFonts w:ascii="Courier New" w:cs="Courier New" w:eastAsia="Courier New" w:hAnsi="Courier New"/>
                <w:color w:val="1a1816"/>
                <w:sz w:val="18"/>
                <w:szCs w:val="18"/>
              </w:rPr>
              <w:t xml:space="preserve">320.7</w:t>
            </w:r>
          </w:p>
        </w:tc>
        <w:tc>
          <w:tcPr>
            <w:tcW w:type="dxa" w:w="1680"/>
            <w:tcBorders>
              <w:top w:val="single" w:color="DDDBCF" w:sz="4"/>
              <w:left w:val="single" w:color="DDDBCF" w:sz="4"/>
              <w:bottom w:val="single" w:color="DDDBCF" w:sz="4"/>
              <w:right w:val="single" w:color="DDDBCF" w:sz="4"/>
            </w:tcBorders>
            <w:tcMar>
              <w:top w:type="dxa" w:w="60"/>
              <w:left w:type="dxa" w:w="100"/>
              <w:bottom w:type="dxa" w:w="60"/>
              <w:right w:type="dxa" w:w="100"/>
            </w:tcMar>
          </w:tcPr>
          <w:p>
            <w:pPr>
              <w:jc w:val="right"/>
            </w:pPr>
            <w:r>
              <w:rPr>
                <w:rFonts w:ascii="Courier New" w:cs="Courier New" w:eastAsia="Courier New" w:hAnsi="Courier New"/>
                <w:color w:val="555248"/>
                <w:sz w:val="18"/>
                <w:szCs w:val="18"/>
              </w:rPr>
              <w:t xml:space="preserve">258.9</w:t>
            </w:r>
          </w:p>
        </w:tc>
        <w:tc>
          <w:tcPr>
            <w:tcW w:type="dxa" w:w="1200"/>
            <w:tcBorders>
              <w:top w:val="single" w:color="DDDBCF" w:sz="4"/>
              <w:left w:val="single" w:color="DDDBCF" w:sz="4"/>
              <w:bottom w:val="single" w:color="DDDBCF" w:sz="4"/>
              <w:right w:val="single" w:color="DDDBCF" w:sz="4"/>
            </w:tcBorders>
            <w:tcMar>
              <w:top w:type="dxa" w:w="60"/>
              <w:left w:type="dxa" w:w="100"/>
              <w:bottom w:type="dxa" w:w="60"/>
              <w:right w:type="dxa" w:w="100"/>
            </w:tcMar>
          </w:tcPr>
          <w:p>
            <w:pPr>
              <w:jc w:val="right"/>
            </w:pPr>
            <w:r>
              <w:rPr>
                <w:rFonts w:ascii="Courier New" w:cs="Courier New" w:eastAsia="Courier New" w:hAnsi="Courier New"/>
                <w:b/>
                <w:bCs/>
                <w:color w:val="2E7D32"/>
                <w:sz w:val="18"/>
                <w:szCs w:val="18"/>
              </w:rPr>
              <w:t xml:space="preserve">+23.8%</w:t>
            </w:r>
          </w:p>
        </w:tc>
        <w:tc>
          <w:tcPr>
            <w:tcW w:type="dxa" w:w="1400"/>
            <w:tcBorders>
              <w:top w:val="single" w:color="DDDBCF" w:sz="4"/>
              <w:left w:val="single" w:color="DDDBCF" w:sz="4"/>
              <w:bottom w:val="single" w:color="DDDBCF" w:sz="4"/>
              <w:right w:val="single" w:color="DDDBCF" w:sz="4"/>
            </w:tcBorders>
            <w:tcMar>
              <w:top w:type="dxa" w:w="60"/>
              <w:left w:type="dxa" w:w="100"/>
              <w:bottom w:type="dxa" w:w="60"/>
              <w:right w:type="dxa" w:w="100"/>
            </w:tcMar>
          </w:tcPr>
          <w:p>
            <w:pPr>
              <w:jc w:val="center"/>
            </w:pPr>
            <w:r>
              <w:rPr>
                <w:rFonts w:ascii="Calibri" w:cs="Calibri" w:eastAsia="Calibri" w:hAnsi="Calibri"/>
                <w:b/>
                <w:bCs/>
                <w:color w:val="2E7D32"/>
                <w:sz w:val="17"/>
                <w:szCs w:val="17"/>
              </w:rPr>
              <w:t xml:space="preserve">Healthy</w:t>
            </w:r>
          </w:p>
        </w:tc>
      </w:tr>
      <w:tr>
        <w:tc>
          <w:tcPr>
            <w:tcW w:type="dxa" w:w="2200"/>
            <w:tcBorders>
              <w:top w:val="single" w:color="DDDBCF" w:sz="4"/>
              <w:left w:val="single" w:color="DDDBCF" w:sz="4"/>
              <w:bottom w:val="single" w:color="DDDBCF" w:sz="4"/>
              <w:right w:val="single" w:color="DDDBCF" w:sz="4"/>
            </w:tcBorders>
            <w:tcMar>
              <w:top w:type="dxa" w:w="60"/>
              <w:left w:type="dxa" w:w="100"/>
              <w:bottom w:type="dxa" w:w="60"/>
              <w:right w:type="dxa" w:w="100"/>
            </w:tcMar>
          </w:tcPr>
          <w:p>
            <w:r>
              <w:rPr>
                <w:rFonts w:ascii="Calibri" w:cs="Calibri" w:eastAsia="Calibri" w:hAnsi="Calibri"/>
                <w:b/>
                <w:bCs/>
                <w:color w:val="1a1816"/>
                <w:sz w:val="18"/>
                <w:szCs w:val="18"/>
              </w:rPr>
              <w:t xml:space="preserve">Footfall</w:t>
            </w:r>
          </w:p>
        </w:tc>
        <w:tc>
          <w:tcPr>
            <w:tcW w:type="dxa" w:w="1680"/>
            <w:tcBorders>
              <w:top w:val="single" w:color="DDDBCF" w:sz="4"/>
              <w:left w:val="single" w:color="DDDBCF" w:sz="4"/>
              <w:bottom w:val="single" w:color="DDDBCF" w:sz="4"/>
              <w:right w:val="single" w:color="DDDBCF" w:sz="4"/>
            </w:tcBorders>
            <w:tcMar>
              <w:top w:type="dxa" w:w="60"/>
              <w:left w:type="dxa" w:w="100"/>
              <w:bottom w:type="dxa" w:w="60"/>
              <w:right w:type="dxa" w:w="100"/>
            </w:tcMar>
          </w:tcPr>
          <w:p>
            <w:pPr>
              <w:jc w:val="right"/>
            </w:pPr>
            <w:r>
              <w:rPr>
                <w:rFonts w:ascii="Courier New" w:cs="Courier New" w:eastAsia="Courier New" w:hAnsi="Courier New"/>
                <w:color w:val="1a1816"/>
                <w:sz w:val="18"/>
                <w:szCs w:val="18"/>
              </w:rPr>
              <w:t xml:space="preserve">768</w:t>
            </w:r>
          </w:p>
        </w:tc>
        <w:tc>
          <w:tcPr>
            <w:tcW w:type="dxa" w:w="1680"/>
            <w:tcBorders>
              <w:top w:val="single" w:color="DDDBCF" w:sz="4"/>
              <w:left w:val="single" w:color="DDDBCF" w:sz="4"/>
              <w:bottom w:val="single" w:color="DDDBCF" w:sz="4"/>
              <w:right w:val="single" w:color="DDDBCF" w:sz="4"/>
            </w:tcBorders>
            <w:tcMar>
              <w:top w:type="dxa" w:w="60"/>
              <w:left w:type="dxa" w:w="100"/>
              <w:bottom w:type="dxa" w:w="60"/>
              <w:right w:type="dxa" w:w="100"/>
            </w:tcMar>
          </w:tcPr>
          <w:p>
            <w:pPr>
              <w:jc w:val="right"/>
            </w:pPr>
            <w:r>
              <w:rPr>
                <w:rFonts w:ascii="Courier New" w:cs="Courier New" w:eastAsia="Courier New" w:hAnsi="Courier New"/>
                <w:color w:val="555248"/>
                <w:sz w:val="18"/>
                <w:szCs w:val="18"/>
              </w:rPr>
              <w:t xml:space="preserve">1,117</w:t>
            </w:r>
          </w:p>
        </w:tc>
        <w:tc>
          <w:tcPr>
            <w:tcW w:type="dxa" w:w="1200"/>
            <w:tcBorders>
              <w:top w:val="single" w:color="DDDBCF" w:sz="4"/>
              <w:left w:val="single" w:color="DDDBCF" w:sz="4"/>
              <w:bottom w:val="single" w:color="DDDBCF" w:sz="4"/>
              <w:right w:val="single" w:color="DDDBCF" w:sz="4"/>
            </w:tcBorders>
            <w:tcMar>
              <w:top w:type="dxa" w:w="60"/>
              <w:left w:type="dxa" w:w="100"/>
              <w:bottom w:type="dxa" w:w="60"/>
              <w:right w:type="dxa" w:w="100"/>
            </w:tcMar>
          </w:tcPr>
          <w:p>
            <w:pPr>
              <w:jc w:val="right"/>
            </w:pPr>
            <w:r>
              <w:rPr>
                <w:rFonts w:ascii="Courier New" w:cs="Courier New" w:eastAsia="Courier New" w:hAnsi="Courier New"/>
                <w:b/>
                <w:bCs/>
                <w:color w:val="B84040"/>
                <w:sz w:val="18"/>
                <w:szCs w:val="18"/>
              </w:rPr>
              <w:t xml:space="preserve">−31.2%</w:t>
            </w:r>
          </w:p>
        </w:tc>
        <w:tc>
          <w:tcPr>
            <w:tcW w:type="dxa" w:w="1400"/>
            <w:tcBorders>
              <w:top w:val="single" w:color="DDDBCF" w:sz="4"/>
              <w:left w:val="single" w:color="DDDBCF" w:sz="4"/>
              <w:bottom w:val="single" w:color="DDDBCF" w:sz="4"/>
              <w:right w:val="single" w:color="DDDBCF" w:sz="4"/>
            </w:tcBorders>
            <w:tcMar>
              <w:top w:type="dxa" w:w="60"/>
              <w:left w:type="dxa" w:w="100"/>
              <w:bottom w:type="dxa" w:w="60"/>
              <w:right w:type="dxa" w:w="100"/>
            </w:tcMar>
          </w:tcPr>
          <w:p>
            <w:pPr>
              <w:jc w:val="center"/>
            </w:pPr>
            <w:r>
              <w:rPr>
                <w:rFonts w:ascii="Calibri" w:cs="Calibri" w:eastAsia="Calibri" w:hAnsi="Calibri"/>
                <w:b/>
                <w:bCs/>
                <w:color w:val="B84040"/>
                <w:sz w:val="17"/>
                <w:szCs w:val="17"/>
              </w:rPr>
              <w:t xml:space="preserve">Critical</w:t>
            </w:r>
          </w:p>
        </w:tc>
      </w:tr>
      <w:tr>
        <w:tc>
          <w:tcPr>
            <w:tcW w:type="dxa" w:w="2200"/>
            <w:tcBorders>
              <w:top w:val="single" w:color="DDDBCF" w:sz="4"/>
              <w:left w:val="single" w:color="DDDBCF" w:sz="4"/>
              <w:bottom w:val="single" w:color="DDDBCF" w:sz="4"/>
              <w:right w:val="single" w:color="DDDBCF" w:sz="4"/>
            </w:tcBorders>
            <w:tcMar>
              <w:top w:type="dxa" w:w="60"/>
              <w:left w:type="dxa" w:w="100"/>
              <w:bottom w:type="dxa" w:w="60"/>
              <w:right w:type="dxa" w:w="100"/>
            </w:tcMar>
          </w:tcPr>
          <w:p>
            <w:r>
              <w:rPr>
                <w:rFonts w:ascii="Calibri" w:cs="Calibri" w:eastAsia="Calibri" w:hAnsi="Calibri"/>
                <w:b/>
                <w:bCs/>
                <w:color w:val="1a1816"/>
                <w:sz w:val="18"/>
                <w:szCs w:val="18"/>
              </w:rPr>
              <w:t xml:space="preserve">Conversion %</w:t>
            </w:r>
          </w:p>
        </w:tc>
        <w:tc>
          <w:tcPr>
            <w:tcW w:type="dxa" w:w="1680"/>
            <w:tcBorders>
              <w:top w:val="single" w:color="DDDBCF" w:sz="4"/>
              <w:left w:val="single" w:color="DDDBCF" w:sz="4"/>
              <w:bottom w:val="single" w:color="DDDBCF" w:sz="4"/>
              <w:right w:val="single" w:color="DDDBCF" w:sz="4"/>
            </w:tcBorders>
            <w:tcMar>
              <w:top w:type="dxa" w:w="60"/>
              <w:left w:type="dxa" w:w="100"/>
              <w:bottom w:type="dxa" w:w="60"/>
              <w:right w:type="dxa" w:w="100"/>
            </w:tcMar>
          </w:tcPr>
          <w:p>
            <w:pPr>
              <w:jc w:val="right"/>
            </w:pPr>
            <w:r>
              <w:rPr>
                <w:rFonts w:ascii="Courier New" w:cs="Courier New" w:eastAsia="Courier New" w:hAnsi="Courier New"/>
                <w:color w:val="1a1816"/>
                <w:sz w:val="18"/>
                <w:szCs w:val="18"/>
              </w:rPr>
              <w:t xml:space="preserve">41.75%</w:t>
            </w:r>
          </w:p>
        </w:tc>
        <w:tc>
          <w:tcPr>
            <w:tcW w:type="dxa" w:w="1680"/>
            <w:tcBorders>
              <w:top w:val="single" w:color="DDDBCF" w:sz="4"/>
              <w:left w:val="single" w:color="DDDBCF" w:sz="4"/>
              <w:bottom w:val="single" w:color="DDDBCF" w:sz="4"/>
              <w:right w:val="single" w:color="DDDBCF" w:sz="4"/>
            </w:tcBorders>
            <w:tcMar>
              <w:top w:type="dxa" w:w="60"/>
              <w:left w:type="dxa" w:w="100"/>
              <w:bottom w:type="dxa" w:w="60"/>
              <w:right w:type="dxa" w:w="100"/>
            </w:tcMar>
          </w:tcPr>
          <w:p>
            <w:pPr>
              <w:jc w:val="right"/>
            </w:pPr>
            <w:r>
              <w:rPr>
                <w:rFonts w:ascii="Courier New" w:cs="Courier New" w:eastAsia="Courier New" w:hAnsi="Courier New"/>
                <w:color w:val="555248"/>
                <w:sz w:val="18"/>
                <w:szCs w:val="18"/>
              </w:rPr>
              <w:t xml:space="preserve">23.18%</w:t>
            </w:r>
          </w:p>
        </w:tc>
        <w:tc>
          <w:tcPr>
            <w:tcW w:type="dxa" w:w="1200"/>
            <w:tcBorders>
              <w:top w:val="single" w:color="DDDBCF" w:sz="4"/>
              <w:left w:val="single" w:color="DDDBCF" w:sz="4"/>
              <w:bottom w:val="single" w:color="DDDBCF" w:sz="4"/>
              <w:right w:val="single" w:color="DDDBCF" w:sz="4"/>
            </w:tcBorders>
            <w:tcMar>
              <w:top w:type="dxa" w:w="60"/>
              <w:left w:type="dxa" w:w="100"/>
              <w:bottom w:type="dxa" w:w="60"/>
              <w:right w:type="dxa" w:w="100"/>
            </w:tcMar>
          </w:tcPr>
          <w:p>
            <w:pPr>
              <w:jc w:val="right"/>
            </w:pPr>
            <w:r>
              <w:rPr>
                <w:rFonts w:ascii="Courier New" w:cs="Courier New" w:eastAsia="Courier New" w:hAnsi="Courier New"/>
                <w:b/>
                <w:bCs/>
                <w:color w:val="2E7D32"/>
                <w:sz w:val="18"/>
                <w:szCs w:val="18"/>
              </w:rPr>
              <w:t xml:space="preserve">+80.1%</w:t>
            </w:r>
          </w:p>
        </w:tc>
        <w:tc>
          <w:tcPr>
            <w:tcW w:type="dxa" w:w="1400"/>
            <w:tcBorders>
              <w:top w:val="single" w:color="DDDBCF" w:sz="4"/>
              <w:left w:val="single" w:color="DDDBCF" w:sz="4"/>
              <w:bottom w:val="single" w:color="DDDBCF" w:sz="4"/>
              <w:right w:val="single" w:color="DDDBCF" w:sz="4"/>
            </w:tcBorders>
            <w:tcMar>
              <w:top w:type="dxa" w:w="60"/>
              <w:left w:type="dxa" w:w="100"/>
              <w:bottom w:type="dxa" w:w="60"/>
              <w:right w:type="dxa" w:w="100"/>
            </w:tcMar>
          </w:tcPr>
          <w:p>
            <w:pPr>
              <w:jc w:val="center"/>
            </w:pPr>
            <w:r>
              <w:rPr>
                <w:rFonts w:ascii="Calibri" w:cs="Calibri" w:eastAsia="Calibri" w:hAnsi="Calibri"/>
                <w:b/>
                <w:bCs/>
                <w:color w:val="2E7D32"/>
                <w:sz w:val="17"/>
                <w:szCs w:val="17"/>
              </w:rPr>
              <w:t xml:space="preserve">Healthy</w:t>
            </w:r>
          </w:p>
        </w:tc>
      </w:tr>
      <w:tr>
        <w:tc>
          <w:tcPr>
            <w:tcW w:type="dxa" w:w="2200"/>
            <w:tcBorders>
              <w:top w:val="single" w:color="DDDBCF" w:sz="4"/>
              <w:left w:val="single" w:color="DDDBCF" w:sz="4"/>
              <w:bottom w:val="single" w:color="DDDBCF" w:sz="4"/>
              <w:right w:val="single" w:color="DDDBCF" w:sz="4"/>
            </w:tcBorders>
            <w:tcMar>
              <w:top w:type="dxa" w:w="60"/>
              <w:left w:type="dxa" w:w="100"/>
              <w:bottom w:type="dxa" w:w="60"/>
              <w:right w:type="dxa" w:w="100"/>
            </w:tcMar>
          </w:tcPr>
          <w:p>
            <w:r>
              <w:rPr>
                <w:rFonts w:ascii="Calibri" w:cs="Calibri" w:eastAsia="Calibri" w:hAnsi="Calibri"/>
                <w:b/>
                <w:bCs/>
                <w:color w:val="1a1816"/>
                <w:sz w:val="18"/>
                <w:szCs w:val="18"/>
              </w:rPr>
              <w:t xml:space="preserve">Net ATV</w:t>
            </w:r>
          </w:p>
        </w:tc>
        <w:tc>
          <w:tcPr>
            <w:tcW w:type="dxa" w:w="1680"/>
            <w:tcBorders>
              <w:top w:val="single" w:color="DDDBCF" w:sz="4"/>
              <w:left w:val="single" w:color="DDDBCF" w:sz="4"/>
              <w:bottom w:val="single" w:color="DDDBCF" w:sz="4"/>
              <w:right w:val="single" w:color="DDDBCF" w:sz="4"/>
            </w:tcBorders>
            <w:tcMar>
              <w:top w:type="dxa" w:w="60"/>
              <w:left w:type="dxa" w:w="100"/>
              <w:bottom w:type="dxa" w:w="60"/>
              <w:right w:type="dxa" w:w="100"/>
            </w:tcMar>
          </w:tcPr>
          <w:p>
            <w:pPr>
              <w:jc w:val="right"/>
            </w:pPr>
            <w:r>
              <w:rPr>
                <w:rFonts w:ascii="Courier New" w:cs="Courier New" w:eastAsia="Courier New" w:hAnsi="Courier New"/>
                <w:color w:val="1a1816"/>
                <w:sz w:val="18"/>
                <w:szCs w:val="18"/>
              </w:rPr>
              <w:t xml:space="preserve">₹3,080</w:t>
            </w:r>
          </w:p>
        </w:tc>
        <w:tc>
          <w:tcPr>
            <w:tcW w:type="dxa" w:w="1680"/>
            <w:tcBorders>
              <w:top w:val="single" w:color="DDDBCF" w:sz="4"/>
              <w:left w:val="single" w:color="DDDBCF" w:sz="4"/>
              <w:bottom w:val="single" w:color="DDDBCF" w:sz="4"/>
              <w:right w:val="single" w:color="DDDBCF" w:sz="4"/>
            </w:tcBorders>
            <w:tcMar>
              <w:top w:type="dxa" w:w="60"/>
              <w:left w:type="dxa" w:w="100"/>
              <w:bottom w:type="dxa" w:w="60"/>
              <w:right w:type="dxa" w:w="100"/>
            </w:tcMar>
          </w:tcPr>
          <w:p>
            <w:pPr>
              <w:jc w:val="right"/>
            </w:pPr>
            <w:r>
              <w:rPr>
                <w:rFonts w:ascii="Courier New" w:cs="Courier New" w:eastAsia="Courier New" w:hAnsi="Courier New"/>
                <w:color w:val="555248"/>
                <w:sz w:val="18"/>
                <w:szCs w:val="18"/>
              </w:rPr>
              <w:t xml:space="preserve">₹2,918</w:t>
            </w:r>
          </w:p>
        </w:tc>
        <w:tc>
          <w:tcPr>
            <w:tcW w:type="dxa" w:w="1200"/>
            <w:tcBorders>
              <w:top w:val="single" w:color="DDDBCF" w:sz="4"/>
              <w:left w:val="single" w:color="DDDBCF" w:sz="4"/>
              <w:bottom w:val="single" w:color="DDDBCF" w:sz="4"/>
              <w:right w:val="single" w:color="DDDBCF" w:sz="4"/>
            </w:tcBorders>
            <w:tcMar>
              <w:top w:type="dxa" w:w="60"/>
              <w:left w:type="dxa" w:w="100"/>
              <w:bottom w:type="dxa" w:w="60"/>
              <w:right w:type="dxa" w:w="100"/>
            </w:tcMar>
          </w:tcPr>
          <w:p>
            <w:pPr>
              <w:jc w:val="right"/>
            </w:pPr>
            <w:r>
              <w:rPr>
                <w:rFonts w:ascii="Courier New" w:cs="Courier New" w:eastAsia="Courier New" w:hAnsi="Courier New"/>
                <w:b/>
                <w:bCs/>
                <w:color w:val="2E7D32"/>
                <w:sz w:val="18"/>
                <w:szCs w:val="18"/>
              </w:rPr>
              <w:t xml:space="preserve">+5.6%</w:t>
            </w:r>
          </w:p>
        </w:tc>
        <w:tc>
          <w:tcPr>
            <w:tcW w:type="dxa" w:w="1400"/>
            <w:tcBorders>
              <w:top w:val="single" w:color="DDDBCF" w:sz="4"/>
              <w:left w:val="single" w:color="DDDBCF" w:sz="4"/>
              <w:bottom w:val="single" w:color="DDDBCF" w:sz="4"/>
              <w:right w:val="single" w:color="DDDBCF" w:sz="4"/>
            </w:tcBorders>
            <w:tcMar>
              <w:top w:type="dxa" w:w="60"/>
              <w:left w:type="dxa" w:w="100"/>
              <w:bottom w:type="dxa" w:w="60"/>
              <w:right w:type="dxa" w:w="100"/>
            </w:tcMar>
          </w:tcPr>
          <w:p>
            <w:pPr>
              <w:jc w:val="center"/>
            </w:pPr>
            <w:r>
              <w:rPr>
                <w:rFonts w:ascii="Calibri" w:cs="Calibri" w:eastAsia="Calibri" w:hAnsi="Calibri"/>
                <w:b/>
                <w:bCs/>
                <w:color w:val="2E7D32"/>
                <w:sz w:val="17"/>
                <w:szCs w:val="17"/>
              </w:rPr>
              <w:t xml:space="preserve">Healthy</w:t>
            </w:r>
          </w:p>
        </w:tc>
      </w:tr>
      <w:tr>
        <w:tc>
          <w:tcPr>
            <w:tcW w:type="dxa" w:w="2200"/>
            <w:tcBorders>
              <w:top w:val="single" w:color="DDDBCF" w:sz="4"/>
              <w:left w:val="single" w:color="DDDBCF" w:sz="4"/>
              <w:bottom w:val="single" w:color="DDDBCF" w:sz="4"/>
              <w:right w:val="single" w:color="DDDBCF" w:sz="4"/>
            </w:tcBorders>
            <w:tcMar>
              <w:top w:type="dxa" w:w="60"/>
              <w:left w:type="dxa" w:w="100"/>
              <w:bottom w:type="dxa" w:w="60"/>
              <w:right w:type="dxa" w:w="100"/>
            </w:tcMar>
          </w:tcPr>
          <w:p>
            <w:r>
              <w:rPr>
                <w:rFonts w:ascii="Calibri" w:cs="Calibri" w:eastAsia="Calibri" w:hAnsi="Calibri"/>
                <w:b/>
                <w:bCs/>
                <w:color w:val="1a1816"/>
                <w:sz w:val="18"/>
                <w:szCs w:val="18"/>
              </w:rPr>
              <w:t xml:space="preserve">PSPD</w:t>
            </w:r>
          </w:p>
        </w:tc>
        <w:tc>
          <w:tcPr>
            <w:tcW w:type="dxa" w:w="1680"/>
            <w:tcBorders>
              <w:top w:val="single" w:color="DDDBCF" w:sz="4"/>
              <w:left w:val="single" w:color="DDDBCF" w:sz="4"/>
              <w:bottom w:val="single" w:color="DDDBCF" w:sz="4"/>
              <w:right w:val="single" w:color="DDDBCF" w:sz="4"/>
            </w:tcBorders>
            <w:tcMar>
              <w:top w:type="dxa" w:w="60"/>
              <w:left w:type="dxa" w:w="100"/>
              <w:bottom w:type="dxa" w:w="60"/>
              <w:right w:type="dxa" w:w="100"/>
            </w:tcMar>
          </w:tcPr>
          <w:p>
            <w:pPr>
              <w:jc w:val="right"/>
            </w:pPr>
            <w:r>
              <w:rPr>
                <w:rFonts w:ascii="Courier New" w:cs="Courier New" w:eastAsia="Courier New" w:hAnsi="Courier New"/>
                <w:color w:val="1a1816"/>
                <w:sz w:val="18"/>
                <w:szCs w:val="18"/>
              </w:rPr>
              <w:t xml:space="preserve">₹24,691/day</w:t>
            </w:r>
          </w:p>
        </w:tc>
        <w:tc>
          <w:tcPr>
            <w:tcW w:type="dxa" w:w="1680"/>
            <w:tcBorders>
              <w:top w:val="single" w:color="DDDBCF" w:sz="4"/>
              <w:left w:val="single" w:color="DDDBCF" w:sz="4"/>
              <w:bottom w:val="single" w:color="DDDBCF" w:sz="4"/>
              <w:right w:val="single" w:color="DDDBCF" w:sz="4"/>
            </w:tcBorders>
            <w:tcMar>
              <w:top w:type="dxa" w:w="60"/>
              <w:left w:type="dxa" w:w="100"/>
              <w:bottom w:type="dxa" w:w="60"/>
              <w:right w:type="dxa" w:w="100"/>
            </w:tcMar>
          </w:tcPr>
          <w:p>
            <w:pPr>
              <w:jc w:val="right"/>
            </w:pPr>
            <w:r>
              <w:rPr>
                <w:rFonts w:ascii="Courier New" w:cs="Courier New" w:eastAsia="Courier New" w:hAnsi="Courier New"/>
                <w:color w:val="555248"/>
                <w:sz w:val="18"/>
                <w:szCs w:val="18"/>
              </w:rPr>
              <w:t xml:space="preserve">₹20,985/day</w:t>
            </w:r>
          </w:p>
        </w:tc>
        <w:tc>
          <w:tcPr>
            <w:tcW w:type="dxa" w:w="1200"/>
            <w:tcBorders>
              <w:top w:val="single" w:color="DDDBCF" w:sz="4"/>
              <w:left w:val="single" w:color="DDDBCF" w:sz="4"/>
              <w:bottom w:val="single" w:color="DDDBCF" w:sz="4"/>
              <w:right w:val="single" w:color="DDDBCF" w:sz="4"/>
            </w:tcBorders>
            <w:tcMar>
              <w:top w:type="dxa" w:w="60"/>
              <w:left w:type="dxa" w:w="100"/>
              <w:bottom w:type="dxa" w:w="60"/>
              <w:right w:type="dxa" w:w="100"/>
            </w:tcMar>
          </w:tcPr>
          <w:p>
            <w:pPr>
              <w:jc w:val="right"/>
            </w:pPr>
            <w:r>
              <w:rPr>
                <w:rFonts w:ascii="Courier New" w:cs="Courier New" w:eastAsia="Courier New" w:hAnsi="Courier New"/>
                <w:b/>
                <w:bCs/>
                <w:color w:val="2E7D32"/>
                <w:sz w:val="18"/>
                <w:szCs w:val="18"/>
              </w:rPr>
              <w:t xml:space="preserve">+17.7%</w:t>
            </w:r>
          </w:p>
        </w:tc>
        <w:tc>
          <w:tcPr>
            <w:tcW w:type="dxa" w:w="1400"/>
            <w:tcBorders>
              <w:top w:val="single" w:color="DDDBCF" w:sz="4"/>
              <w:left w:val="single" w:color="DDDBCF" w:sz="4"/>
              <w:bottom w:val="single" w:color="DDDBCF" w:sz="4"/>
              <w:right w:val="single" w:color="DDDBCF" w:sz="4"/>
            </w:tcBorders>
            <w:tcMar>
              <w:top w:type="dxa" w:w="60"/>
              <w:left w:type="dxa" w:w="100"/>
              <w:bottom w:type="dxa" w:w="60"/>
              <w:right w:type="dxa" w:w="100"/>
            </w:tcMar>
          </w:tcPr>
          <w:p>
            <w:pPr>
              <w:jc w:val="center"/>
            </w:pPr>
            <w:r>
              <w:rPr>
                <w:rFonts w:ascii="Calibri" w:cs="Calibri" w:eastAsia="Calibri" w:hAnsi="Calibri"/>
                <w:b/>
                <w:bCs/>
                <w:color w:val="2E7D32"/>
                <w:sz w:val="17"/>
                <w:szCs w:val="17"/>
              </w:rPr>
              <w:t xml:space="preserve">Healthy</w:t>
            </w:r>
          </w:p>
        </w:tc>
      </w:tr>
      <w:tr>
        <w:tc>
          <w:tcPr>
            <w:tcW w:type="dxa" w:w="2200"/>
            <w:tcBorders>
              <w:top w:val="single" w:color="DDDBCF" w:sz="4"/>
              <w:left w:val="single" w:color="DDDBCF" w:sz="4"/>
              <w:bottom w:val="single" w:color="DDDBCF" w:sz="4"/>
              <w:right w:val="single" w:color="DDDBCF" w:sz="4"/>
            </w:tcBorders>
            <w:tcMar>
              <w:top w:type="dxa" w:w="60"/>
              <w:left w:type="dxa" w:w="100"/>
              <w:bottom w:type="dxa" w:w="60"/>
              <w:right w:type="dxa" w:w="100"/>
            </w:tcMar>
          </w:tcPr>
          <w:p>
            <w:r>
              <w:rPr>
                <w:rFonts w:ascii="Calibri" w:cs="Calibri" w:eastAsia="Calibri" w:hAnsi="Calibri"/>
                <w:b/>
                <w:bCs/>
                <w:color w:val="1a1816"/>
                <w:sz w:val="18"/>
                <w:szCs w:val="18"/>
              </w:rPr>
              <w:t xml:space="preserve">ET Wait Time</w:t>
            </w:r>
          </w:p>
        </w:tc>
        <w:tc>
          <w:tcPr>
            <w:tcW w:type="dxa" w:w="1680"/>
            <w:tcBorders>
              <w:top w:val="single" w:color="DDDBCF" w:sz="4"/>
              <w:left w:val="single" w:color="DDDBCF" w:sz="4"/>
              <w:bottom w:val="single" w:color="DDDBCF" w:sz="4"/>
              <w:right w:val="single" w:color="DDDBCF" w:sz="4"/>
            </w:tcBorders>
            <w:tcMar>
              <w:top w:type="dxa" w:w="60"/>
              <w:left w:type="dxa" w:w="100"/>
              <w:bottom w:type="dxa" w:w="60"/>
              <w:right w:type="dxa" w:w="100"/>
            </w:tcMar>
          </w:tcPr>
          <w:p>
            <w:pPr>
              <w:jc w:val="right"/>
            </w:pPr>
            <w:r>
              <w:rPr>
                <w:rFonts w:ascii="Courier New" w:cs="Courier New" w:eastAsia="Courier New" w:hAnsi="Courier New"/>
                <w:color w:val="1a1816"/>
                <w:sz w:val="18"/>
                <w:szCs w:val="18"/>
              </w:rPr>
              <w:t xml:space="preserve">4.18 min</w:t>
            </w:r>
          </w:p>
        </w:tc>
        <w:tc>
          <w:tcPr>
            <w:tcW w:type="dxa" w:w="1680"/>
            <w:tcBorders>
              <w:top w:val="single" w:color="DDDBCF" w:sz="4"/>
              <w:left w:val="single" w:color="DDDBCF" w:sz="4"/>
              <w:bottom w:val="single" w:color="DDDBCF" w:sz="4"/>
              <w:right w:val="single" w:color="DDDBCF" w:sz="4"/>
            </w:tcBorders>
            <w:tcMar>
              <w:top w:type="dxa" w:w="60"/>
              <w:left w:type="dxa" w:w="100"/>
              <w:bottom w:type="dxa" w:w="60"/>
              <w:right w:type="dxa" w:w="100"/>
            </w:tcMar>
          </w:tcPr>
          <w:p>
            <w:pPr>
              <w:jc w:val="right"/>
            </w:pPr>
            <w:r>
              <w:rPr>
                <w:rFonts w:ascii="Courier New" w:cs="Courier New" w:eastAsia="Courier New" w:hAnsi="Courier New"/>
                <w:color w:val="555248"/>
                <w:sz w:val="18"/>
                <w:szCs w:val="18"/>
              </w:rPr>
              <w:t xml:space="preserve">3.85 min</w:t>
            </w:r>
          </w:p>
        </w:tc>
        <w:tc>
          <w:tcPr>
            <w:tcW w:type="dxa" w:w="1200"/>
            <w:tcBorders>
              <w:top w:val="single" w:color="DDDBCF" w:sz="4"/>
              <w:left w:val="single" w:color="DDDBCF" w:sz="4"/>
              <w:bottom w:val="single" w:color="DDDBCF" w:sz="4"/>
              <w:right w:val="single" w:color="DDDBCF" w:sz="4"/>
            </w:tcBorders>
            <w:tcMar>
              <w:top w:type="dxa" w:w="60"/>
              <w:left w:type="dxa" w:w="100"/>
              <w:bottom w:type="dxa" w:w="60"/>
              <w:right w:type="dxa" w:w="100"/>
            </w:tcMar>
          </w:tcPr>
          <w:p>
            <w:pPr>
              <w:jc w:val="right"/>
            </w:pPr>
            <w:r>
              <w:rPr>
                <w:rFonts w:ascii="Courier New" w:cs="Courier New" w:eastAsia="Courier New" w:hAnsi="Courier New"/>
                <w:b/>
                <w:bCs/>
                <w:color w:val="2E7D32"/>
                <w:sz w:val="18"/>
                <w:szCs w:val="18"/>
              </w:rPr>
              <w:t xml:space="preserve">+8.8%</w:t>
            </w:r>
          </w:p>
        </w:tc>
        <w:tc>
          <w:tcPr>
            <w:tcW w:type="dxa" w:w="1400"/>
            <w:tcBorders>
              <w:top w:val="single" w:color="DDDBCF" w:sz="4"/>
              <w:left w:val="single" w:color="DDDBCF" w:sz="4"/>
              <w:bottom w:val="single" w:color="DDDBCF" w:sz="4"/>
              <w:right w:val="single" w:color="DDDBCF" w:sz="4"/>
            </w:tcBorders>
            <w:tcMar>
              <w:top w:type="dxa" w:w="60"/>
              <w:left w:type="dxa" w:w="100"/>
              <w:bottom w:type="dxa" w:w="60"/>
              <w:right w:type="dxa" w:w="100"/>
            </w:tcMar>
          </w:tcPr>
          <w:p>
            <w:pPr>
              <w:jc w:val="center"/>
            </w:pPr>
            <w:r>
              <w:rPr>
                <w:rFonts w:ascii="Calibri" w:cs="Calibri" w:eastAsia="Calibri" w:hAnsi="Calibri"/>
                <w:b/>
                <w:bCs/>
                <w:color w:val="B45309"/>
                <w:sz w:val="17"/>
                <w:szCs w:val="17"/>
              </w:rPr>
              <w:t xml:space="preserve">Watch</w:t>
            </w:r>
          </w:p>
        </w:tc>
      </w:tr>
      <w:tr>
        <w:tc>
          <w:tcPr>
            <w:tcW w:type="dxa" w:w="2200"/>
            <w:tcBorders>
              <w:top w:val="single" w:color="DDDBCF" w:sz="4"/>
              <w:left w:val="single" w:color="DDDBCF" w:sz="4"/>
              <w:bottom w:val="single" w:color="DDDBCF" w:sz="4"/>
              <w:right w:val="single" w:color="DDDBCF" w:sz="4"/>
            </w:tcBorders>
            <w:tcMar>
              <w:top w:type="dxa" w:w="60"/>
              <w:left w:type="dxa" w:w="100"/>
              <w:bottom w:type="dxa" w:w="60"/>
              <w:right w:type="dxa" w:w="100"/>
            </w:tcMar>
          </w:tcPr>
          <w:p>
            <w:r>
              <w:rPr>
                <w:rFonts w:ascii="Calibri" w:cs="Calibri" w:eastAsia="Calibri" w:hAnsi="Calibri"/>
                <w:b/>
                <w:bCs/>
                <w:color w:val="1a1816"/>
                <w:sz w:val="18"/>
                <w:szCs w:val="18"/>
              </w:rPr>
              <w:t xml:space="preserve">NOB per Staff</w:t>
            </w:r>
          </w:p>
        </w:tc>
        <w:tc>
          <w:tcPr>
            <w:tcW w:type="dxa" w:w="1680"/>
            <w:tcBorders>
              <w:top w:val="single" w:color="DDDBCF" w:sz="4"/>
              <w:left w:val="single" w:color="DDDBCF" w:sz="4"/>
              <w:bottom w:val="single" w:color="DDDBCF" w:sz="4"/>
              <w:right w:val="single" w:color="DDDBCF" w:sz="4"/>
            </w:tcBorders>
            <w:tcMar>
              <w:top w:type="dxa" w:w="60"/>
              <w:left w:type="dxa" w:w="100"/>
              <w:bottom w:type="dxa" w:w="60"/>
              <w:right w:type="dxa" w:w="100"/>
            </w:tcMar>
          </w:tcPr>
          <w:p>
            <w:pPr>
              <w:jc w:val="right"/>
            </w:pPr>
            <w:r>
              <w:rPr>
                <w:rFonts w:ascii="Courier New" w:cs="Courier New" w:eastAsia="Courier New" w:hAnsi="Courier New"/>
                <w:color w:val="1a1816"/>
                <w:sz w:val="18"/>
                <w:szCs w:val="18"/>
              </w:rPr>
              <w:t xml:space="preserve">3.84</w:t>
            </w:r>
          </w:p>
        </w:tc>
        <w:tc>
          <w:tcPr>
            <w:tcW w:type="dxa" w:w="1680"/>
            <w:tcBorders>
              <w:top w:val="single" w:color="DDDBCF" w:sz="4"/>
              <w:left w:val="single" w:color="DDDBCF" w:sz="4"/>
              <w:bottom w:val="single" w:color="DDDBCF" w:sz="4"/>
              <w:right w:val="single" w:color="DDDBCF" w:sz="4"/>
            </w:tcBorders>
            <w:tcMar>
              <w:top w:type="dxa" w:w="60"/>
              <w:left w:type="dxa" w:w="100"/>
              <w:bottom w:type="dxa" w:w="60"/>
              <w:right w:type="dxa" w:w="100"/>
            </w:tcMar>
          </w:tcPr>
          <w:p>
            <w:pPr>
              <w:jc w:val="right"/>
            </w:pPr>
            <w:r>
              <w:rPr>
                <w:rFonts w:ascii="Courier New" w:cs="Courier New" w:eastAsia="Courier New" w:hAnsi="Courier New"/>
                <w:color w:val="555248"/>
                <w:sz w:val="18"/>
                <w:szCs w:val="18"/>
              </w:rPr>
              <w:t xml:space="preserve">3.38</w:t>
            </w:r>
          </w:p>
        </w:tc>
        <w:tc>
          <w:tcPr>
            <w:tcW w:type="dxa" w:w="1200"/>
            <w:tcBorders>
              <w:top w:val="single" w:color="DDDBCF" w:sz="4"/>
              <w:left w:val="single" w:color="DDDBCF" w:sz="4"/>
              <w:bottom w:val="single" w:color="DDDBCF" w:sz="4"/>
              <w:right w:val="single" w:color="DDDBCF" w:sz="4"/>
            </w:tcBorders>
            <w:tcMar>
              <w:top w:type="dxa" w:w="60"/>
              <w:left w:type="dxa" w:w="100"/>
              <w:bottom w:type="dxa" w:w="60"/>
              <w:right w:type="dxa" w:w="100"/>
            </w:tcMar>
          </w:tcPr>
          <w:p>
            <w:pPr>
              <w:jc w:val="right"/>
            </w:pPr>
            <w:r>
              <w:rPr>
                <w:rFonts w:ascii="Courier New" w:cs="Courier New" w:eastAsia="Courier New" w:hAnsi="Courier New"/>
                <w:b/>
                <w:bCs/>
                <w:color w:val="2E7D32"/>
                <w:sz w:val="18"/>
                <w:szCs w:val="18"/>
              </w:rPr>
              <w:t xml:space="preserve">+13.5%</w:t>
            </w:r>
          </w:p>
        </w:tc>
        <w:tc>
          <w:tcPr>
            <w:tcW w:type="dxa" w:w="1400"/>
            <w:tcBorders>
              <w:top w:val="single" w:color="DDDBCF" w:sz="4"/>
              <w:left w:val="single" w:color="DDDBCF" w:sz="4"/>
              <w:bottom w:val="single" w:color="DDDBCF" w:sz="4"/>
              <w:right w:val="single" w:color="DDDBCF" w:sz="4"/>
            </w:tcBorders>
            <w:tcMar>
              <w:top w:type="dxa" w:w="60"/>
              <w:left w:type="dxa" w:w="100"/>
              <w:bottom w:type="dxa" w:w="60"/>
              <w:right w:type="dxa" w:w="100"/>
            </w:tcMar>
          </w:tcPr>
          <w:p>
            <w:pPr>
              <w:jc w:val="center"/>
            </w:pPr>
            <w:r>
              <w:rPr>
                <w:rFonts w:ascii="Calibri" w:cs="Calibri" w:eastAsia="Calibri" w:hAnsi="Calibri"/>
                <w:b/>
                <w:bCs/>
                <w:color w:val="2E7D32"/>
                <w:sz w:val="17"/>
                <w:szCs w:val="17"/>
              </w:rPr>
              <w:t xml:space="preserve">Healthy</w:t>
            </w:r>
          </w:p>
        </w:tc>
      </w:tr>
      <w:tr>
        <w:tc>
          <w:tcPr>
            <w:tcW w:type="dxa" w:w="2200"/>
            <w:tcBorders>
              <w:top w:val="single" w:color="DDDBCF" w:sz="4"/>
              <w:left w:val="single" w:color="DDDBCF" w:sz="4"/>
              <w:bottom w:val="single" w:color="DDDBCF" w:sz="4"/>
              <w:right w:val="single" w:color="DDDBCF" w:sz="4"/>
            </w:tcBorders>
            <w:tcMar>
              <w:top w:type="dxa" w:w="60"/>
              <w:left w:type="dxa" w:w="100"/>
              <w:bottom w:type="dxa" w:w="60"/>
              <w:right w:type="dxa" w:w="100"/>
            </w:tcMar>
          </w:tcPr>
          <w:p>
            <w:r>
              <w:rPr>
                <w:rFonts w:ascii="Calibri" w:cs="Calibri" w:eastAsia="Calibri" w:hAnsi="Calibri"/>
                <w:b/>
                <w:bCs/>
                <w:color w:val="1a1816"/>
                <w:sz w:val="18"/>
                <w:szCs w:val="18"/>
              </w:rPr>
              <w:t xml:space="preserve">UPT</w:t>
            </w:r>
          </w:p>
        </w:tc>
        <w:tc>
          <w:tcPr>
            <w:tcW w:type="dxa" w:w="1680"/>
            <w:tcBorders>
              <w:top w:val="single" w:color="DDDBCF" w:sz="4"/>
              <w:left w:val="single" w:color="DDDBCF" w:sz="4"/>
              <w:bottom w:val="single" w:color="DDDBCF" w:sz="4"/>
              <w:right w:val="single" w:color="DDDBCF" w:sz="4"/>
            </w:tcBorders>
            <w:tcMar>
              <w:top w:type="dxa" w:w="60"/>
              <w:left w:type="dxa" w:w="100"/>
              <w:bottom w:type="dxa" w:w="60"/>
              <w:right w:type="dxa" w:w="100"/>
            </w:tcMar>
          </w:tcPr>
          <w:p>
            <w:pPr>
              <w:jc w:val="right"/>
            </w:pPr>
            <w:r>
              <w:rPr>
                <w:rFonts w:ascii="Courier New" w:cs="Courier New" w:eastAsia="Courier New" w:hAnsi="Courier New"/>
                <w:color w:val="1a1816"/>
                <w:sz w:val="18"/>
                <w:szCs w:val="18"/>
              </w:rPr>
              <w:t xml:space="preserve">1.856</w:t>
            </w:r>
          </w:p>
        </w:tc>
        <w:tc>
          <w:tcPr>
            <w:tcW w:type="dxa" w:w="1680"/>
            <w:tcBorders>
              <w:top w:val="single" w:color="DDDBCF" w:sz="4"/>
              <w:left w:val="single" w:color="DDDBCF" w:sz="4"/>
              <w:bottom w:val="single" w:color="DDDBCF" w:sz="4"/>
              <w:right w:val="single" w:color="DDDBCF" w:sz="4"/>
            </w:tcBorders>
            <w:tcMar>
              <w:top w:type="dxa" w:w="60"/>
              <w:left w:type="dxa" w:w="100"/>
              <w:bottom w:type="dxa" w:w="60"/>
              <w:right w:type="dxa" w:w="100"/>
            </w:tcMar>
          </w:tcPr>
          <w:p>
            <w:pPr>
              <w:jc w:val="right"/>
            </w:pPr>
            <w:r>
              <w:rPr>
                <w:rFonts w:ascii="Courier New" w:cs="Courier New" w:eastAsia="Courier New" w:hAnsi="Courier New"/>
                <w:color w:val="555248"/>
                <w:sz w:val="18"/>
                <w:szCs w:val="18"/>
              </w:rPr>
              <w:t xml:space="preserve">1.761</w:t>
            </w:r>
          </w:p>
        </w:tc>
        <w:tc>
          <w:tcPr>
            <w:tcW w:type="dxa" w:w="1200"/>
            <w:tcBorders>
              <w:top w:val="single" w:color="DDDBCF" w:sz="4"/>
              <w:left w:val="single" w:color="DDDBCF" w:sz="4"/>
              <w:bottom w:val="single" w:color="DDDBCF" w:sz="4"/>
              <w:right w:val="single" w:color="DDDBCF" w:sz="4"/>
            </w:tcBorders>
            <w:tcMar>
              <w:top w:type="dxa" w:w="60"/>
              <w:left w:type="dxa" w:w="100"/>
              <w:bottom w:type="dxa" w:w="60"/>
              <w:right w:type="dxa" w:w="100"/>
            </w:tcMar>
          </w:tcPr>
          <w:p>
            <w:pPr>
              <w:jc w:val="right"/>
            </w:pPr>
            <w:r>
              <w:rPr>
                <w:rFonts w:ascii="Courier New" w:cs="Courier New" w:eastAsia="Courier New" w:hAnsi="Courier New"/>
                <w:b/>
                <w:bCs/>
                <w:color w:val="2E7D32"/>
                <w:sz w:val="18"/>
                <w:szCs w:val="18"/>
              </w:rPr>
              <w:t xml:space="preserve">+5.4%</w:t>
            </w:r>
          </w:p>
        </w:tc>
        <w:tc>
          <w:tcPr>
            <w:tcW w:type="dxa" w:w="1400"/>
            <w:tcBorders>
              <w:top w:val="single" w:color="DDDBCF" w:sz="4"/>
              <w:left w:val="single" w:color="DDDBCF" w:sz="4"/>
              <w:bottom w:val="single" w:color="DDDBCF" w:sz="4"/>
              <w:right w:val="single" w:color="DDDBCF" w:sz="4"/>
            </w:tcBorders>
            <w:tcMar>
              <w:top w:type="dxa" w:w="60"/>
              <w:left w:type="dxa" w:w="100"/>
              <w:bottom w:type="dxa" w:w="60"/>
              <w:right w:type="dxa" w:w="100"/>
            </w:tcMar>
          </w:tcPr>
          <w:p>
            <w:pPr>
              <w:jc w:val="center"/>
            </w:pPr>
            <w:r>
              <w:rPr>
                <w:rFonts w:ascii="Calibri" w:cs="Calibri" w:eastAsia="Calibri" w:hAnsi="Calibri"/>
                <w:b/>
                <w:bCs/>
                <w:color w:val="2E7D32"/>
                <w:sz w:val="17"/>
                <w:szCs w:val="17"/>
              </w:rPr>
              <w:t xml:space="preserve">Healthy</w:t>
            </w:r>
          </w:p>
        </w:tc>
      </w:tr>
      <w:tr>
        <w:tc>
          <w:tcPr>
            <w:tcW w:type="dxa" w:w="2200"/>
            <w:tcBorders>
              <w:top w:val="single" w:color="DDDBCF" w:sz="4"/>
              <w:left w:val="single" w:color="DDDBCF" w:sz="4"/>
              <w:bottom w:val="single" w:color="DDDBCF" w:sz="4"/>
              <w:right w:val="single" w:color="DDDBCF" w:sz="4"/>
            </w:tcBorders>
            <w:tcMar>
              <w:top w:type="dxa" w:w="60"/>
              <w:left w:type="dxa" w:w="100"/>
              <w:bottom w:type="dxa" w:w="60"/>
              <w:right w:type="dxa" w:w="100"/>
            </w:tcMar>
          </w:tcPr>
          <w:p>
            <w:r>
              <w:rPr>
                <w:rFonts w:ascii="Calibri" w:cs="Calibri" w:eastAsia="Calibri" w:hAnsi="Calibri"/>
                <w:b/>
                <w:bCs/>
                <w:color w:val="1a1816"/>
                <w:sz w:val="18"/>
                <w:szCs w:val="18"/>
              </w:rPr>
              <w:t xml:space="preserve">Net ASP</w:t>
            </w:r>
          </w:p>
        </w:tc>
        <w:tc>
          <w:tcPr>
            <w:tcW w:type="dxa" w:w="1680"/>
            <w:tcBorders>
              <w:top w:val="single" w:color="DDDBCF" w:sz="4"/>
              <w:left w:val="single" w:color="DDDBCF" w:sz="4"/>
              <w:bottom w:val="single" w:color="DDDBCF" w:sz="4"/>
              <w:right w:val="single" w:color="DDDBCF" w:sz="4"/>
            </w:tcBorders>
            <w:tcMar>
              <w:top w:type="dxa" w:w="60"/>
              <w:left w:type="dxa" w:w="100"/>
              <w:bottom w:type="dxa" w:w="60"/>
              <w:right w:type="dxa" w:w="100"/>
            </w:tcMar>
          </w:tcPr>
          <w:p>
            <w:pPr>
              <w:jc w:val="right"/>
            </w:pPr>
            <w:r>
              <w:rPr>
                <w:rFonts w:ascii="Courier New" w:cs="Courier New" w:eastAsia="Courier New" w:hAnsi="Courier New"/>
                <w:color w:val="1a1816"/>
                <w:sz w:val="18"/>
                <w:szCs w:val="18"/>
              </w:rPr>
              <w:t xml:space="preserve">₹1,660</w:t>
            </w:r>
          </w:p>
        </w:tc>
        <w:tc>
          <w:tcPr>
            <w:tcW w:type="dxa" w:w="1680"/>
            <w:tcBorders>
              <w:top w:val="single" w:color="DDDBCF" w:sz="4"/>
              <w:left w:val="single" w:color="DDDBCF" w:sz="4"/>
              <w:bottom w:val="single" w:color="DDDBCF" w:sz="4"/>
              <w:right w:val="single" w:color="DDDBCF" w:sz="4"/>
            </w:tcBorders>
            <w:tcMar>
              <w:top w:type="dxa" w:w="60"/>
              <w:left w:type="dxa" w:w="100"/>
              <w:bottom w:type="dxa" w:w="60"/>
              <w:right w:type="dxa" w:w="100"/>
            </w:tcMar>
          </w:tcPr>
          <w:p>
            <w:pPr>
              <w:jc w:val="right"/>
            </w:pPr>
            <w:r>
              <w:rPr>
                <w:rFonts w:ascii="Courier New" w:cs="Courier New" w:eastAsia="Courier New" w:hAnsi="Courier New"/>
                <w:color w:val="555248"/>
                <w:sz w:val="18"/>
                <w:szCs w:val="18"/>
              </w:rPr>
              <w:t xml:space="preserve">₹1,657</w:t>
            </w:r>
          </w:p>
        </w:tc>
        <w:tc>
          <w:tcPr>
            <w:tcW w:type="dxa" w:w="1200"/>
            <w:tcBorders>
              <w:top w:val="single" w:color="DDDBCF" w:sz="4"/>
              <w:left w:val="single" w:color="DDDBCF" w:sz="4"/>
              <w:bottom w:val="single" w:color="DDDBCF" w:sz="4"/>
              <w:right w:val="single" w:color="DDDBCF" w:sz="4"/>
            </w:tcBorders>
            <w:tcMar>
              <w:top w:type="dxa" w:w="60"/>
              <w:left w:type="dxa" w:w="100"/>
              <w:bottom w:type="dxa" w:w="60"/>
              <w:right w:type="dxa" w:w="100"/>
            </w:tcMar>
          </w:tcPr>
          <w:p>
            <w:pPr>
              <w:jc w:val="right"/>
            </w:pPr>
            <w:r>
              <w:rPr>
                <w:rFonts w:ascii="Courier New" w:cs="Courier New" w:eastAsia="Courier New" w:hAnsi="Courier New"/>
                <w:b/>
                <w:bCs/>
                <w:color w:val="2E7D32"/>
                <w:sz w:val="18"/>
                <w:szCs w:val="18"/>
              </w:rPr>
              <w:t xml:space="preserve">+0.2%</w:t>
            </w:r>
          </w:p>
        </w:tc>
        <w:tc>
          <w:tcPr>
            <w:tcW w:type="dxa" w:w="1400"/>
            <w:tcBorders>
              <w:top w:val="single" w:color="DDDBCF" w:sz="4"/>
              <w:left w:val="single" w:color="DDDBCF" w:sz="4"/>
              <w:bottom w:val="single" w:color="DDDBCF" w:sz="4"/>
              <w:right w:val="single" w:color="DDDBCF" w:sz="4"/>
            </w:tcBorders>
            <w:tcMar>
              <w:top w:type="dxa" w:w="60"/>
              <w:left w:type="dxa" w:w="100"/>
              <w:bottom w:type="dxa" w:w="60"/>
              <w:right w:type="dxa" w:w="100"/>
            </w:tcMar>
          </w:tcPr>
          <w:p>
            <w:pPr>
              <w:jc w:val="center"/>
            </w:pPr>
            <w:r>
              <w:rPr>
                <w:rFonts w:ascii="Calibri" w:cs="Calibri" w:eastAsia="Calibri" w:hAnsi="Calibri"/>
                <w:b/>
                <w:bCs/>
                <w:color w:val="0E5A6F"/>
                <w:sz w:val="17"/>
                <w:szCs w:val="17"/>
              </w:rPr>
              <w:t xml:space="preserve">On track</w:t>
            </w:r>
          </w:p>
        </w:tc>
      </w:tr>
      <w:tr>
        <w:tc>
          <w:tcPr>
            <w:tcW w:type="dxa" w:w="2200"/>
            <w:tcBorders>
              <w:top w:val="single" w:color="DDDBCF" w:sz="4"/>
              <w:left w:val="single" w:color="DDDBCF" w:sz="4"/>
              <w:bottom w:val="single" w:color="DDDBCF" w:sz="4"/>
              <w:right w:val="single" w:color="DDDBCF" w:sz="4"/>
            </w:tcBorders>
            <w:tcMar>
              <w:top w:type="dxa" w:w="60"/>
              <w:left w:type="dxa" w:w="100"/>
              <w:bottom w:type="dxa" w:w="60"/>
              <w:right w:type="dxa" w:w="100"/>
            </w:tcMar>
          </w:tcPr>
          <w:p>
            <w:r>
              <w:rPr>
                <w:rFonts w:ascii="Calibri" w:cs="Calibri" w:eastAsia="Calibri" w:hAnsi="Calibri"/>
                <w:b/>
                <w:bCs/>
                <w:color w:val="1a1816"/>
                <w:sz w:val="18"/>
                <w:szCs w:val="18"/>
              </w:rPr>
              <w:t xml:space="preserve">Progressive share</w:t>
            </w:r>
          </w:p>
        </w:tc>
        <w:tc>
          <w:tcPr>
            <w:tcW w:type="dxa" w:w="1680"/>
            <w:tcBorders>
              <w:top w:val="single" w:color="DDDBCF" w:sz="4"/>
              <w:left w:val="single" w:color="DDDBCF" w:sz="4"/>
              <w:bottom w:val="single" w:color="DDDBCF" w:sz="4"/>
              <w:right w:val="single" w:color="DDDBCF" w:sz="4"/>
            </w:tcBorders>
            <w:tcMar>
              <w:top w:type="dxa" w:w="60"/>
              <w:left w:type="dxa" w:w="100"/>
              <w:bottom w:type="dxa" w:w="60"/>
              <w:right w:type="dxa" w:w="100"/>
            </w:tcMar>
          </w:tcPr>
          <w:p>
            <w:pPr>
              <w:jc w:val="right"/>
            </w:pPr>
            <w:r>
              <w:rPr>
                <w:rFonts w:ascii="Courier New" w:cs="Courier New" w:eastAsia="Courier New" w:hAnsi="Courier New"/>
                <w:color w:val="1a1816"/>
                <w:sz w:val="18"/>
                <w:szCs w:val="18"/>
              </w:rPr>
              <w:t xml:space="preserve">27.36%</w:t>
            </w:r>
          </w:p>
        </w:tc>
        <w:tc>
          <w:tcPr>
            <w:tcW w:type="dxa" w:w="1680"/>
            <w:tcBorders>
              <w:top w:val="single" w:color="DDDBCF" w:sz="4"/>
              <w:left w:val="single" w:color="DDDBCF" w:sz="4"/>
              <w:bottom w:val="single" w:color="DDDBCF" w:sz="4"/>
              <w:right w:val="single" w:color="DDDBCF" w:sz="4"/>
            </w:tcBorders>
            <w:tcMar>
              <w:top w:type="dxa" w:w="60"/>
              <w:left w:type="dxa" w:w="100"/>
              <w:bottom w:type="dxa" w:w="60"/>
              <w:right w:type="dxa" w:w="100"/>
            </w:tcMar>
          </w:tcPr>
          <w:p>
            <w:pPr>
              <w:jc w:val="right"/>
            </w:pPr>
            <w:r>
              <w:rPr>
                <w:rFonts w:ascii="Courier New" w:cs="Courier New" w:eastAsia="Courier New" w:hAnsi="Courier New"/>
                <w:color w:val="555248"/>
                <w:sz w:val="18"/>
                <w:szCs w:val="18"/>
              </w:rPr>
              <w:t xml:space="preserve">28.47%</w:t>
            </w:r>
          </w:p>
        </w:tc>
        <w:tc>
          <w:tcPr>
            <w:tcW w:type="dxa" w:w="1200"/>
            <w:tcBorders>
              <w:top w:val="single" w:color="DDDBCF" w:sz="4"/>
              <w:left w:val="single" w:color="DDDBCF" w:sz="4"/>
              <w:bottom w:val="single" w:color="DDDBCF" w:sz="4"/>
              <w:right w:val="single" w:color="DDDBCF" w:sz="4"/>
            </w:tcBorders>
            <w:tcMar>
              <w:top w:type="dxa" w:w="60"/>
              <w:left w:type="dxa" w:w="100"/>
              <w:bottom w:type="dxa" w:w="60"/>
              <w:right w:type="dxa" w:w="100"/>
            </w:tcMar>
          </w:tcPr>
          <w:p>
            <w:pPr>
              <w:jc w:val="right"/>
            </w:pPr>
            <w:r>
              <w:rPr>
                <w:rFonts w:ascii="Courier New" w:cs="Courier New" w:eastAsia="Courier New" w:hAnsi="Courier New"/>
                <w:b/>
                <w:bCs/>
                <w:color w:val="B84040"/>
                <w:sz w:val="18"/>
                <w:szCs w:val="18"/>
              </w:rPr>
              <w:t xml:space="preserve">−3.9%</w:t>
            </w:r>
          </w:p>
        </w:tc>
        <w:tc>
          <w:tcPr>
            <w:tcW w:type="dxa" w:w="1400"/>
            <w:tcBorders>
              <w:top w:val="single" w:color="DDDBCF" w:sz="4"/>
              <w:left w:val="single" w:color="DDDBCF" w:sz="4"/>
              <w:bottom w:val="single" w:color="DDDBCF" w:sz="4"/>
              <w:right w:val="single" w:color="DDDBCF" w:sz="4"/>
            </w:tcBorders>
            <w:tcMar>
              <w:top w:type="dxa" w:w="60"/>
              <w:left w:type="dxa" w:w="100"/>
              <w:bottom w:type="dxa" w:w="60"/>
              <w:right w:type="dxa" w:w="100"/>
            </w:tcMar>
          </w:tcPr>
          <w:p>
            <w:pPr>
              <w:jc w:val="center"/>
            </w:pPr>
            <w:r>
              <w:rPr>
                <w:rFonts w:ascii="Calibri" w:cs="Calibri" w:eastAsia="Calibri" w:hAnsi="Calibri"/>
                <w:b/>
                <w:bCs/>
                <w:color w:val="B45309"/>
                <w:sz w:val="17"/>
                <w:szCs w:val="17"/>
              </w:rPr>
              <w:t xml:space="preserve">Watch</w:t>
            </w:r>
          </w:p>
        </w:tc>
      </w:tr>
    </w:tbl>
    <w:p>
      <w:pPr>
        <w:spacing w:after="0" w:before="80"/>
      </w:pPr>
      <w:r>
        <w:t xml:space="preserve"/>
      </w:r>
    </w:p>
    <w:p>
      <w:pPr>
        <w:pBdr>
          <w:left w:val="single" w:color="2E7D32" w:sz="12" w:space="8"/>
        </w:pBdr>
        <w:shd w:fill="F7F5EE" w:val="clear"/>
        <w:spacing w:after="60" w:before="60"/>
        <w:ind w:left="360"/>
      </w:pPr>
      <w:r>
        <w:rPr>
          <w:rFonts w:ascii="Calibri" w:cs="Calibri" w:eastAsia="Calibri" w:hAnsi="Calibri"/>
          <w:i/>
          <w:iCs/>
          <w:color w:val="3a3830"/>
          <w:sz w:val="19"/>
          <w:szCs w:val="19"/>
        </w:rPr>
        <w:t xml:space="preserve">LKST1838 story: Revenue up 30.7% despite footfall down 31.2% — entirely conversion-driven. 768 walk-ins in March vs 1,117 in February but 62 more bills. Fragile: if conversion normalises, revenue collapses. Overall Score: 76/100 (Good). Revenue 92 | Ops 62 | Merch 83 | Infra 72.</w:t>
      </w:r>
    </w:p>
    <w:p>
      <w:pPr>
        <w:spacing w:after="0" w:before="120"/>
      </w:pPr>
      <w:r>
        <w:t xml:space="preserve"/>
      </w:r>
    </w:p>
    <w:p>
      <w:pPr>
        <w:pStyle w:val="Heading2"/>
        <w:spacing w:after="80" w:before="240"/>
      </w:pPr>
      <w:r>
        <w:rPr>
          <w:rFonts w:ascii="Calibri" w:cs="Calibri" w:eastAsia="Calibri" w:hAnsi="Calibri"/>
          <w:b/>
          <w:bCs/>
          <w:color w:val="1B3A6B"/>
          <w:sz w:val="22"/>
          <w:szCs w:val="22"/>
        </w:rPr>
        <w:t xml:space="preserve">7.2  LKST1781 — Delhi Chattarpur | Mar-26 vs Feb-26 (validated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60"/>
        <w:gridCol w:w="1560"/>
        <w:gridCol w:w="960"/>
        <w:gridCol w:w="1280"/>
        <w:gridCol w:w="1800"/>
      </w:tblGrid>
      <w:tr>
        <w:trPr>
          <w:tblHeader/>
        </w:trPr>
        <w:tc>
          <w:tcPr>
            <w:tcW w:type="dxa" w:w="2200"/>
            <w:tcBorders>
              <w:top w:val="single" w:color="1B3A6B" w:sz="6"/>
              <w:left w:val="single" w:color="1B3A6B" w:sz="6"/>
              <w:bottom w:val="single" w:color="1B3A6B" w:sz="6"/>
              <w:right w:val="single" w:color="1B3A6B" w:sz="6"/>
            </w:tcBorders>
            <w:shd w:fill="1B3A6B" w:val="clear"/>
            <w:tcMar>
              <w:top w:type="dxa" w:w="50"/>
              <w:left w:type="dxa" w:w="80"/>
              <w:bottom w:type="dxa" w:w="50"/>
              <w:right w:type="dxa" w:w="80"/>
            </w:tcMar>
          </w:tcPr>
          <w:p>
            <w:r>
              <w:rPr>
                <w:rFonts w:ascii="Calibri" w:cs="Calibri" w:eastAsia="Calibri" w:hAnsi="Calibri"/>
                <w:b/>
                <w:bCs/>
                <w:color w:val="FFFFFF"/>
                <w:sz w:val="16"/>
                <w:szCs w:val="16"/>
              </w:rPr>
              <w:t xml:space="preserve">KPI</w:t>
            </w:r>
          </w:p>
        </w:tc>
        <w:tc>
          <w:tcPr>
            <w:tcW w:type="dxa" w:w="1560"/>
            <w:tcBorders>
              <w:top w:val="single" w:color="1B3A6B" w:sz="6"/>
              <w:left w:val="single" w:color="1B3A6B" w:sz="6"/>
              <w:bottom w:val="single" w:color="1B3A6B" w:sz="6"/>
              <w:right w:val="single" w:color="1B3A6B" w:sz="6"/>
            </w:tcBorders>
            <w:shd w:fill="1B3A6B" w:val="clear"/>
            <w:tcMar>
              <w:top w:type="dxa" w:w="50"/>
              <w:left w:type="dxa" w:w="80"/>
              <w:bottom w:type="dxa" w:w="50"/>
              <w:right w:type="dxa" w:w="80"/>
            </w:tcMar>
          </w:tcPr>
          <w:p>
            <w:r>
              <w:rPr>
                <w:rFonts w:ascii="Calibri" w:cs="Calibri" w:eastAsia="Calibri" w:hAnsi="Calibri"/>
                <w:b/>
                <w:bCs/>
                <w:color w:val="FFFFFF"/>
                <w:sz w:val="16"/>
                <w:szCs w:val="16"/>
              </w:rPr>
              <w:t xml:space="preserve">Mar-26</w:t>
            </w:r>
          </w:p>
        </w:tc>
        <w:tc>
          <w:tcPr>
            <w:tcW w:type="dxa" w:w="1560"/>
            <w:tcBorders>
              <w:top w:val="single" w:color="1B3A6B" w:sz="6"/>
              <w:left w:val="single" w:color="1B3A6B" w:sz="6"/>
              <w:bottom w:val="single" w:color="1B3A6B" w:sz="6"/>
              <w:right w:val="single" w:color="1B3A6B" w:sz="6"/>
            </w:tcBorders>
            <w:shd w:fill="1B3A6B" w:val="clear"/>
            <w:tcMar>
              <w:top w:type="dxa" w:w="50"/>
              <w:left w:type="dxa" w:w="80"/>
              <w:bottom w:type="dxa" w:w="50"/>
              <w:right w:type="dxa" w:w="80"/>
            </w:tcMar>
          </w:tcPr>
          <w:p>
            <w:r>
              <w:rPr>
                <w:rFonts w:ascii="Calibri" w:cs="Calibri" w:eastAsia="Calibri" w:hAnsi="Calibri"/>
                <w:b/>
                <w:bCs/>
                <w:color w:val="FFFFFF"/>
                <w:sz w:val="16"/>
                <w:szCs w:val="16"/>
              </w:rPr>
              <w:t xml:space="preserve">Feb-26 (BM)</w:t>
            </w:r>
          </w:p>
        </w:tc>
        <w:tc>
          <w:tcPr>
            <w:tcW w:type="dxa" w:w="960"/>
            <w:tcBorders>
              <w:top w:val="single" w:color="1B3A6B" w:sz="6"/>
              <w:left w:val="single" w:color="1B3A6B" w:sz="6"/>
              <w:bottom w:val="single" w:color="1B3A6B" w:sz="6"/>
              <w:right w:val="single" w:color="1B3A6B" w:sz="6"/>
            </w:tcBorders>
            <w:shd w:fill="1B3A6B" w:val="clear"/>
            <w:tcMar>
              <w:top w:type="dxa" w:w="50"/>
              <w:left w:type="dxa" w:w="80"/>
              <w:bottom w:type="dxa" w:w="50"/>
              <w:right w:type="dxa" w:w="80"/>
            </w:tcMar>
          </w:tcPr>
          <w:p>
            <w:r>
              <w:rPr>
                <w:rFonts w:ascii="Calibri" w:cs="Calibri" w:eastAsia="Calibri" w:hAnsi="Calibri"/>
                <w:b/>
                <w:bCs/>
                <w:color w:val="FFFFFF"/>
                <w:sz w:val="16"/>
                <w:szCs w:val="16"/>
              </w:rPr>
              <w:t xml:space="preserve">Var %</w:t>
            </w:r>
          </w:p>
        </w:tc>
        <w:tc>
          <w:tcPr>
            <w:tcW w:type="dxa" w:w="1280"/>
            <w:tcBorders>
              <w:top w:val="single" w:color="1B3A6B" w:sz="6"/>
              <w:left w:val="single" w:color="1B3A6B" w:sz="6"/>
              <w:bottom w:val="single" w:color="1B3A6B" w:sz="6"/>
              <w:right w:val="single" w:color="1B3A6B" w:sz="6"/>
            </w:tcBorders>
            <w:shd w:fill="1B3A6B" w:val="clear"/>
            <w:tcMar>
              <w:top w:type="dxa" w:w="50"/>
              <w:left w:type="dxa" w:w="80"/>
              <w:bottom w:type="dxa" w:w="50"/>
              <w:right w:type="dxa" w:w="80"/>
            </w:tcMar>
          </w:tcPr>
          <w:p>
            <w:r>
              <w:rPr>
                <w:rFonts w:ascii="Calibri" w:cs="Calibri" w:eastAsia="Calibri" w:hAnsi="Calibri"/>
                <w:b/>
                <w:bCs/>
                <w:color w:val="FFFFFF"/>
                <w:sz w:val="16"/>
                <w:szCs w:val="16"/>
              </w:rPr>
              <w:t xml:space="preserve">Abs Δ</w:t>
            </w:r>
          </w:p>
        </w:tc>
        <w:tc>
          <w:tcPr>
            <w:tcW w:type="dxa" w:w="1800"/>
            <w:tcBorders>
              <w:top w:val="single" w:color="1B3A6B" w:sz="6"/>
              <w:left w:val="single" w:color="1B3A6B" w:sz="6"/>
              <w:bottom w:val="single" w:color="1B3A6B" w:sz="6"/>
              <w:right w:val="single" w:color="1B3A6B" w:sz="6"/>
            </w:tcBorders>
            <w:shd w:fill="1B3A6B" w:val="clear"/>
            <w:tcMar>
              <w:top w:type="dxa" w:w="50"/>
              <w:left w:type="dxa" w:w="80"/>
              <w:bottom w:type="dxa" w:w="50"/>
              <w:right w:type="dxa" w:w="80"/>
            </w:tcMar>
          </w:tcPr>
          <w:p>
            <w:r>
              <w:rPr>
                <w:rFonts w:ascii="Calibri" w:cs="Calibri" w:eastAsia="Calibri" w:hAnsi="Calibri"/>
                <w:b/>
                <w:bCs/>
                <w:color w:val="FFFFFF"/>
                <w:sz w:val="16"/>
                <w:szCs w:val="16"/>
              </w:rPr>
              <w:t xml:space="preserve">Status</w:t>
            </w:r>
          </w:p>
        </w:tc>
      </w:tr>
      <w:tr>
        <w:tc>
          <w:tcPr>
            <w:tcW w:type="dxa" w:w="2200"/>
            <w:tcBorders>
              <w:top w:val="single" w:color="DDDBCF" w:sz="4"/>
              <w:left w:val="single" w:color="DDDBCF" w:sz="4"/>
              <w:bottom w:val="single" w:color="DDDBCF" w:sz="4"/>
              <w:right w:val="single" w:color="DDDBCF" w:sz="4"/>
            </w:tcBorders>
            <w:tcMar>
              <w:top w:type="dxa" w:w="60"/>
              <w:left w:type="dxa" w:w="100"/>
              <w:bottom w:type="dxa" w:w="60"/>
              <w:right w:type="dxa" w:w="100"/>
            </w:tcMar>
          </w:tcPr>
          <w:p>
            <w:r>
              <w:rPr>
                <w:rFonts w:ascii="Calibri" w:cs="Calibri" w:eastAsia="Calibri" w:hAnsi="Calibri"/>
                <w:b/>
                <w:bCs/>
                <w:color w:val="1a1816"/>
                <w:sz w:val="18"/>
                <w:szCs w:val="18"/>
              </w:rPr>
              <w:t xml:space="preserve">Net Sales</w:t>
            </w:r>
          </w:p>
        </w:tc>
        <w:tc>
          <w:tcPr>
            <w:tcW w:type="dxa" w:w="1680"/>
            <w:tcBorders>
              <w:top w:val="single" w:color="DDDBCF" w:sz="4"/>
              <w:left w:val="single" w:color="DDDBCF" w:sz="4"/>
              <w:bottom w:val="single" w:color="DDDBCF" w:sz="4"/>
              <w:right w:val="single" w:color="DDDBCF" w:sz="4"/>
            </w:tcBorders>
            <w:tcMar>
              <w:top w:type="dxa" w:w="60"/>
              <w:left w:type="dxa" w:w="100"/>
              <w:bottom w:type="dxa" w:w="60"/>
              <w:right w:type="dxa" w:w="100"/>
            </w:tcMar>
          </w:tcPr>
          <w:p>
            <w:pPr>
              <w:jc w:val="right"/>
            </w:pPr>
            <w:r>
              <w:rPr>
                <w:rFonts w:ascii="Courier New" w:cs="Courier New" w:eastAsia="Courier New" w:hAnsi="Courier New"/>
                <w:color w:val="1a1816"/>
                <w:sz w:val="18"/>
                <w:szCs w:val="18"/>
              </w:rPr>
              <w:t xml:space="preserve">₹24,12,285</w:t>
            </w:r>
          </w:p>
        </w:tc>
        <w:tc>
          <w:tcPr>
            <w:tcW w:type="dxa" w:w="1680"/>
            <w:tcBorders>
              <w:top w:val="single" w:color="DDDBCF" w:sz="4"/>
              <w:left w:val="single" w:color="DDDBCF" w:sz="4"/>
              <w:bottom w:val="single" w:color="DDDBCF" w:sz="4"/>
              <w:right w:val="single" w:color="DDDBCF" w:sz="4"/>
            </w:tcBorders>
            <w:tcMar>
              <w:top w:type="dxa" w:w="60"/>
              <w:left w:type="dxa" w:w="100"/>
              <w:bottom w:type="dxa" w:w="60"/>
              <w:right w:type="dxa" w:w="100"/>
            </w:tcMar>
          </w:tcPr>
          <w:p>
            <w:pPr>
              <w:jc w:val="right"/>
            </w:pPr>
            <w:r>
              <w:rPr>
                <w:rFonts w:ascii="Courier New" w:cs="Courier New" w:eastAsia="Courier New" w:hAnsi="Courier New"/>
                <w:color w:val="555248"/>
                <w:sz w:val="18"/>
                <w:szCs w:val="18"/>
              </w:rPr>
              <w:t xml:space="preserve">₹24,66,219</w:t>
            </w:r>
          </w:p>
        </w:tc>
        <w:tc>
          <w:tcPr>
            <w:tcW w:type="dxa" w:w="1200"/>
            <w:tcBorders>
              <w:top w:val="single" w:color="DDDBCF" w:sz="4"/>
              <w:left w:val="single" w:color="DDDBCF" w:sz="4"/>
              <w:bottom w:val="single" w:color="DDDBCF" w:sz="4"/>
              <w:right w:val="single" w:color="DDDBCF" w:sz="4"/>
            </w:tcBorders>
            <w:tcMar>
              <w:top w:type="dxa" w:w="60"/>
              <w:left w:type="dxa" w:w="100"/>
              <w:bottom w:type="dxa" w:w="60"/>
              <w:right w:type="dxa" w:w="100"/>
            </w:tcMar>
          </w:tcPr>
          <w:p>
            <w:pPr>
              <w:jc w:val="right"/>
            </w:pPr>
            <w:r>
              <w:rPr>
                <w:rFonts w:ascii="Courier New" w:cs="Courier New" w:eastAsia="Courier New" w:hAnsi="Courier New"/>
                <w:b/>
                <w:bCs/>
                <w:color w:val="B84040"/>
                <w:sz w:val="18"/>
                <w:szCs w:val="18"/>
              </w:rPr>
              <w:t xml:space="preserve">−2.2%</w:t>
            </w:r>
          </w:p>
        </w:tc>
        <w:tc>
          <w:tcPr>
            <w:tcW w:type="dxa" w:w="1400"/>
            <w:tcBorders>
              <w:top w:val="single" w:color="DDDBCF" w:sz="4"/>
              <w:left w:val="single" w:color="DDDBCF" w:sz="4"/>
              <w:bottom w:val="single" w:color="DDDBCF" w:sz="4"/>
              <w:right w:val="single" w:color="DDDBCF" w:sz="4"/>
            </w:tcBorders>
            <w:tcMar>
              <w:top w:type="dxa" w:w="60"/>
              <w:left w:type="dxa" w:w="100"/>
              <w:bottom w:type="dxa" w:w="60"/>
              <w:right w:type="dxa" w:w="100"/>
            </w:tcMar>
          </w:tcPr>
          <w:p>
            <w:pPr>
              <w:jc w:val="center"/>
            </w:pPr>
            <w:r>
              <w:rPr>
                <w:rFonts w:ascii="Calibri" w:cs="Calibri" w:eastAsia="Calibri" w:hAnsi="Calibri"/>
                <w:b/>
                <w:bCs/>
                <w:color w:val="B45309"/>
                <w:sz w:val="17"/>
                <w:szCs w:val="17"/>
              </w:rPr>
              <w:t xml:space="preserve">Watch</w:t>
            </w:r>
          </w:p>
        </w:tc>
      </w:tr>
      <w:tr>
        <w:tc>
          <w:tcPr>
            <w:tcW w:type="dxa" w:w="2200"/>
            <w:tcBorders>
              <w:top w:val="single" w:color="DDDBCF" w:sz="4"/>
              <w:left w:val="single" w:color="DDDBCF" w:sz="4"/>
              <w:bottom w:val="single" w:color="DDDBCF" w:sz="4"/>
              <w:right w:val="single" w:color="DDDBCF" w:sz="4"/>
            </w:tcBorders>
            <w:tcMar>
              <w:top w:type="dxa" w:w="60"/>
              <w:left w:type="dxa" w:w="100"/>
              <w:bottom w:type="dxa" w:w="60"/>
              <w:right w:type="dxa" w:w="100"/>
            </w:tcMar>
          </w:tcPr>
          <w:p>
            <w:r>
              <w:rPr>
                <w:rFonts w:ascii="Calibri" w:cs="Calibri" w:eastAsia="Calibri" w:hAnsi="Calibri"/>
                <w:b/>
                <w:bCs/>
                <w:color w:val="1a1816"/>
                <w:sz w:val="18"/>
                <w:szCs w:val="18"/>
              </w:rPr>
              <w:t xml:space="preserve">Net Orders</w:t>
            </w:r>
          </w:p>
        </w:tc>
        <w:tc>
          <w:tcPr>
            <w:tcW w:type="dxa" w:w="1680"/>
            <w:tcBorders>
              <w:top w:val="single" w:color="DDDBCF" w:sz="4"/>
              <w:left w:val="single" w:color="DDDBCF" w:sz="4"/>
              <w:bottom w:val="single" w:color="DDDBCF" w:sz="4"/>
              <w:right w:val="single" w:color="DDDBCF" w:sz="4"/>
            </w:tcBorders>
            <w:tcMar>
              <w:top w:type="dxa" w:w="60"/>
              <w:left w:type="dxa" w:w="100"/>
              <w:bottom w:type="dxa" w:w="60"/>
              <w:right w:type="dxa" w:w="100"/>
            </w:tcMar>
          </w:tcPr>
          <w:p>
            <w:pPr>
              <w:jc w:val="right"/>
            </w:pPr>
            <w:r>
              <w:rPr>
                <w:rFonts w:ascii="Courier New" w:cs="Courier New" w:eastAsia="Courier New" w:hAnsi="Courier New"/>
                <w:color w:val="1a1816"/>
                <w:sz w:val="18"/>
                <w:szCs w:val="18"/>
              </w:rPr>
              <w:t xml:space="preserve">974.1</w:t>
            </w:r>
          </w:p>
        </w:tc>
        <w:tc>
          <w:tcPr>
            <w:tcW w:type="dxa" w:w="1680"/>
            <w:tcBorders>
              <w:top w:val="single" w:color="DDDBCF" w:sz="4"/>
              <w:left w:val="single" w:color="DDDBCF" w:sz="4"/>
              <w:bottom w:val="single" w:color="DDDBCF" w:sz="4"/>
              <w:right w:val="single" w:color="DDDBCF" w:sz="4"/>
            </w:tcBorders>
            <w:tcMar>
              <w:top w:type="dxa" w:w="60"/>
              <w:left w:type="dxa" w:w="100"/>
              <w:bottom w:type="dxa" w:w="60"/>
              <w:right w:type="dxa" w:w="100"/>
            </w:tcMar>
          </w:tcPr>
          <w:p>
            <w:pPr>
              <w:jc w:val="right"/>
            </w:pPr>
            <w:r>
              <w:rPr>
                <w:rFonts w:ascii="Courier New" w:cs="Courier New" w:eastAsia="Courier New" w:hAnsi="Courier New"/>
                <w:color w:val="555248"/>
                <w:sz w:val="18"/>
                <w:szCs w:val="18"/>
              </w:rPr>
              <w:t xml:space="preserve">939.3</w:t>
            </w:r>
          </w:p>
        </w:tc>
        <w:tc>
          <w:tcPr>
            <w:tcW w:type="dxa" w:w="1200"/>
            <w:tcBorders>
              <w:top w:val="single" w:color="DDDBCF" w:sz="4"/>
              <w:left w:val="single" w:color="DDDBCF" w:sz="4"/>
              <w:bottom w:val="single" w:color="DDDBCF" w:sz="4"/>
              <w:right w:val="single" w:color="DDDBCF" w:sz="4"/>
            </w:tcBorders>
            <w:tcMar>
              <w:top w:type="dxa" w:w="60"/>
              <w:left w:type="dxa" w:w="100"/>
              <w:bottom w:type="dxa" w:w="60"/>
              <w:right w:type="dxa" w:w="100"/>
            </w:tcMar>
          </w:tcPr>
          <w:p>
            <w:pPr>
              <w:jc w:val="right"/>
            </w:pPr>
            <w:r>
              <w:rPr>
                <w:rFonts w:ascii="Courier New" w:cs="Courier New" w:eastAsia="Courier New" w:hAnsi="Courier New"/>
                <w:b/>
                <w:bCs/>
                <w:color w:val="2E7D32"/>
                <w:sz w:val="18"/>
                <w:szCs w:val="18"/>
              </w:rPr>
              <w:t xml:space="preserve">+3.7%</w:t>
            </w:r>
          </w:p>
        </w:tc>
        <w:tc>
          <w:tcPr>
            <w:tcW w:type="dxa" w:w="1400"/>
            <w:tcBorders>
              <w:top w:val="single" w:color="DDDBCF" w:sz="4"/>
              <w:left w:val="single" w:color="DDDBCF" w:sz="4"/>
              <w:bottom w:val="single" w:color="DDDBCF" w:sz="4"/>
              <w:right w:val="single" w:color="DDDBCF" w:sz="4"/>
            </w:tcBorders>
            <w:tcMar>
              <w:top w:type="dxa" w:w="60"/>
              <w:left w:type="dxa" w:w="100"/>
              <w:bottom w:type="dxa" w:w="60"/>
              <w:right w:type="dxa" w:w="100"/>
            </w:tcMar>
          </w:tcPr>
          <w:p>
            <w:pPr>
              <w:jc w:val="center"/>
            </w:pPr>
            <w:r>
              <w:rPr>
                <w:rFonts w:ascii="Calibri" w:cs="Calibri" w:eastAsia="Calibri" w:hAnsi="Calibri"/>
                <w:b/>
                <w:bCs/>
                <w:color w:val="2E7D32"/>
                <w:sz w:val="17"/>
                <w:szCs w:val="17"/>
              </w:rPr>
              <w:t xml:space="preserve">Healthy</w:t>
            </w:r>
          </w:p>
        </w:tc>
      </w:tr>
      <w:tr>
        <w:tc>
          <w:tcPr>
            <w:tcW w:type="dxa" w:w="2200"/>
            <w:tcBorders>
              <w:top w:val="single" w:color="DDDBCF" w:sz="4"/>
              <w:left w:val="single" w:color="DDDBCF" w:sz="4"/>
              <w:bottom w:val="single" w:color="DDDBCF" w:sz="4"/>
              <w:right w:val="single" w:color="DDDBCF" w:sz="4"/>
            </w:tcBorders>
            <w:tcMar>
              <w:top w:type="dxa" w:w="60"/>
              <w:left w:type="dxa" w:w="100"/>
              <w:bottom w:type="dxa" w:w="60"/>
              <w:right w:type="dxa" w:w="100"/>
            </w:tcMar>
          </w:tcPr>
          <w:p>
            <w:r>
              <w:rPr>
                <w:rFonts w:ascii="Calibri" w:cs="Calibri" w:eastAsia="Calibri" w:hAnsi="Calibri"/>
                <w:b/>
                <w:bCs/>
                <w:color w:val="1a1816"/>
                <w:sz w:val="18"/>
                <w:szCs w:val="18"/>
              </w:rPr>
              <w:t xml:space="preserve">Footfall</w:t>
            </w:r>
          </w:p>
        </w:tc>
        <w:tc>
          <w:tcPr>
            <w:tcW w:type="dxa" w:w="1680"/>
            <w:tcBorders>
              <w:top w:val="single" w:color="DDDBCF" w:sz="4"/>
              <w:left w:val="single" w:color="DDDBCF" w:sz="4"/>
              <w:bottom w:val="single" w:color="DDDBCF" w:sz="4"/>
              <w:right w:val="single" w:color="DDDBCF" w:sz="4"/>
            </w:tcBorders>
            <w:tcMar>
              <w:top w:type="dxa" w:w="60"/>
              <w:left w:type="dxa" w:w="100"/>
              <w:bottom w:type="dxa" w:w="60"/>
              <w:right w:type="dxa" w:w="100"/>
            </w:tcMar>
          </w:tcPr>
          <w:p>
            <w:pPr>
              <w:jc w:val="right"/>
            </w:pPr>
            <w:r>
              <w:rPr>
                <w:rFonts w:ascii="Courier New" w:cs="Courier New" w:eastAsia="Courier New" w:hAnsi="Courier New"/>
                <w:color w:val="1a1816"/>
                <w:sz w:val="18"/>
                <w:szCs w:val="18"/>
              </w:rPr>
              <w:t xml:space="preserve">4,362</w:t>
            </w:r>
          </w:p>
        </w:tc>
        <w:tc>
          <w:tcPr>
            <w:tcW w:type="dxa" w:w="1680"/>
            <w:tcBorders>
              <w:top w:val="single" w:color="DDDBCF" w:sz="4"/>
              <w:left w:val="single" w:color="DDDBCF" w:sz="4"/>
              <w:bottom w:val="single" w:color="DDDBCF" w:sz="4"/>
              <w:right w:val="single" w:color="DDDBCF" w:sz="4"/>
            </w:tcBorders>
            <w:tcMar>
              <w:top w:type="dxa" w:w="60"/>
              <w:left w:type="dxa" w:w="100"/>
              <w:bottom w:type="dxa" w:w="60"/>
              <w:right w:type="dxa" w:w="100"/>
            </w:tcMar>
          </w:tcPr>
          <w:p>
            <w:pPr>
              <w:jc w:val="right"/>
            </w:pPr>
            <w:r>
              <w:rPr>
                <w:rFonts w:ascii="Courier New" w:cs="Courier New" w:eastAsia="Courier New" w:hAnsi="Courier New"/>
                <w:color w:val="555248"/>
                <w:sz w:val="18"/>
                <w:szCs w:val="18"/>
              </w:rPr>
              <w:t xml:space="preserve">4,278</w:t>
            </w:r>
          </w:p>
        </w:tc>
        <w:tc>
          <w:tcPr>
            <w:tcW w:type="dxa" w:w="1200"/>
            <w:tcBorders>
              <w:top w:val="single" w:color="DDDBCF" w:sz="4"/>
              <w:left w:val="single" w:color="DDDBCF" w:sz="4"/>
              <w:bottom w:val="single" w:color="DDDBCF" w:sz="4"/>
              <w:right w:val="single" w:color="DDDBCF" w:sz="4"/>
            </w:tcBorders>
            <w:tcMar>
              <w:top w:type="dxa" w:w="60"/>
              <w:left w:type="dxa" w:w="100"/>
              <w:bottom w:type="dxa" w:w="60"/>
              <w:right w:type="dxa" w:w="100"/>
            </w:tcMar>
          </w:tcPr>
          <w:p>
            <w:pPr>
              <w:jc w:val="right"/>
            </w:pPr>
            <w:r>
              <w:rPr>
                <w:rFonts w:ascii="Courier New" w:cs="Courier New" w:eastAsia="Courier New" w:hAnsi="Courier New"/>
                <w:b/>
                <w:bCs/>
                <w:color w:val="2E7D32"/>
                <w:sz w:val="18"/>
                <w:szCs w:val="18"/>
              </w:rPr>
              <w:t xml:space="preserve">+2.0%</w:t>
            </w:r>
          </w:p>
        </w:tc>
        <w:tc>
          <w:tcPr>
            <w:tcW w:type="dxa" w:w="1400"/>
            <w:tcBorders>
              <w:top w:val="single" w:color="DDDBCF" w:sz="4"/>
              <w:left w:val="single" w:color="DDDBCF" w:sz="4"/>
              <w:bottom w:val="single" w:color="DDDBCF" w:sz="4"/>
              <w:right w:val="single" w:color="DDDBCF" w:sz="4"/>
            </w:tcBorders>
            <w:tcMar>
              <w:top w:type="dxa" w:w="60"/>
              <w:left w:type="dxa" w:w="100"/>
              <w:bottom w:type="dxa" w:w="60"/>
              <w:right w:type="dxa" w:w="100"/>
            </w:tcMar>
          </w:tcPr>
          <w:p>
            <w:pPr>
              <w:jc w:val="center"/>
            </w:pPr>
            <w:r>
              <w:rPr>
                <w:rFonts w:ascii="Calibri" w:cs="Calibri" w:eastAsia="Calibri" w:hAnsi="Calibri"/>
                <w:b/>
                <w:bCs/>
                <w:color w:val="0E5A6F"/>
                <w:sz w:val="17"/>
                <w:szCs w:val="17"/>
              </w:rPr>
              <w:t xml:space="preserve">On track</w:t>
            </w:r>
          </w:p>
        </w:tc>
      </w:tr>
      <w:tr>
        <w:tc>
          <w:tcPr>
            <w:tcW w:type="dxa" w:w="2200"/>
            <w:tcBorders>
              <w:top w:val="single" w:color="DDDBCF" w:sz="4"/>
              <w:left w:val="single" w:color="DDDBCF" w:sz="4"/>
              <w:bottom w:val="single" w:color="DDDBCF" w:sz="4"/>
              <w:right w:val="single" w:color="DDDBCF" w:sz="4"/>
            </w:tcBorders>
            <w:tcMar>
              <w:top w:type="dxa" w:w="60"/>
              <w:left w:type="dxa" w:w="100"/>
              <w:bottom w:type="dxa" w:w="60"/>
              <w:right w:type="dxa" w:w="100"/>
            </w:tcMar>
          </w:tcPr>
          <w:p>
            <w:r>
              <w:rPr>
                <w:rFonts w:ascii="Calibri" w:cs="Calibri" w:eastAsia="Calibri" w:hAnsi="Calibri"/>
                <w:b/>
                <w:bCs/>
                <w:color w:val="1a1816"/>
                <w:sz w:val="18"/>
                <w:szCs w:val="18"/>
              </w:rPr>
              <w:t xml:space="preserve">Conversion %</w:t>
            </w:r>
          </w:p>
        </w:tc>
        <w:tc>
          <w:tcPr>
            <w:tcW w:type="dxa" w:w="1680"/>
            <w:tcBorders>
              <w:top w:val="single" w:color="DDDBCF" w:sz="4"/>
              <w:left w:val="single" w:color="DDDBCF" w:sz="4"/>
              <w:bottom w:val="single" w:color="DDDBCF" w:sz="4"/>
              <w:right w:val="single" w:color="DDDBCF" w:sz="4"/>
            </w:tcBorders>
            <w:tcMar>
              <w:top w:type="dxa" w:w="60"/>
              <w:left w:type="dxa" w:w="100"/>
              <w:bottom w:type="dxa" w:w="60"/>
              <w:right w:type="dxa" w:w="100"/>
            </w:tcMar>
          </w:tcPr>
          <w:p>
            <w:pPr>
              <w:jc w:val="right"/>
            </w:pPr>
            <w:r>
              <w:rPr>
                <w:rFonts w:ascii="Courier New" w:cs="Courier New" w:eastAsia="Courier New" w:hAnsi="Courier New"/>
                <w:color w:val="1a1816"/>
                <w:sz w:val="18"/>
                <w:szCs w:val="18"/>
              </w:rPr>
              <w:t xml:space="preserve">22.33%</w:t>
            </w:r>
          </w:p>
        </w:tc>
        <w:tc>
          <w:tcPr>
            <w:tcW w:type="dxa" w:w="1680"/>
            <w:tcBorders>
              <w:top w:val="single" w:color="DDDBCF" w:sz="4"/>
              <w:left w:val="single" w:color="DDDBCF" w:sz="4"/>
              <w:bottom w:val="single" w:color="DDDBCF" w:sz="4"/>
              <w:right w:val="single" w:color="DDDBCF" w:sz="4"/>
            </w:tcBorders>
            <w:tcMar>
              <w:top w:type="dxa" w:w="60"/>
              <w:left w:type="dxa" w:w="100"/>
              <w:bottom w:type="dxa" w:w="60"/>
              <w:right w:type="dxa" w:w="100"/>
            </w:tcMar>
          </w:tcPr>
          <w:p>
            <w:pPr>
              <w:jc w:val="right"/>
            </w:pPr>
            <w:r>
              <w:rPr>
                <w:rFonts w:ascii="Courier New" w:cs="Courier New" w:eastAsia="Courier New" w:hAnsi="Courier New"/>
                <w:color w:val="555248"/>
                <w:sz w:val="18"/>
                <w:szCs w:val="18"/>
              </w:rPr>
              <w:t xml:space="preserve">21.96%</w:t>
            </w:r>
          </w:p>
        </w:tc>
        <w:tc>
          <w:tcPr>
            <w:tcW w:type="dxa" w:w="1200"/>
            <w:tcBorders>
              <w:top w:val="single" w:color="DDDBCF" w:sz="4"/>
              <w:left w:val="single" w:color="DDDBCF" w:sz="4"/>
              <w:bottom w:val="single" w:color="DDDBCF" w:sz="4"/>
              <w:right w:val="single" w:color="DDDBCF" w:sz="4"/>
            </w:tcBorders>
            <w:tcMar>
              <w:top w:type="dxa" w:w="60"/>
              <w:left w:type="dxa" w:w="100"/>
              <w:bottom w:type="dxa" w:w="60"/>
              <w:right w:type="dxa" w:w="100"/>
            </w:tcMar>
          </w:tcPr>
          <w:p>
            <w:pPr>
              <w:jc w:val="right"/>
            </w:pPr>
            <w:r>
              <w:rPr>
                <w:rFonts w:ascii="Courier New" w:cs="Courier New" w:eastAsia="Courier New" w:hAnsi="Courier New"/>
                <w:b/>
                <w:bCs/>
                <w:color w:val="2E7D32"/>
                <w:sz w:val="18"/>
                <w:szCs w:val="18"/>
              </w:rPr>
              <w:t xml:space="preserve">+1.7%</w:t>
            </w:r>
          </w:p>
        </w:tc>
        <w:tc>
          <w:tcPr>
            <w:tcW w:type="dxa" w:w="1400"/>
            <w:tcBorders>
              <w:top w:val="single" w:color="DDDBCF" w:sz="4"/>
              <w:left w:val="single" w:color="DDDBCF" w:sz="4"/>
              <w:bottom w:val="single" w:color="DDDBCF" w:sz="4"/>
              <w:right w:val="single" w:color="DDDBCF" w:sz="4"/>
            </w:tcBorders>
            <w:tcMar>
              <w:top w:type="dxa" w:w="60"/>
              <w:left w:type="dxa" w:w="100"/>
              <w:bottom w:type="dxa" w:w="60"/>
              <w:right w:type="dxa" w:w="100"/>
            </w:tcMar>
          </w:tcPr>
          <w:p>
            <w:pPr>
              <w:jc w:val="center"/>
            </w:pPr>
            <w:r>
              <w:rPr>
                <w:rFonts w:ascii="Calibri" w:cs="Calibri" w:eastAsia="Calibri" w:hAnsi="Calibri"/>
                <w:b/>
                <w:bCs/>
                <w:color w:val="0E5A6F"/>
                <w:sz w:val="17"/>
                <w:szCs w:val="17"/>
              </w:rPr>
              <w:t xml:space="preserve">On track</w:t>
            </w:r>
          </w:p>
        </w:tc>
      </w:tr>
      <w:tr>
        <w:tc>
          <w:tcPr>
            <w:tcW w:type="dxa" w:w="2200"/>
            <w:tcBorders>
              <w:top w:val="single" w:color="DDDBCF" w:sz="4"/>
              <w:left w:val="single" w:color="DDDBCF" w:sz="4"/>
              <w:bottom w:val="single" w:color="DDDBCF" w:sz="4"/>
              <w:right w:val="single" w:color="DDDBCF" w:sz="4"/>
            </w:tcBorders>
            <w:tcMar>
              <w:top w:type="dxa" w:w="60"/>
              <w:left w:type="dxa" w:w="100"/>
              <w:bottom w:type="dxa" w:w="60"/>
              <w:right w:type="dxa" w:w="100"/>
            </w:tcMar>
          </w:tcPr>
          <w:p>
            <w:r>
              <w:rPr>
                <w:rFonts w:ascii="Calibri" w:cs="Calibri" w:eastAsia="Calibri" w:hAnsi="Calibri"/>
                <w:b/>
                <w:bCs/>
                <w:color w:val="1a1816"/>
                <w:sz w:val="18"/>
                <w:szCs w:val="18"/>
              </w:rPr>
              <w:t xml:space="preserve">Net ATV</w:t>
            </w:r>
          </w:p>
        </w:tc>
        <w:tc>
          <w:tcPr>
            <w:tcW w:type="dxa" w:w="1680"/>
            <w:tcBorders>
              <w:top w:val="single" w:color="DDDBCF" w:sz="4"/>
              <w:left w:val="single" w:color="DDDBCF" w:sz="4"/>
              <w:bottom w:val="single" w:color="DDDBCF" w:sz="4"/>
              <w:right w:val="single" w:color="DDDBCF" w:sz="4"/>
            </w:tcBorders>
            <w:tcMar>
              <w:top w:type="dxa" w:w="60"/>
              <w:left w:type="dxa" w:w="100"/>
              <w:bottom w:type="dxa" w:w="60"/>
              <w:right w:type="dxa" w:w="100"/>
            </w:tcMar>
          </w:tcPr>
          <w:p>
            <w:pPr>
              <w:jc w:val="right"/>
            </w:pPr>
            <w:r>
              <w:rPr>
                <w:rFonts w:ascii="Courier New" w:cs="Courier New" w:eastAsia="Courier New" w:hAnsi="Courier New"/>
                <w:color w:val="1a1816"/>
                <w:sz w:val="18"/>
                <w:szCs w:val="18"/>
              </w:rPr>
              <w:t xml:space="preserve">₹2,477</w:t>
            </w:r>
          </w:p>
        </w:tc>
        <w:tc>
          <w:tcPr>
            <w:tcW w:type="dxa" w:w="1680"/>
            <w:tcBorders>
              <w:top w:val="single" w:color="DDDBCF" w:sz="4"/>
              <w:left w:val="single" w:color="DDDBCF" w:sz="4"/>
              <w:bottom w:val="single" w:color="DDDBCF" w:sz="4"/>
              <w:right w:val="single" w:color="DDDBCF" w:sz="4"/>
            </w:tcBorders>
            <w:tcMar>
              <w:top w:type="dxa" w:w="60"/>
              <w:left w:type="dxa" w:w="100"/>
              <w:bottom w:type="dxa" w:w="60"/>
              <w:right w:type="dxa" w:w="100"/>
            </w:tcMar>
          </w:tcPr>
          <w:p>
            <w:pPr>
              <w:jc w:val="right"/>
            </w:pPr>
            <w:r>
              <w:rPr>
                <w:rFonts w:ascii="Courier New" w:cs="Courier New" w:eastAsia="Courier New" w:hAnsi="Courier New"/>
                <w:color w:val="555248"/>
                <w:sz w:val="18"/>
                <w:szCs w:val="18"/>
              </w:rPr>
              <w:t xml:space="preserve">₹2,626</w:t>
            </w:r>
          </w:p>
        </w:tc>
        <w:tc>
          <w:tcPr>
            <w:tcW w:type="dxa" w:w="1200"/>
            <w:tcBorders>
              <w:top w:val="single" w:color="DDDBCF" w:sz="4"/>
              <w:left w:val="single" w:color="DDDBCF" w:sz="4"/>
              <w:bottom w:val="single" w:color="DDDBCF" w:sz="4"/>
              <w:right w:val="single" w:color="DDDBCF" w:sz="4"/>
            </w:tcBorders>
            <w:tcMar>
              <w:top w:type="dxa" w:w="60"/>
              <w:left w:type="dxa" w:w="100"/>
              <w:bottom w:type="dxa" w:w="60"/>
              <w:right w:type="dxa" w:w="100"/>
            </w:tcMar>
          </w:tcPr>
          <w:p>
            <w:pPr>
              <w:jc w:val="right"/>
            </w:pPr>
            <w:r>
              <w:rPr>
                <w:rFonts w:ascii="Courier New" w:cs="Courier New" w:eastAsia="Courier New" w:hAnsi="Courier New"/>
                <w:b/>
                <w:bCs/>
                <w:color w:val="B84040"/>
                <w:sz w:val="18"/>
                <w:szCs w:val="18"/>
              </w:rPr>
              <w:t xml:space="preserve">−5.7%</w:t>
            </w:r>
          </w:p>
        </w:tc>
        <w:tc>
          <w:tcPr>
            <w:tcW w:type="dxa" w:w="1400"/>
            <w:tcBorders>
              <w:top w:val="single" w:color="DDDBCF" w:sz="4"/>
              <w:left w:val="single" w:color="DDDBCF" w:sz="4"/>
              <w:bottom w:val="single" w:color="DDDBCF" w:sz="4"/>
              <w:right w:val="single" w:color="DDDBCF" w:sz="4"/>
            </w:tcBorders>
            <w:tcMar>
              <w:top w:type="dxa" w:w="60"/>
              <w:left w:type="dxa" w:w="100"/>
              <w:bottom w:type="dxa" w:w="60"/>
              <w:right w:type="dxa" w:w="100"/>
            </w:tcMar>
          </w:tcPr>
          <w:p>
            <w:pPr>
              <w:jc w:val="center"/>
            </w:pPr>
            <w:r>
              <w:rPr>
                <w:rFonts w:ascii="Calibri" w:cs="Calibri" w:eastAsia="Calibri" w:hAnsi="Calibri"/>
                <w:b/>
                <w:bCs/>
                <w:color w:val="B84040"/>
                <w:sz w:val="17"/>
                <w:szCs w:val="17"/>
              </w:rPr>
              <w:t xml:space="preserve">Critical</w:t>
            </w:r>
          </w:p>
        </w:tc>
      </w:tr>
      <w:tr>
        <w:tc>
          <w:tcPr>
            <w:tcW w:type="dxa" w:w="2200"/>
            <w:tcBorders>
              <w:top w:val="single" w:color="DDDBCF" w:sz="4"/>
              <w:left w:val="single" w:color="DDDBCF" w:sz="4"/>
              <w:bottom w:val="single" w:color="DDDBCF" w:sz="4"/>
              <w:right w:val="single" w:color="DDDBCF" w:sz="4"/>
            </w:tcBorders>
            <w:tcMar>
              <w:top w:type="dxa" w:w="60"/>
              <w:left w:type="dxa" w:w="100"/>
              <w:bottom w:type="dxa" w:w="60"/>
              <w:right w:type="dxa" w:w="100"/>
            </w:tcMar>
          </w:tcPr>
          <w:p>
            <w:r>
              <w:rPr>
                <w:rFonts w:ascii="Calibri" w:cs="Calibri" w:eastAsia="Calibri" w:hAnsi="Calibri"/>
                <w:b/>
                <w:bCs/>
                <w:color w:val="1a1816"/>
                <w:sz w:val="18"/>
                <w:szCs w:val="18"/>
              </w:rPr>
              <w:t xml:space="preserve">PSPD</w:t>
            </w:r>
          </w:p>
        </w:tc>
        <w:tc>
          <w:tcPr>
            <w:tcW w:type="dxa" w:w="1680"/>
            <w:tcBorders>
              <w:top w:val="single" w:color="DDDBCF" w:sz="4"/>
              <w:left w:val="single" w:color="DDDBCF" w:sz="4"/>
              <w:bottom w:val="single" w:color="DDDBCF" w:sz="4"/>
              <w:right w:val="single" w:color="DDDBCF" w:sz="4"/>
            </w:tcBorders>
            <w:tcMar>
              <w:top w:type="dxa" w:w="60"/>
              <w:left w:type="dxa" w:w="100"/>
              <w:bottom w:type="dxa" w:w="60"/>
              <w:right w:type="dxa" w:w="100"/>
            </w:tcMar>
          </w:tcPr>
          <w:p>
            <w:pPr>
              <w:jc w:val="right"/>
            </w:pPr>
            <w:r>
              <w:rPr>
                <w:rFonts w:ascii="Courier New" w:cs="Courier New" w:eastAsia="Courier New" w:hAnsi="Courier New"/>
                <w:color w:val="1a1816"/>
                <w:sz w:val="18"/>
                <w:szCs w:val="18"/>
              </w:rPr>
              <w:t xml:space="preserve">₹60,307/day</w:t>
            </w:r>
          </w:p>
        </w:tc>
        <w:tc>
          <w:tcPr>
            <w:tcW w:type="dxa" w:w="1680"/>
            <w:tcBorders>
              <w:top w:val="single" w:color="DDDBCF" w:sz="4"/>
              <w:left w:val="single" w:color="DDDBCF" w:sz="4"/>
              <w:bottom w:val="single" w:color="DDDBCF" w:sz="4"/>
              <w:right w:val="single" w:color="DDDBCF" w:sz="4"/>
            </w:tcBorders>
            <w:tcMar>
              <w:top w:type="dxa" w:w="60"/>
              <w:left w:type="dxa" w:w="100"/>
              <w:bottom w:type="dxa" w:w="60"/>
              <w:right w:type="dxa" w:w="100"/>
            </w:tcMar>
          </w:tcPr>
          <w:p>
            <w:pPr>
              <w:jc w:val="right"/>
            </w:pPr>
            <w:r>
              <w:rPr>
                <w:rFonts w:ascii="Courier New" w:cs="Courier New" w:eastAsia="Courier New" w:hAnsi="Courier New"/>
                <w:color w:val="555248"/>
                <w:sz w:val="18"/>
                <w:szCs w:val="18"/>
              </w:rPr>
              <w:t xml:space="preserve">₹68,506/day</w:t>
            </w:r>
          </w:p>
        </w:tc>
        <w:tc>
          <w:tcPr>
            <w:tcW w:type="dxa" w:w="1200"/>
            <w:tcBorders>
              <w:top w:val="single" w:color="DDDBCF" w:sz="4"/>
              <w:left w:val="single" w:color="DDDBCF" w:sz="4"/>
              <w:bottom w:val="single" w:color="DDDBCF" w:sz="4"/>
              <w:right w:val="single" w:color="DDDBCF" w:sz="4"/>
            </w:tcBorders>
            <w:tcMar>
              <w:top w:type="dxa" w:w="60"/>
              <w:left w:type="dxa" w:w="100"/>
              <w:bottom w:type="dxa" w:w="60"/>
              <w:right w:type="dxa" w:w="100"/>
            </w:tcMar>
          </w:tcPr>
          <w:p>
            <w:pPr>
              <w:jc w:val="right"/>
            </w:pPr>
            <w:r>
              <w:rPr>
                <w:rFonts w:ascii="Courier New" w:cs="Courier New" w:eastAsia="Courier New" w:hAnsi="Courier New"/>
                <w:b/>
                <w:bCs/>
                <w:color w:val="B84040"/>
                <w:sz w:val="18"/>
                <w:szCs w:val="18"/>
              </w:rPr>
              <w:t xml:space="preserve">−12.0%</w:t>
            </w:r>
          </w:p>
        </w:tc>
        <w:tc>
          <w:tcPr>
            <w:tcW w:type="dxa" w:w="1400"/>
            <w:tcBorders>
              <w:top w:val="single" w:color="DDDBCF" w:sz="4"/>
              <w:left w:val="single" w:color="DDDBCF" w:sz="4"/>
              <w:bottom w:val="single" w:color="DDDBCF" w:sz="4"/>
              <w:right w:val="single" w:color="DDDBCF" w:sz="4"/>
            </w:tcBorders>
            <w:tcMar>
              <w:top w:type="dxa" w:w="60"/>
              <w:left w:type="dxa" w:w="100"/>
              <w:bottom w:type="dxa" w:w="60"/>
              <w:right w:type="dxa" w:w="100"/>
            </w:tcMar>
          </w:tcPr>
          <w:p>
            <w:pPr>
              <w:jc w:val="center"/>
            </w:pPr>
            <w:r>
              <w:rPr>
                <w:rFonts w:ascii="Calibri" w:cs="Calibri" w:eastAsia="Calibri" w:hAnsi="Calibri"/>
                <w:b/>
                <w:bCs/>
                <w:color w:val="B84040"/>
                <w:sz w:val="17"/>
                <w:szCs w:val="17"/>
              </w:rPr>
              <w:t xml:space="preserve">Critical</w:t>
            </w:r>
          </w:p>
        </w:tc>
      </w:tr>
      <w:tr>
        <w:tc>
          <w:tcPr>
            <w:tcW w:type="dxa" w:w="2200"/>
            <w:tcBorders>
              <w:top w:val="single" w:color="DDDBCF" w:sz="4"/>
              <w:left w:val="single" w:color="DDDBCF" w:sz="4"/>
              <w:bottom w:val="single" w:color="DDDBCF" w:sz="4"/>
              <w:right w:val="single" w:color="DDDBCF" w:sz="4"/>
            </w:tcBorders>
            <w:tcMar>
              <w:top w:type="dxa" w:w="60"/>
              <w:left w:type="dxa" w:w="100"/>
              <w:bottom w:type="dxa" w:w="60"/>
              <w:right w:type="dxa" w:w="100"/>
            </w:tcMar>
          </w:tcPr>
          <w:p>
            <w:r>
              <w:rPr>
                <w:rFonts w:ascii="Calibri" w:cs="Calibri" w:eastAsia="Calibri" w:hAnsi="Calibri"/>
                <w:b/>
                <w:bCs/>
                <w:color w:val="1a1816"/>
                <w:sz w:val="18"/>
                <w:szCs w:val="18"/>
              </w:rPr>
              <w:t xml:space="preserve">ET Wait Time</w:t>
            </w:r>
          </w:p>
        </w:tc>
        <w:tc>
          <w:tcPr>
            <w:tcW w:type="dxa" w:w="1680"/>
            <w:tcBorders>
              <w:top w:val="single" w:color="DDDBCF" w:sz="4"/>
              <w:left w:val="single" w:color="DDDBCF" w:sz="4"/>
              <w:bottom w:val="single" w:color="DDDBCF" w:sz="4"/>
              <w:right w:val="single" w:color="DDDBCF" w:sz="4"/>
            </w:tcBorders>
            <w:tcMar>
              <w:top w:type="dxa" w:w="60"/>
              <w:left w:type="dxa" w:w="100"/>
              <w:bottom w:type="dxa" w:w="60"/>
              <w:right w:type="dxa" w:w="100"/>
            </w:tcMar>
          </w:tcPr>
          <w:p>
            <w:pPr>
              <w:jc w:val="right"/>
            </w:pPr>
            <w:r>
              <w:rPr>
                <w:rFonts w:ascii="Courier New" w:cs="Courier New" w:eastAsia="Courier New" w:hAnsi="Courier New"/>
                <w:color w:val="1a1816"/>
                <w:sz w:val="18"/>
                <w:szCs w:val="18"/>
              </w:rPr>
              <w:t xml:space="preserve">8.97 min</w:t>
            </w:r>
          </w:p>
        </w:tc>
        <w:tc>
          <w:tcPr>
            <w:tcW w:type="dxa" w:w="1680"/>
            <w:tcBorders>
              <w:top w:val="single" w:color="DDDBCF" w:sz="4"/>
              <w:left w:val="single" w:color="DDDBCF" w:sz="4"/>
              <w:bottom w:val="single" w:color="DDDBCF" w:sz="4"/>
              <w:right w:val="single" w:color="DDDBCF" w:sz="4"/>
            </w:tcBorders>
            <w:tcMar>
              <w:top w:type="dxa" w:w="60"/>
              <w:left w:type="dxa" w:w="100"/>
              <w:bottom w:type="dxa" w:w="60"/>
              <w:right w:type="dxa" w:w="100"/>
            </w:tcMar>
          </w:tcPr>
          <w:p>
            <w:pPr>
              <w:jc w:val="right"/>
            </w:pPr>
            <w:r>
              <w:rPr>
                <w:rFonts w:ascii="Courier New" w:cs="Courier New" w:eastAsia="Courier New" w:hAnsi="Courier New"/>
                <w:color w:val="555248"/>
                <w:sz w:val="18"/>
                <w:szCs w:val="18"/>
              </w:rPr>
              <w:t xml:space="preserve">10.54 min</w:t>
            </w:r>
          </w:p>
        </w:tc>
        <w:tc>
          <w:tcPr>
            <w:tcW w:type="dxa" w:w="1200"/>
            <w:tcBorders>
              <w:top w:val="single" w:color="DDDBCF" w:sz="4"/>
              <w:left w:val="single" w:color="DDDBCF" w:sz="4"/>
              <w:bottom w:val="single" w:color="DDDBCF" w:sz="4"/>
              <w:right w:val="single" w:color="DDDBCF" w:sz="4"/>
            </w:tcBorders>
            <w:tcMar>
              <w:top w:type="dxa" w:w="60"/>
              <w:left w:type="dxa" w:w="100"/>
              <w:bottom w:type="dxa" w:w="60"/>
              <w:right w:type="dxa" w:w="100"/>
            </w:tcMar>
          </w:tcPr>
          <w:p>
            <w:pPr>
              <w:jc w:val="right"/>
            </w:pPr>
            <w:r>
              <w:rPr>
                <w:rFonts w:ascii="Courier New" w:cs="Courier New" w:eastAsia="Courier New" w:hAnsi="Courier New"/>
                <w:b/>
                <w:bCs/>
                <w:color w:val="B84040"/>
                <w:sz w:val="18"/>
                <w:szCs w:val="18"/>
              </w:rPr>
              <w:t xml:space="preserve">−14.8%</w:t>
            </w:r>
          </w:p>
        </w:tc>
        <w:tc>
          <w:tcPr>
            <w:tcW w:type="dxa" w:w="1400"/>
            <w:tcBorders>
              <w:top w:val="single" w:color="DDDBCF" w:sz="4"/>
              <w:left w:val="single" w:color="DDDBCF" w:sz="4"/>
              <w:bottom w:val="single" w:color="DDDBCF" w:sz="4"/>
              <w:right w:val="single" w:color="DDDBCF" w:sz="4"/>
            </w:tcBorders>
            <w:tcMar>
              <w:top w:type="dxa" w:w="60"/>
              <w:left w:type="dxa" w:w="100"/>
              <w:bottom w:type="dxa" w:w="60"/>
              <w:right w:type="dxa" w:w="100"/>
            </w:tcMar>
          </w:tcPr>
          <w:p>
            <w:pPr>
              <w:jc w:val="center"/>
            </w:pPr>
            <w:r>
              <w:rPr>
                <w:rFonts w:ascii="Calibri" w:cs="Calibri" w:eastAsia="Calibri" w:hAnsi="Calibri"/>
                <w:b/>
                <w:bCs/>
                <w:color w:val="0E5A6F"/>
                <w:sz w:val="17"/>
                <w:szCs w:val="17"/>
              </w:rPr>
              <w:t xml:space="preserve">Improving</w:t>
            </w:r>
          </w:p>
        </w:tc>
      </w:tr>
      <w:tr>
        <w:tc>
          <w:tcPr>
            <w:tcW w:type="dxa" w:w="2200"/>
            <w:tcBorders>
              <w:top w:val="single" w:color="DDDBCF" w:sz="4"/>
              <w:left w:val="single" w:color="DDDBCF" w:sz="4"/>
              <w:bottom w:val="single" w:color="DDDBCF" w:sz="4"/>
              <w:right w:val="single" w:color="DDDBCF" w:sz="4"/>
            </w:tcBorders>
            <w:tcMar>
              <w:top w:type="dxa" w:w="60"/>
              <w:left w:type="dxa" w:w="100"/>
              <w:bottom w:type="dxa" w:w="60"/>
              <w:right w:type="dxa" w:w="100"/>
            </w:tcMar>
          </w:tcPr>
          <w:p>
            <w:r>
              <w:rPr>
                <w:rFonts w:ascii="Calibri" w:cs="Calibri" w:eastAsia="Calibri" w:hAnsi="Calibri"/>
                <w:b/>
                <w:bCs/>
                <w:color w:val="1a1816"/>
                <w:sz w:val="18"/>
                <w:szCs w:val="18"/>
              </w:rPr>
              <w:t xml:space="preserve">NOB per Staff</w:t>
            </w:r>
          </w:p>
        </w:tc>
        <w:tc>
          <w:tcPr>
            <w:tcW w:type="dxa" w:w="1680"/>
            <w:tcBorders>
              <w:top w:val="single" w:color="DDDBCF" w:sz="4"/>
              <w:left w:val="single" w:color="DDDBCF" w:sz="4"/>
              <w:bottom w:val="single" w:color="DDDBCF" w:sz="4"/>
              <w:right w:val="single" w:color="DDDBCF" w:sz="4"/>
            </w:tcBorders>
            <w:tcMar>
              <w:top w:type="dxa" w:w="60"/>
              <w:left w:type="dxa" w:w="100"/>
              <w:bottom w:type="dxa" w:w="60"/>
              <w:right w:type="dxa" w:w="100"/>
            </w:tcMar>
          </w:tcPr>
          <w:p>
            <w:pPr>
              <w:jc w:val="right"/>
            </w:pPr>
            <w:r>
              <w:rPr>
                <w:rFonts w:ascii="Courier New" w:cs="Courier New" w:eastAsia="Courier New" w:hAnsi="Courier New"/>
                <w:color w:val="1a1816"/>
                <w:sz w:val="18"/>
                <w:szCs w:val="18"/>
              </w:rPr>
              <w:t xml:space="preserve">5.04</w:t>
            </w:r>
          </w:p>
        </w:tc>
        <w:tc>
          <w:tcPr>
            <w:tcW w:type="dxa" w:w="1680"/>
            <w:tcBorders>
              <w:top w:val="single" w:color="DDDBCF" w:sz="4"/>
              <w:left w:val="single" w:color="DDDBCF" w:sz="4"/>
              <w:bottom w:val="single" w:color="DDDBCF" w:sz="4"/>
              <w:right w:val="single" w:color="DDDBCF" w:sz="4"/>
            </w:tcBorders>
            <w:tcMar>
              <w:top w:type="dxa" w:w="60"/>
              <w:left w:type="dxa" w:w="100"/>
              <w:bottom w:type="dxa" w:w="60"/>
              <w:right w:type="dxa" w:w="100"/>
            </w:tcMar>
          </w:tcPr>
          <w:p>
            <w:pPr>
              <w:jc w:val="right"/>
            </w:pPr>
            <w:r>
              <w:rPr>
                <w:rFonts w:ascii="Courier New" w:cs="Courier New" w:eastAsia="Courier New" w:hAnsi="Courier New"/>
                <w:color w:val="555248"/>
                <w:sz w:val="18"/>
                <w:szCs w:val="18"/>
              </w:rPr>
              <w:t xml:space="preserve">5.21</w:t>
            </w:r>
          </w:p>
        </w:tc>
        <w:tc>
          <w:tcPr>
            <w:tcW w:type="dxa" w:w="1200"/>
            <w:tcBorders>
              <w:top w:val="single" w:color="DDDBCF" w:sz="4"/>
              <w:left w:val="single" w:color="DDDBCF" w:sz="4"/>
              <w:bottom w:val="single" w:color="DDDBCF" w:sz="4"/>
              <w:right w:val="single" w:color="DDDBCF" w:sz="4"/>
            </w:tcBorders>
            <w:tcMar>
              <w:top w:type="dxa" w:w="60"/>
              <w:left w:type="dxa" w:w="100"/>
              <w:bottom w:type="dxa" w:w="60"/>
              <w:right w:type="dxa" w:w="100"/>
            </w:tcMar>
          </w:tcPr>
          <w:p>
            <w:pPr>
              <w:jc w:val="right"/>
            </w:pPr>
            <w:r>
              <w:rPr>
                <w:rFonts w:ascii="Courier New" w:cs="Courier New" w:eastAsia="Courier New" w:hAnsi="Courier New"/>
                <w:b/>
                <w:bCs/>
                <w:color w:val="B84040"/>
                <w:sz w:val="18"/>
                <w:szCs w:val="18"/>
              </w:rPr>
              <w:t xml:space="preserve">−3.3%</w:t>
            </w:r>
          </w:p>
        </w:tc>
        <w:tc>
          <w:tcPr>
            <w:tcW w:type="dxa" w:w="1400"/>
            <w:tcBorders>
              <w:top w:val="single" w:color="DDDBCF" w:sz="4"/>
              <w:left w:val="single" w:color="DDDBCF" w:sz="4"/>
              <w:bottom w:val="single" w:color="DDDBCF" w:sz="4"/>
              <w:right w:val="single" w:color="DDDBCF" w:sz="4"/>
            </w:tcBorders>
            <w:tcMar>
              <w:top w:type="dxa" w:w="60"/>
              <w:left w:type="dxa" w:w="100"/>
              <w:bottom w:type="dxa" w:w="60"/>
              <w:right w:type="dxa" w:w="100"/>
            </w:tcMar>
          </w:tcPr>
          <w:p>
            <w:pPr>
              <w:jc w:val="center"/>
            </w:pPr>
            <w:r>
              <w:rPr>
                <w:rFonts w:ascii="Calibri" w:cs="Calibri" w:eastAsia="Calibri" w:hAnsi="Calibri"/>
                <w:b/>
                <w:bCs/>
                <w:color w:val="B45309"/>
                <w:sz w:val="17"/>
                <w:szCs w:val="17"/>
              </w:rPr>
              <w:t xml:space="preserve">Watch</w:t>
            </w:r>
          </w:p>
        </w:tc>
      </w:tr>
      <w:tr>
        <w:tc>
          <w:tcPr>
            <w:tcW w:type="dxa" w:w="2200"/>
            <w:tcBorders>
              <w:top w:val="single" w:color="DDDBCF" w:sz="4"/>
              <w:left w:val="single" w:color="DDDBCF" w:sz="4"/>
              <w:bottom w:val="single" w:color="DDDBCF" w:sz="4"/>
              <w:right w:val="single" w:color="DDDBCF" w:sz="4"/>
            </w:tcBorders>
            <w:tcMar>
              <w:top w:type="dxa" w:w="60"/>
              <w:left w:type="dxa" w:w="100"/>
              <w:bottom w:type="dxa" w:w="60"/>
              <w:right w:type="dxa" w:w="100"/>
            </w:tcMar>
          </w:tcPr>
          <w:p>
            <w:r>
              <w:rPr>
                <w:rFonts w:ascii="Calibri" w:cs="Calibri" w:eastAsia="Calibri" w:hAnsi="Calibri"/>
                <w:b/>
                <w:bCs/>
                <w:color w:val="1a1816"/>
                <w:sz w:val="18"/>
                <w:szCs w:val="18"/>
              </w:rPr>
              <w:t xml:space="preserve">UPT</w:t>
            </w:r>
          </w:p>
        </w:tc>
        <w:tc>
          <w:tcPr>
            <w:tcW w:type="dxa" w:w="1680"/>
            <w:tcBorders>
              <w:top w:val="single" w:color="DDDBCF" w:sz="4"/>
              <w:left w:val="single" w:color="DDDBCF" w:sz="4"/>
              <w:bottom w:val="single" w:color="DDDBCF" w:sz="4"/>
              <w:right w:val="single" w:color="DDDBCF" w:sz="4"/>
            </w:tcBorders>
            <w:tcMar>
              <w:top w:type="dxa" w:w="60"/>
              <w:left w:type="dxa" w:w="100"/>
              <w:bottom w:type="dxa" w:w="60"/>
              <w:right w:type="dxa" w:w="100"/>
            </w:tcMar>
          </w:tcPr>
          <w:p>
            <w:pPr>
              <w:jc w:val="right"/>
            </w:pPr>
            <w:r>
              <w:rPr>
                <w:rFonts w:ascii="Courier New" w:cs="Courier New" w:eastAsia="Courier New" w:hAnsi="Courier New"/>
                <w:color w:val="1a1816"/>
                <w:sz w:val="18"/>
                <w:szCs w:val="18"/>
              </w:rPr>
              <w:t xml:space="preserve">1.626</w:t>
            </w:r>
          </w:p>
        </w:tc>
        <w:tc>
          <w:tcPr>
            <w:tcW w:type="dxa" w:w="1680"/>
            <w:tcBorders>
              <w:top w:val="single" w:color="DDDBCF" w:sz="4"/>
              <w:left w:val="single" w:color="DDDBCF" w:sz="4"/>
              <w:bottom w:val="single" w:color="DDDBCF" w:sz="4"/>
              <w:right w:val="single" w:color="DDDBCF" w:sz="4"/>
            </w:tcBorders>
            <w:tcMar>
              <w:top w:type="dxa" w:w="60"/>
              <w:left w:type="dxa" w:w="100"/>
              <w:bottom w:type="dxa" w:w="60"/>
              <w:right w:type="dxa" w:w="100"/>
            </w:tcMar>
          </w:tcPr>
          <w:p>
            <w:pPr>
              <w:jc w:val="right"/>
            </w:pPr>
            <w:r>
              <w:rPr>
                <w:rFonts w:ascii="Courier New" w:cs="Courier New" w:eastAsia="Courier New" w:hAnsi="Courier New"/>
                <w:color w:val="555248"/>
                <w:sz w:val="18"/>
                <w:szCs w:val="18"/>
              </w:rPr>
              <w:t xml:space="preserve">1.713</w:t>
            </w:r>
          </w:p>
        </w:tc>
        <w:tc>
          <w:tcPr>
            <w:tcW w:type="dxa" w:w="1200"/>
            <w:tcBorders>
              <w:top w:val="single" w:color="DDDBCF" w:sz="4"/>
              <w:left w:val="single" w:color="DDDBCF" w:sz="4"/>
              <w:bottom w:val="single" w:color="DDDBCF" w:sz="4"/>
              <w:right w:val="single" w:color="DDDBCF" w:sz="4"/>
            </w:tcBorders>
            <w:tcMar>
              <w:top w:type="dxa" w:w="60"/>
              <w:left w:type="dxa" w:w="100"/>
              <w:bottom w:type="dxa" w:w="60"/>
              <w:right w:type="dxa" w:w="100"/>
            </w:tcMar>
          </w:tcPr>
          <w:p>
            <w:pPr>
              <w:jc w:val="right"/>
            </w:pPr>
            <w:r>
              <w:rPr>
                <w:rFonts w:ascii="Courier New" w:cs="Courier New" w:eastAsia="Courier New" w:hAnsi="Courier New"/>
                <w:b/>
                <w:bCs/>
                <w:color w:val="B84040"/>
                <w:sz w:val="18"/>
                <w:szCs w:val="18"/>
              </w:rPr>
              <w:t xml:space="preserve">−5.1%</w:t>
            </w:r>
          </w:p>
        </w:tc>
        <w:tc>
          <w:tcPr>
            <w:tcW w:type="dxa" w:w="1400"/>
            <w:tcBorders>
              <w:top w:val="single" w:color="DDDBCF" w:sz="4"/>
              <w:left w:val="single" w:color="DDDBCF" w:sz="4"/>
              <w:bottom w:val="single" w:color="DDDBCF" w:sz="4"/>
              <w:right w:val="single" w:color="DDDBCF" w:sz="4"/>
            </w:tcBorders>
            <w:tcMar>
              <w:top w:type="dxa" w:w="60"/>
              <w:left w:type="dxa" w:w="100"/>
              <w:bottom w:type="dxa" w:w="60"/>
              <w:right w:type="dxa" w:w="100"/>
            </w:tcMar>
          </w:tcPr>
          <w:p>
            <w:pPr>
              <w:jc w:val="center"/>
            </w:pPr>
            <w:r>
              <w:rPr>
                <w:rFonts w:ascii="Calibri" w:cs="Calibri" w:eastAsia="Calibri" w:hAnsi="Calibri"/>
                <w:b/>
                <w:bCs/>
                <w:color w:val="B84040"/>
                <w:sz w:val="17"/>
                <w:szCs w:val="17"/>
              </w:rPr>
              <w:t xml:space="preserve">Critical</w:t>
            </w:r>
          </w:p>
        </w:tc>
      </w:tr>
      <w:tr>
        <w:tc>
          <w:tcPr>
            <w:tcW w:type="dxa" w:w="2200"/>
            <w:tcBorders>
              <w:top w:val="single" w:color="DDDBCF" w:sz="4"/>
              <w:left w:val="single" w:color="DDDBCF" w:sz="4"/>
              <w:bottom w:val="single" w:color="DDDBCF" w:sz="4"/>
              <w:right w:val="single" w:color="DDDBCF" w:sz="4"/>
            </w:tcBorders>
            <w:tcMar>
              <w:top w:type="dxa" w:w="60"/>
              <w:left w:type="dxa" w:w="100"/>
              <w:bottom w:type="dxa" w:w="60"/>
              <w:right w:type="dxa" w:w="100"/>
            </w:tcMar>
          </w:tcPr>
          <w:p>
            <w:r>
              <w:rPr>
                <w:rFonts w:ascii="Calibri" w:cs="Calibri" w:eastAsia="Calibri" w:hAnsi="Calibri"/>
                <w:b/>
                <w:bCs/>
                <w:color w:val="1a1816"/>
                <w:sz w:val="18"/>
                <w:szCs w:val="18"/>
              </w:rPr>
              <w:t xml:space="preserve">Net ASP</w:t>
            </w:r>
          </w:p>
        </w:tc>
        <w:tc>
          <w:tcPr>
            <w:tcW w:type="dxa" w:w="1680"/>
            <w:tcBorders>
              <w:top w:val="single" w:color="DDDBCF" w:sz="4"/>
              <w:left w:val="single" w:color="DDDBCF" w:sz="4"/>
              <w:bottom w:val="single" w:color="DDDBCF" w:sz="4"/>
              <w:right w:val="single" w:color="DDDBCF" w:sz="4"/>
            </w:tcBorders>
            <w:tcMar>
              <w:top w:type="dxa" w:w="60"/>
              <w:left w:type="dxa" w:w="100"/>
              <w:bottom w:type="dxa" w:w="60"/>
              <w:right w:type="dxa" w:w="100"/>
            </w:tcMar>
          </w:tcPr>
          <w:p>
            <w:pPr>
              <w:jc w:val="right"/>
            </w:pPr>
            <w:r>
              <w:rPr>
                <w:rFonts w:ascii="Courier New" w:cs="Courier New" w:eastAsia="Courier New" w:hAnsi="Courier New"/>
                <w:color w:val="1a1816"/>
                <w:sz w:val="18"/>
                <w:szCs w:val="18"/>
              </w:rPr>
              <w:t xml:space="preserve">₹1,523</w:t>
            </w:r>
          </w:p>
        </w:tc>
        <w:tc>
          <w:tcPr>
            <w:tcW w:type="dxa" w:w="1680"/>
            <w:tcBorders>
              <w:top w:val="single" w:color="DDDBCF" w:sz="4"/>
              <w:left w:val="single" w:color="DDDBCF" w:sz="4"/>
              <w:bottom w:val="single" w:color="DDDBCF" w:sz="4"/>
              <w:right w:val="single" w:color="DDDBCF" w:sz="4"/>
            </w:tcBorders>
            <w:tcMar>
              <w:top w:type="dxa" w:w="60"/>
              <w:left w:type="dxa" w:w="100"/>
              <w:bottom w:type="dxa" w:w="60"/>
              <w:right w:type="dxa" w:w="100"/>
            </w:tcMar>
          </w:tcPr>
          <w:p>
            <w:pPr>
              <w:jc w:val="right"/>
            </w:pPr>
            <w:r>
              <w:rPr>
                <w:rFonts w:ascii="Courier New" w:cs="Courier New" w:eastAsia="Courier New" w:hAnsi="Courier New"/>
                <w:color w:val="555248"/>
                <w:sz w:val="18"/>
                <w:szCs w:val="18"/>
              </w:rPr>
              <w:t xml:space="preserve">₹1,533</w:t>
            </w:r>
          </w:p>
        </w:tc>
        <w:tc>
          <w:tcPr>
            <w:tcW w:type="dxa" w:w="1200"/>
            <w:tcBorders>
              <w:top w:val="single" w:color="DDDBCF" w:sz="4"/>
              <w:left w:val="single" w:color="DDDBCF" w:sz="4"/>
              <w:bottom w:val="single" w:color="DDDBCF" w:sz="4"/>
              <w:right w:val="single" w:color="DDDBCF" w:sz="4"/>
            </w:tcBorders>
            <w:tcMar>
              <w:top w:type="dxa" w:w="60"/>
              <w:left w:type="dxa" w:w="100"/>
              <w:bottom w:type="dxa" w:w="60"/>
              <w:right w:type="dxa" w:w="100"/>
            </w:tcMar>
          </w:tcPr>
          <w:p>
            <w:pPr>
              <w:jc w:val="right"/>
            </w:pPr>
            <w:r>
              <w:rPr>
                <w:rFonts w:ascii="Courier New" w:cs="Courier New" w:eastAsia="Courier New" w:hAnsi="Courier New"/>
                <w:b/>
                <w:bCs/>
                <w:color w:val="B84040"/>
                <w:sz w:val="18"/>
                <w:szCs w:val="18"/>
              </w:rPr>
              <w:t xml:space="preserve">−0.6%</w:t>
            </w:r>
          </w:p>
        </w:tc>
        <w:tc>
          <w:tcPr>
            <w:tcW w:type="dxa" w:w="1400"/>
            <w:tcBorders>
              <w:top w:val="single" w:color="DDDBCF" w:sz="4"/>
              <w:left w:val="single" w:color="DDDBCF" w:sz="4"/>
              <w:bottom w:val="single" w:color="DDDBCF" w:sz="4"/>
              <w:right w:val="single" w:color="DDDBCF" w:sz="4"/>
            </w:tcBorders>
            <w:tcMar>
              <w:top w:type="dxa" w:w="60"/>
              <w:left w:type="dxa" w:w="100"/>
              <w:bottom w:type="dxa" w:w="60"/>
              <w:right w:type="dxa" w:w="100"/>
            </w:tcMar>
          </w:tcPr>
          <w:p>
            <w:pPr>
              <w:jc w:val="center"/>
            </w:pPr>
            <w:r>
              <w:rPr>
                <w:rFonts w:ascii="Calibri" w:cs="Calibri" w:eastAsia="Calibri" w:hAnsi="Calibri"/>
                <w:b/>
                <w:bCs/>
                <w:color w:val="0E5A6F"/>
                <w:sz w:val="17"/>
                <w:szCs w:val="17"/>
              </w:rPr>
              <w:t xml:space="preserve">On track</w:t>
            </w:r>
          </w:p>
        </w:tc>
      </w:tr>
      <w:tr>
        <w:tc>
          <w:tcPr>
            <w:tcW w:type="dxa" w:w="2200"/>
            <w:tcBorders>
              <w:top w:val="single" w:color="DDDBCF" w:sz="4"/>
              <w:left w:val="single" w:color="DDDBCF" w:sz="4"/>
              <w:bottom w:val="single" w:color="DDDBCF" w:sz="4"/>
              <w:right w:val="single" w:color="DDDBCF" w:sz="4"/>
            </w:tcBorders>
            <w:tcMar>
              <w:top w:type="dxa" w:w="60"/>
              <w:left w:type="dxa" w:w="100"/>
              <w:bottom w:type="dxa" w:w="60"/>
              <w:right w:type="dxa" w:w="100"/>
            </w:tcMar>
          </w:tcPr>
          <w:p>
            <w:r>
              <w:rPr>
                <w:rFonts w:ascii="Calibri" w:cs="Calibri" w:eastAsia="Calibri" w:hAnsi="Calibri"/>
                <w:b/>
                <w:bCs/>
                <w:color w:val="1a1816"/>
                <w:sz w:val="18"/>
                <w:szCs w:val="18"/>
              </w:rPr>
              <w:t xml:space="preserve">Progressive share</w:t>
            </w:r>
          </w:p>
        </w:tc>
        <w:tc>
          <w:tcPr>
            <w:tcW w:type="dxa" w:w="1680"/>
            <w:tcBorders>
              <w:top w:val="single" w:color="DDDBCF" w:sz="4"/>
              <w:left w:val="single" w:color="DDDBCF" w:sz="4"/>
              <w:bottom w:val="single" w:color="DDDBCF" w:sz="4"/>
              <w:right w:val="single" w:color="DDDBCF" w:sz="4"/>
            </w:tcBorders>
            <w:tcMar>
              <w:top w:type="dxa" w:w="60"/>
              <w:left w:type="dxa" w:w="100"/>
              <w:bottom w:type="dxa" w:w="60"/>
              <w:right w:type="dxa" w:w="100"/>
            </w:tcMar>
          </w:tcPr>
          <w:p>
            <w:pPr>
              <w:jc w:val="right"/>
            </w:pPr>
            <w:r>
              <w:rPr>
                <w:rFonts w:ascii="Courier New" w:cs="Courier New" w:eastAsia="Courier New" w:hAnsi="Courier New"/>
                <w:color w:val="1a1816"/>
                <w:sz w:val="18"/>
                <w:szCs w:val="18"/>
              </w:rPr>
              <w:t xml:space="preserve">19.26%</w:t>
            </w:r>
          </w:p>
        </w:tc>
        <w:tc>
          <w:tcPr>
            <w:tcW w:type="dxa" w:w="1680"/>
            <w:tcBorders>
              <w:top w:val="single" w:color="DDDBCF" w:sz="4"/>
              <w:left w:val="single" w:color="DDDBCF" w:sz="4"/>
              <w:bottom w:val="single" w:color="DDDBCF" w:sz="4"/>
              <w:right w:val="single" w:color="DDDBCF" w:sz="4"/>
            </w:tcBorders>
            <w:tcMar>
              <w:top w:type="dxa" w:w="60"/>
              <w:left w:type="dxa" w:w="100"/>
              <w:bottom w:type="dxa" w:w="60"/>
              <w:right w:type="dxa" w:w="100"/>
            </w:tcMar>
          </w:tcPr>
          <w:p>
            <w:pPr>
              <w:jc w:val="right"/>
            </w:pPr>
            <w:r>
              <w:rPr>
                <w:rFonts w:ascii="Courier New" w:cs="Courier New" w:eastAsia="Courier New" w:hAnsi="Courier New"/>
                <w:color w:val="555248"/>
                <w:sz w:val="18"/>
                <w:szCs w:val="18"/>
              </w:rPr>
              <w:t xml:space="preserve">20.46%</w:t>
            </w:r>
          </w:p>
        </w:tc>
        <w:tc>
          <w:tcPr>
            <w:tcW w:type="dxa" w:w="1200"/>
            <w:tcBorders>
              <w:top w:val="single" w:color="DDDBCF" w:sz="4"/>
              <w:left w:val="single" w:color="DDDBCF" w:sz="4"/>
              <w:bottom w:val="single" w:color="DDDBCF" w:sz="4"/>
              <w:right w:val="single" w:color="DDDBCF" w:sz="4"/>
            </w:tcBorders>
            <w:tcMar>
              <w:top w:type="dxa" w:w="60"/>
              <w:left w:type="dxa" w:w="100"/>
              <w:bottom w:type="dxa" w:w="60"/>
              <w:right w:type="dxa" w:w="100"/>
            </w:tcMar>
          </w:tcPr>
          <w:p>
            <w:pPr>
              <w:jc w:val="right"/>
            </w:pPr>
            <w:r>
              <w:rPr>
                <w:rFonts w:ascii="Courier New" w:cs="Courier New" w:eastAsia="Courier New" w:hAnsi="Courier New"/>
                <w:b/>
                <w:bCs/>
                <w:color w:val="B84040"/>
                <w:sz w:val="18"/>
                <w:szCs w:val="18"/>
              </w:rPr>
              <w:t xml:space="preserve">−5.8%</w:t>
            </w:r>
          </w:p>
        </w:tc>
        <w:tc>
          <w:tcPr>
            <w:tcW w:type="dxa" w:w="1400"/>
            <w:tcBorders>
              <w:top w:val="single" w:color="DDDBCF" w:sz="4"/>
              <w:left w:val="single" w:color="DDDBCF" w:sz="4"/>
              <w:bottom w:val="single" w:color="DDDBCF" w:sz="4"/>
              <w:right w:val="single" w:color="DDDBCF" w:sz="4"/>
            </w:tcBorders>
            <w:tcMar>
              <w:top w:type="dxa" w:w="60"/>
              <w:left w:type="dxa" w:w="100"/>
              <w:bottom w:type="dxa" w:w="60"/>
              <w:right w:type="dxa" w:w="100"/>
            </w:tcMar>
          </w:tcPr>
          <w:p>
            <w:pPr>
              <w:jc w:val="center"/>
            </w:pPr>
            <w:r>
              <w:rPr>
                <w:rFonts w:ascii="Calibri" w:cs="Calibri" w:eastAsia="Calibri" w:hAnsi="Calibri"/>
                <w:b/>
                <w:bCs/>
                <w:color w:val="B84040"/>
                <w:sz w:val="17"/>
                <w:szCs w:val="17"/>
              </w:rPr>
              <w:t xml:space="preserve">Critical</w:t>
            </w:r>
          </w:p>
        </w:tc>
      </w:tr>
    </w:tbl>
    <w:p>
      <w:pPr>
        <w:spacing w:after="0" w:before="80"/>
      </w:pPr>
      <w:r>
        <w:t xml:space="preserve"/>
      </w:r>
    </w:p>
    <w:p>
      <w:pPr>
        <w:pBdr>
          <w:left w:val="single" w:color="C8973A" w:sz="12" w:space="8"/>
        </w:pBdr>
        <w:shd w:fill="F7F5EE" w:val="clear"/>
        <w:spacing w:after="60" w:before="60"/>
        <w:ind w:left="360"/>
      </w:pPr>
      <w:r>
        <w:rPr>
          <w:rFonts w:ascii="Calibri" w:cs="Calibri" w:eastAsia="Calibri" w:hAnsi="Calibri"/>
          <w:i/>
          <w:iCs/>
          <w:color w:val="3a3830"/>
          <w:sz w:val="19"/>
          <w:szCs w:val="19"/>
        </w:rPr>
        <w:t xml:space="preserve">LKST1781 story: More footfall (+2%), more orders (+3.7%), better conversion — yet revenue is down 2.2%. The entire gap is ATV: ₹149 less per bill × 974 bills = ₹1,45,126 value erosion. Pure upsell failure. ET improved dramatically (10.54→8.97 min). Overall Score: 66/100 (Good). Revenue 57 | Ops 77 | Merch 51 | Infra 72.</w:t>
      </w:r>
    </w:p>
    <w:p>
      <w:pPr>
        <w:spacing w:after="0" w:before="200"/>
      </w:pPr>
      <w:r>
        <w:t xml:space="preserve"/>
      </w:r>
    </w:p>
    <w:p>
      <w:pPr>
        <w:spacing w:after="0" w:before="200"/>
      </w:pPr>
      <w:r>
        <w:t xml:space="preserve"/>
      </w:r>
    </w:p>
    <w:p>
      <w:pPr>
        <w:pBdr>
          <w:top w:val="single" w:color="C8973A" w:sz="8" w:space="4"/>
        </w:pBdr>
        <w:spacing w:after="0" w:before="0"/>
        <w:jc w:val="center"/>
      </w:pPr>
      <w:r>
        <w:rPr>
          <w:rFonts w:ascii="Calibri" w:cs="Calibri" w:eastAsia="Calibri" w:hAnsi="Calibri"/>
          <w:b/>
          <w:bCs/>
          <w:color w:val="C8973A"/>
          <w:sz w:val="20"/>
          <w:szCs w:val="20"/>
        </w:rPr>
        <w:t xml:space="preserve">  ◆  PHASE 7 — INTERACTIVE REPORT WIDGET  ◆  </w:t>
      </w:r>
    </w:p>
    <w:p>
      <w:pPr>
        <w:spacing w:after="0" w:before="120"/>
      </w:pPr>
      <w:r>
        <w:t xml:space="preserve"/>
      </w:r>
    </w:p>
    <w:p>
      <w:pPr>
        <w:pStyle w:val="Heading1"/>
        <w:pBdr>
          <w:bottom w:val="single" w:color="C8973A" w:sz="6" w:space="4"/>
        </w:pBdr>
        <w:spacing w:after="120" w:before="360"/>
      </w:pPr>
      <w:r>
        <w:rPr>
          <w:rFonts w:ascii="Calibri" w:cs="Calibri" w:eastAsia="Calibri" w:hAnsi="Calibri"/>
          <w:b/>
          <w:bCs/>
          <w:color w:val="0D0D0B"/>
          <w:sz w:val="28"/>
          <w:szCs w:val="28"/>
        </w:rPr>
        <w:t xml:space="preserve">8. Phase 7 — Interactive Report Widget</w:t>
      </w:r>
    </w:p>
    <w:p>
      <w:pPr>
        <w:shd w:fill="EAE6DC" w:val="clear"/>
        <w:spacing w:after="60" w:before="200"/>
      </w:pPr>
      <w:r>
        <w:rPr>
          <w:rFonts w:ascii="Calibri" w:cs="Calibri" w:eastAsia="Calibri" w:hAnsi="Calibri"/>
          <w:b/>
          <w:bCs/>
          <w:caps/>
          <w:color w:val="3a3828"/>
          <w:sz w:val="18"/>
          <w:szCs w:val="18"/>
        </w:rPr>
        <w:t xml:space="preserve">👤  USER</w:t>
      </w:r>
    </w:p>
    <w:p>
      <w:pPr>
        <w:shd w:fill="EAE6DC" w:val="clear"/>
        <w:spacing w:after="120" w:before="0"/>
        <w:ind w:left="160"/>
      </w:pPr>
      <w:r>
        <w:rPr>
          <w:rFonts w:ascii="Calibri" w:cs="Calibri" w:eastAsia="Calibri" w:hAnsi="Calibri"/>
          <w:color w:val="1a1816"/>
          <w:sz w:val="20"/>
          <w:szCs w:val="20"/>
        </w:rPr>
        <w:t xml:space="preserve">it's good. create a prompt.md file from everything that you have learned from my prompts.</w:t>
      </w:r>
    </w:p>
    <w:p>
      <w:pPr>
        <w:shd w:fill="EAE6DC" w:val="clear"/>
        <w:spacing w:after="60" w:before="200"/>
      </w:pPr>
      <w:r>
        <w:rPr>
          <w:rFonts w:ascii="Calibri" w:cs="Calibri" w:eastAsia="Calibri" w:hAnsi="Calibri"/>
          <w:b/>
          <w:bCs/>
          <w:caps/>
          <w:color w:val="3a3828"/>
          <w:sz w:val="18"/>
          <w:szCs w:val="18"/>
        </w:rPr>
        <w:t xml:space="preserve">👤  USER</w:t>
      </w:r>
    </w:p>
    <w:p>
      <w:pPr>
        <w:shd w:fill="EAE6DC" w:val="clear"/>
        <w:spacing w:after="120" w:before="0"/>
        <w:ind w:left="160"/>
      </w:pPr>
      <w:r>
        <w:rPr>
          <w:rFonts w:ascii="Calibri" w:cs="Calibri" w:eastAsia="Calibri" w:hAnsi="Calibri"/>
          <w:color w:val="1a1816"/>
          <w:sz w:val="20"/>
          <w:szCs w:val="20"/>
        </w:rPr>
        <w:t xml:space="preserve">On the basis of everything that you have learned so far, about the model, data, visualisation, UI, etc. Create a robust memory.md file.</w:t>
      </w:r>
    </w:p>
    <w:p>
      <w:pPr>
        <w:shd w:fill="EAE6DC" w:val="clear"/>
        <w:spacing w:after="60" w:before="200"/>
      </w:pPr>
      <w:r>
        <w:rPr>
          <w:rFonts w:ascii="Calibri" w:cs="Calibri" w:eastAsia="Calibri" w:hAnsi="Calibri"/>
          <w:b/>
          <w:bCs/>
          <w:caps/>
          <w:color w:val="3a3828"/>
          <w:sz w:val="18"/>
          <w:szCs w:val="18"/>
        </w:rPr>
        <w:t xml:space="preserve">👤  USER</w:t>
      </w:r>
    </w:p>
    <w:p>
      <w:pPr>
        <w:shd w:fill="EAE6DC" w:val="clear"/>
        <w:spacing w:after="120" w:before="0"/>
        <w:ind w:left="160"/>
      </w:pPr>
      <w:r>
        <w:rPr>
          <w:rFonts w:ascii="Calibri" w:cs="Calibri" w:eastAsia="Calibri" w:hAnsi="Calibri"/>
          <w:color w:val="1a1816"/>
          <w:sz w:val="20"/>
          <w:szCs w:val="20"/>
        </w:rPr>
        <w:t xml:space="preserve">generate a short 3/4 size page for this project [project brief with: problem, solution, tech stack, business impact, assumptions]</w:t>
      </w:r>
    </w:p>
    <w:p>
      <w:pPr>
        <w:spacing w:after="80" w:before="40"/>
      </w:pPr>
      <w:r>
        <w:rPr>
          <w:rFonts w:ascii="Calibri" w:cs="Calibri" w:eastAsia="Calibri" w:hAnsi="Calibri"/>
          <w:color w:val="2a2920"/>
          <w:sz w:val="20"/>
          <w:szCs w:val="20"/>
        </w:rPr>
        <w:t xml:space="preserve">The agent delivered three final artifacts in rapid sequence:</w:t>
      </w:r>
    </w:p>
    <w:p>
      <w:pPr>
        <w:spacing w:after="0" w:before="80"/>
      </w:pPr>
      <w:r>
        <w:t xml:space="preserve"/>
      </w:r>
    </w:p>
    <w:p>
      <w:pPr>
        <w:pStyle w:val="Heading2"/>
        <w:spacing w:after="80" w:before="240"/>
      </w:pPr>
      <w:r>
        <w:rPr>
          <w:rFonts w:ascii="Calibri" w:cs="Calibri" w:eastAsia="Calibri" w:hAnsi="Calibri"/>
          <w:b/>
          <w:bCs/>
          <w:color w:val="1B3A6B"/>
          <w:sz w:val="22"/>
          <w:szCs w:val="22"/>
        </w:rPr>
        <w:t xml:space="preserve">8.1  Report widget — technical architecture</w:t>
      </w:r>
    </w:p>
    <w:p>
      <w:pPr>
        <w:pStyle w:val="ListParagraph"/>
        <w:numPr>
          <w:ilvl w:val="0"/>
          <w:numId w:val="2"/>
        </w:numPr>
        <w:spacing w:after="40" w:before="40"/>
      </w:pPr>
      <w:r>
        <w:rPr>
          <w:rFonts w:ascii="Calibri" w:cs="Calibri" w:eastAsia="Calibri" w:hAnsi="Calibri"/>
          <w:color w:val="2a2920"/>
          <w:sz w:val="19"/>
          <w:szCs w:val="19"/>
        </w:rPr>
        <w:t xml:space="preserve">Render method: visualize:show_widget — renders inline in Claude chat (no separate app, no backend)</w:t>
      </w:r>
    </w:p>
    <w:p>
      <w:pPr>
        <w:pStyle w:val="ListParagraph"/>
        <w:numPr>
          <w:ilvl w:val="0"/>
          <w:numId w:val="2"/>
        </w:numPr>
        <w:spacing w:after="40" w:before="40"/>
      </w:pPr>
      <w:r>
        <w:rPr>
          <w:rFonts w:ascii="Calibri" w:cs="Calibri" w:eastAsia="Calibri" w:hAnsi="Calibri"/>
          <w:color w:val="2a2920"/>
          <w:sz w:val="19"/>
          <w:szCs w:val="19"/>
        </w:rPr>
        <w:t xml:space="preserve">All KPI data hardcoded as JS constants from model pull — no runtime API calls (eliminates CORS)</w:t>
      </w:r>
    </w:p>
    <w:p>
      <w:pPr>
        <w:pStyle w:val="ListParagraph"/>
        <w:numPr>
          <w:ilvl w:val="0"/>
          <w:numId w:val="2"/>
        </w:numPr>
        <w:spacing w:after="40" w:before="40"/>
      </w:pPr>
      <w:r>
        <w:rPr>
          <w:rFonts w:ascii="Calibri" w:cs="Calibri" w:eastAsia="Calibri" w:hAnsi="Calibri"/>
          <w:color w:val="2a2920"/>
          <w:sz w:val="19"/>
          <w:szCs w:val="19"/>
        </w:rPr>
        <w:t xml:space="preserve">All AI narratives hardcoded as strings from agent-generated analysis — not fetched at runtime</w:t>
      </w:r>
    </w:p>
    <w:p>
      <w:pPr>
        <w:pStyle w:val="ListParagraph"/>
        <w:numPr>
          <w:ilvl w:val="0"/>
          <w:numId w:val="2"/>
        </w:numPr>
        <w:spacing w:after="40" w:before="40"/>
      </w:pPr>
      <w:r>
        <w:rPr>
          <w:rFonts w:ascii="Calibri" w:cs="Calibri" w:eastAsia="Calibri" w:hAnsi="Calibri"/>
          <w:color w:val="2a2920"/>
          <w:sz w:val="19"/>
          <w:szCs w:val="19"/>
        </w:rPr>
        <w:t xml:space="preserve">Charts: Chart.js 4.4.1 from cdnjs.cloudflare.com — bar charts (Sales, Conversion, ET, UPT) + doughnut (lens mix)</w:t>
      </w:r>
    </w:p>
    <w:p>
      <w:pPr>
        <w:pStyle w:val="ListParagraph"/>
        <w:numPr>
          <w:ilvl w:val="0"/>
          <w:numId w:val="2"/>
        </w:numPr>
        <w:spacing w:after="40" w:before="40"/>
      </w:pPr>
      <w:r>
        <w:rPr>
          <w:rFonts w:ascii="Calibri" w:cs="Calibri" w:eastAsia="Calibri" w:hAnsi="Calibri"/>
          <w:color w:val="2a2920"/>
          <w:sz w:val="19"/>
          <w:szCs w:val="19"/>
        </w:rPr>
        <w:t xml:space="preserve">Sections: All 7 sections collapsible via click on header — toggle state managed in JS</w:t>
      </w:r>
    </w:p>
    <w:p>
      <w:pPr>
        <w:pStyle w:val="ListParagraph"/>
        <w:numPr>
          <w:ilvl w:val="0"/>
          <w:numId w:val="2"/>
        </w:numPr>
        <w:spacing w:after="40" w:before="40"/>
      </w:pPr>
      <w:r>
        <w:rPr>
          <w:rFonts w:ascii="Calibri" w:cs="Calibri" w:eastAsia="Calibri" w:hAnsi="Calibri"/>
          <w:color w:val="2a2920"/>
          <w:sz w:val="19"/>
          <w:szCs w:val="19"/>
        </w:rPr>
        <w:t xml:space="preserve">Editable textareas: Grooming &amp; discipline, VM/display freshness, Maintenance issues — for ZM audit notes</w:t>
      </w:r>
    </w:p>
    <w:p>
      <w:pPr>
        <w:pStyle w:val="ListParagraph"/>
        <w:numPr>
          <w:ilvl w:val="0"/>
          <w:numId w:val="2"/>
        </w:numPr>
        <w:spacing w:after="40" w:before="40"/>
      </w:pPr>
      <w:r>
        <w:rPr>
          <w:rFonts w:ascii="Calibri" w:cs="Calibri" w:eastAsia="Calibri" w:hAnsi="Calibri"/>
          <w:color w:val="2a2920"/>
          <w:sz w:val="19"/>
          <w:szCs w:val="19"/>
        </w:rPr>
        <w:t xml:space="preserve">Score ring: SVG circle with stroke-dashoffset computed as circumference × (1 − score/100)</w:t>
      </w:r>
    </w:p>
    <w:p>
      <w:pPr>
        <w:pStyle w:val="ListParagraph"/>
        <w:numPr>
          <w:ilvl w:val="0"/>
          <w:numId w:val="2"/>
        </w:numPr>
        <w:spacing w:after="40" w:before="40"/>
      </w:pPr>
      <w:r>
        <w:rPr>
          <w:rFonts w:ascii="Calibri" w:cs="Calibri" w:eastAsia="Calibri" w:hAnsi="Calibri"/>
          <w:color w:val="2a2920"/>
          <w:sz w:val="19"/>
          <w:szCs w:val="19"/>
        </w:rPr>
        <w:t xml:space="preserve">Playbook drill-down: sendPrompt() function passes action to Claude chat for follow-up</w:t>
      </w:r>
    </w:p>
    <w:p>
      <w:pPr>
        <w:pStyle w:val="ListParagraph"/>
        <w:numPr>
          <w:ilvl w:val="0"/>
          <w:numId w:val="2"/>
        </w:numPr>
        <w:spacing w:after="40" w:before="40"/>
      </w:pPr>
      <w:r>
        <w:rPr>
          <w:rFonts w:ascii="Calibri" w:cs="Calibri" w:eastAsia="Calibri" w:hAnsi="Calibri"/>
          <w:color w:val="2a2920"/>
          <w:sz w:val="19"/>
          <w:szCs w:val="19"/>
        </w:rPr>
        <w:t xml:space="preserve">Print stylesheet: config bar, buttons, textareas hidden — clean PDF output on Ctrl+P</w:t>
      </w:r>
    </w:p>
    <w:p>
      <w:pPr>
        <w:pStyle w:val="ListParagraph"/>
        <w:numPr>
          <w:ilvl w:val="0"/>
          <w:numId w:val="2"/>
        </w:numPr>
        <w:spacing w:after="40" w:before="40"/>
      </w:pPr>
      <w:r>
        <w:rPr>
          <w:rFonts w:ascii="Calibri" w:cs="Calibri" w:eastAsia="Calibri" w:hAnsi="Calibri"/>
          <w:color w:val="2a2920"/>
          <w:sz w:val="19"/>
          <w:szCs w:val="19"/>
        </w:rPr>
        <w:t xml:space="preserve">Dark mode: full CSS variable support throughout — colours invert automatically</w:t>
      </w:r>
    </w:p>
    <w:p>
      <w:pPr>
        <w:spacing w:after="0" w:before="80"/>
      </w:pPr>
      <w:r>
        <w:t xml:space="preserve"/>
      </w:r>
    </w:p>
    <w:p>
      <w:pPr>
        <w:pStyle w:val="Heading2"/>
        <w:spacing w:after="80" w:before="240"/>
      </w:pPr>
      <w:r>
        <w:rPr>
          <w:rFonts w:ascii="Calibri" w:cs="Calibri" w:eastAsia="Calibri" w:hAnsi="Calibri"/>
          <w:b/>
          <w:bCs/>
          <w:color w:val="1B3A6B"/>
          <w:sz w:val="22"/>
          <w:szCs w:val="22"/>
        </w:rPr>
        <w:t xml:space="preserve">8.2  Known issues resolved during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B84040" w:sz="6"/>
              <w:left w:val="single" w:color="B84040" w:sz="6"/>
              <w:bottom w:val="single" w:color="B84040" w:sz="6"/>
              <w:right w:val="single" w:color="B84040" w:sz="6"/>
            </w:tcBorders>
            <w:shd w:fill="B84040" w:val="clear"/>
            <w:tcMar>
              <w:top w:type="dxa" w:w="60"/>
              <w:left w:type="dxa" w:w="100"/>
              <w:bottom w:type="dxa" w:w="60"/>
              <w:right w:type="dxa" w:w="100"/>
            </w:tcMar>
          </w:tcPr>
          <w:p>
            <w:r>
              <w:rPr>
                <w:rFonts w:ascii="Calibri" w:cs="Calibri" w:eastAsia="Calibri" w:hAnsi="Calibri"/>
                <w:b/>
                <w:bCs/>
                <w:color w:val="FFFFFF"/>
                <w:sz w:val="17"/>
                <w:szCs w:val="17"/>
              </w:rPr>
              <w:t xml:space="preserve">Issue</w:t>
            </w:r>
          </w:p>
        </w:tc>
        <w:tc>
          <w:tcPr>
            <w:tcW w:type="dxa" w:w="3000"/>
            <w:tcBorders>
              <w:top w:val="single" w:color="B84040" w:sz="6"/>
              <w:left w:val="single" w:color="B84040" w:sz="6"/>
              <w:bottom w:val="single" w:color="B84040" w:sz="6"/>
              <w:right w:val="single" w:color="B84040" w:sz="6"/>
            </w:tcBorders>
            <w:shd w:fill="B84040" w:val="clear"/>
            <w:tcMar>
              <w:top w:type="dxa" w:w="60"/>
              <w:left w:type="dxa" w:w="100"/>
              <w:bottom w:type="dxa" w:w="60"/>
              <w:right w:type="dxa" w:w="100"/>
            </w:tcMar>
          </w:tcPr>
          <w:p>
            <w:r>
              <w:rPr>
                <w:rFonts w:ascii="Calibri" w:cs="Calibri" w:eastAsia="Calibri" w:hAnsi="Calibri"/>
                <w:b/>
                <w:bCs/>
                <w:color w:val="FFFFFF"/>
                <w:sz w:val="17"/>
                <w:szCs w:val="17"/>
              </w:rPr>
              <w:t xml:space="preserve">Root Cause</w:t>
            </w:r>
          </w:p>
        </w:tc>
        <w:tc>
          <w:tcPr>
            <w:tcW w:type="dxa" w:w="3360"/>
            <w:tcBorders>
              <w:top w:val="single" w:color="B84040" w:sz="6"/>
              <w:left w:val="single" w:color="B84040" w:sz="6"/>
              <w:bottom w:val="single" w:color="B84040" w:sz="6"/>
              <w:right w:val="single" w:color="B84040" w:sz="6"/>
            </w:tcBorders>
            <w:shd w:fill="B84040" w:val="clear"/>
            <w:tcMar>
              <w:top w:type="dxa" w:w="60"/>
              <w:left w:type="dxa" w:w="100"/>
              <w:bottom w:type="dxa" w:w="60"/>
              <w:right w:type="dxa" w:w="100"/>
            </w:tcMar>
          </w:tcPr>
          <w:p>
            <w:r>
              <w:rPr>
                <w:rFonts w:ascii="Calibri" w:cs="Calibri" w:eastAsia="Calibri" w:hAnsi="Calibri"/>
                <w:b/>
                <w:bCs/>
                <w:color w:val="FFFFFF"/>
                <w:sz w:val="17"/>
                <w:szCs w:val="17"/>
              </w:rPr>
              <w:t xml:space="preserve">Fix Applied</w:t>
            </w:r>
          </w:p>
        </w:tc>
      </w:tr>
      <w:tr>
        <w:tc>
          <w:tcPr>
            <w:tcW w:type="dxa" w:w="3000"/>
            <w:tcBorders>
              <w:top w:val="single" w:color="DDDBCF" w:sz="4"/>
              <w:left w:val="single" w:color="DDDBCF" w:sz="4"/>
              <w:bottom w:val="single" w:color="DDDBCF" w:sz="4"/>
              <w:right w:val="single" w:color="DDDBCF" w:sz="4"/>
            </w:tcBorders>
            <w:tcMar>
              <w:top w:type="dxa" w:w="50"/>
              <w:left w:type="dxa" w:w="100"/>
              <w:bottom w:type="dxa" w:w="50"/>
              <w:right w:type="dxa" w:w="100"/>
            </w:tcMar>
          </w:tcPr>
          <w:p>
            <w:r>
              <w:rPr>
                <w:rFonts w:ascii="Calibri" w:cs="Calibri" w:eastAsia="Calibri" w:hAnsi="Calibri"/>
                <w:b/>
                <w:bCs/>
                <w:color w:val="B84040"/>
                <w:sz w:val="17"/>
                <w:szCs w:val="17"/>
              </w:rPr>
              <w:t xml:space="preserve">CORS error on file:// open</w:t>
            </w:r>
          </w:p>
        </w:tc>
        <w:tc>
          <w:tcPr>
            <w:tcW w:type="dxa" w:w="3000"/>
            <w:tcBorders>
              <w:top w:val="single" w:color="DDDBCF" w:sz="4"/>
              <w:left w:val="single" w:color="DDDBCF" w:sz="4"/>
              <w:bottom w:val="single" w:color="DDDBCF" w:sz="4"/>
              <w:right w:val="single" w:color="DDDBCF" w:sz="4"/>
            </w:tcBorders>
            <w:tcMar>
              <w:top w:type="dxa" w:w="50"/>
              <w:left w:type="dxa" w:w="100"/>
              <w:bottom w:type="dxa" w:w="50"/>
              <w:right w:type="dxa" w:w="100"/>
            </w:tcMar>
          </w:tcPr>
          <w:p>
            <w:r>
              <w:rPr>
                <w:rFonts w:ascii="Calibri" w:cs="Calibri" w:eastAsia="Calibri" w:hAnsi="Calibri"/>
                <w:color w:val="3a3828"/>
                <w:sz w:val="17"/>
                <w:szCs w:val="17"/>
              </w:rPr>
              <w:t xml:space="preserve">Widget HTML called Anthropic API directly via fetch()</w:t>
            </w:r>
          </w:p>
        </w:tc>
        <w:tc>
          <w:tcPr>
            <w:tcW w:type="dxa" w:w="3360"/>
            <w:tcBorders>
              <w:top w:val="single" w:color="DDDBCF" w:sz="4"/>
              <w:left w:val="single" w:color="DDDBCF" w:sz="4"/>
              <w:bottom w:val="single" w:color="DDDBCF" w:sz="4"/>
              <w:right w:val="single" w:color="DDDBCF" w:sz="4"/>
            </w:tcBorders>
            <w:tcMar>
              <w:top w:type="dxa" w:w="50"/>
              <w:left w:type="dxa" w:w="100"/>
              <w:bottom w:type="dxa" w:w="50"/>
              <w:right w:type="dxa" w:w="100"/>
            </w:tcMar>
          </w:tcPr>
          <w:p>
            <w:r>
              <w:rPr>
                <w:rFonts w:ascii="Calibri" w:cs="Calibri" w:eastAsia="Calibri" w:hAnsi="Calibri"/>
                <w:color w:val="2E7D32"/>
                <w:sz w:val="17"/>
                <w:szCs w:val="17"/>
              </w:rPr>
              <w:t xml:space="preserve">All data hardcoded; no runtime API calls</w:t>
            </w:r>
          </w:p>
        </w:tc>
      </w:tr>
      <w:tr>
        <w:tc>
          <w:tcPr>
            <w:tcW w:type="dxa" w:w="3000"/>
            <w:tcBorders>
              <w:top w:val="single" w:color="DDDBCF" w:sz="4"/>
              <w:left w:val="single" w:color="DDDBCF" w:sz="4"/>
              <w:bottom w:val="single" w:color="DDDBCF" w:sz="4"/>
              <w:right w:val="single" w:color="DDDBCF" w:sz="4"/>
            </w:tcBorders>
            <w:tcMar>
              <w:top w:type="dxa" w:w="50"/>
              <w:left w:type="dxa" w:w="100"/>
              <w:bottom w:type="dxa" w:w="50"/>
              <w:right w:type="dxa" w:w="100"/>
            </w:tcMar>
          </w:tcPr>
          <w:p>
            <w:r>
              <w:rPr>
                <w:rFonts w:ascii="Calibri" w:cs="Calibri" w:eastAsia="Calibri" w:hAnsi="Calibri"/>
                <w:b/>
                <w:bCs/>
                <w:color w:val="B84040"/>
                <w:sz w:val="17"/>
                <w:szCs w:val="17"/>
              </w:rPr>
              <w:t xml:space="preserve">[Conversion] measure mismatch</w:t>
            </w:r>
          </w:p>
        </w:tc>
        <w:tc>
          <w:tcPr>
            <w:tcW w:type="dxa" w:w="3000"/>
            <w:tcBorders>
              <w:top w:val="single" w:color="DDDBCF" w:sz="4"/>
              <w:left w:val="single" w:color="DDDBCF" w:sz="4"/>
              <w:bottom w:val="single" w:color="DDDBCF" w:sz="4"/>
              <w:right w:val="single" w:color="DDDBCF" w:sz="4"/>
            </w:tcBorders>
            <w:tcMar>
              <w:top w:type="dxa" w:w="50"/>
              <w:left w:type="dxa" w:w="100"/>
              <w:bottom w:type="dxa" w:w="50"/>
              <w:right w:type="dxa" w:w="100"/>
            </w:tcMar>
          </w:tcPr>
          <w:p>
            <w:r>
              <w:rPr>
                <w:rFonts w:ascii="Calibri" w:cs="Calibri" w:eastAsia="Calibri" w:hAnsi="Calibri"/>
                <w:color w:val="3a3828"/>
                <w:sz w:val="17"/>
                <w:szCs w:val="17"/>
              </w:rPr>
              <w:t xml:space="preserve">Model uses different footfall denominator internally</w:t>
            </w:r>
          </w:p>
        </w:tc>
        <w:tc>
          <w:tcPr>
            <w:tcW w:type="dxa" w:w="3360"/>
            <w:tcBorders>
              <w:top w:val="single" w:color="DDDBCF" w:sz="4"/>
              <w:left w:val="single" w:color="DDDBCF" w:sz="4"/>
              <w:bottom w:val="single" w:color="DDDBCF" w:sz="4"/>
              <w:right w:val="single" w:color="DDDBCF" w:sz="4"/>
            </w:tcBorders>
            <w:tcMar>
              <w:top w:type="dxa" w:w="50"/>
              <w:left w:type="dxa" w:w="100"/>
              <w:bottom w:type="dxa" w:w="50"/>
              <w:right w:type="dxa" w:w="100"/>
            </w:tcMar>
          </w:tcPr>
          <w:p>
            <w:r>
              <w:rPr>
                <w:rFonts w:ascii="Calibri" w:cs="Calibri" w:eastAsia="Calibri" w:hAnsi="Calibri"/>
                <w:color w:val="2E7D32"/>
                <w:sz w:val="17"/>
                <w:szCs w:val="17"/>
              </w:rPr>
              <w:t xml:space="preserve">Always derive: Net Orders / Footfall × 100</w:t>
            </w:r>
          </w:p>
        </w:tc>
      </w:tr>
      <w:tr>
        <w:tc>
          <w:tcPr>
            <w:tcW w:type="dxa" w:w="3000"/>
            <w:tcBorders>
              <w:top w:val="single" w:color="DDDBCF" w:sz="4"/>
              <w:left w:val="single" w:color="DDDBCF" w:sz="4"/>
              <w:bottom w:val="single" w:color="DDDBCF" w:sz="4"/>
              <w:right w:val="single" w:color="DDDBCF" w:sz="4"/>
            </w:tcBorders>
            <w:tcMar>
              <w:top w:type="dxa" w:w="50"/>
              <w:left w:type="dxa" w:w="100"/>
              <w:bottom w:type="dxa" w:w="50"/>
              <w:right w:type="dxa" w:w="100"/>
            </w:tcMar>
          </w:tcPr>
          <w:p>
            <w:r>
              <w:rPr>
                <w:rFonts w:ascii="Calibri" w:cs="Calibri" w:eastAsia="Calibri" w:hAnsi="Calibri"/>
                <w:b/>
                <w:bCs/>
                <w:color w:val="B84040"/>
                <w:sz w:val="17"/>
                <w:szCs w:val="17"/>
              </w:rPr>
              <w:t xml:space="preserve">[Store Stock] DAX error</w:t>
            </w:r>
          </w:p>
        </w:tc>
        <w:tc>
          <w:tcPr>
            <w:tcW w:type="dxa" w:w="3000"/>
            <w:tcBorders>
              <w:top w:val="single" w:color="DDDBCF" w:sz="4"/>
              <w:left w:val="single" w:color="DDDBCF" w:sz="4"/>
              <w:bottom w:val="single" w:color="DDDBCF" w:sz="4"/>
              <w:right w:val="single" w:color="DDDBCF" w:sz="4"/>
            </w:tcBorders>
            <w:tcMar>
              <w:top w:type="dxa" w:w="50"/>
              <w:left w:type="dxa" w:w="100"/>
              <w:bottom w:type="dxa" w:w="50"/>
              <w:right w:type="dxa" w:w="100"/>
            </w:tcMar>
          </w:tcPr>
          <w:p>
            <w:r>
              <w:rPr>
                <w:rFonts w:ascii="Calibri" w:cs="Calibri" w:eastAsia="Calibri" w:hAnsi="Calibri"/>
                <w:color w:val="3a3828"/>
                <w:sz w:val="17"/>
                <w:szCs w:val="17"/>
              </w:rPr>
              <w:t xml:space="preserve">References [In-Transit Store Stock] without store context</w:t>
            </w:r>
          </w:p>
        </w:tc>
        <w:tc>
          <w:tcPr>
            <w:tcW w:type="dxa" w:w="3360"/>
            <w:tcBorders>
              <w:top w:val="single" w:color="DDDBCF" w:sz="4"/>
              <w:left w:val="single" w:color="DDDBCF" w:sz="4"/>
              <w:bottom w:val="single" w:color="DDDBCF" w:sz="4"/>
              <w:right w:val="single" w:color="DDDBCF" w:sz="4"/>
            </w:tcBorders>
            <w:tcMar>
              <w:top w:type="dxa" w:w="50"/>
              <w:left w:type="dxa" w:w="100"/>
              <w:bottom w:type="dxa" w:w="50"/>
              <w:right w:type="dxa" w:w="100"/>
            </w:tcMar>
          </w:tcPr>
          <w:p>
            <w:r>
              <w:rPr>
                <w:rFonts w:ascii="Calibri" w:cs="Calibri" w:eastAsia="Calibri" w:hAnsi="Calibri"/>
                <w:color w:val="2E7D32"/>
                <w:sz w:val="17"/>
                <w:szCs w:val="17"/>
              </w:rPr>
              <w:t xml:space="preserve">Exclude from ROW() queries</w:t>
            </w:r>
          </w:p>
        </w:tc>
      </w:tr>
      <w:tr>
        <w:tc>
          <w:tcPr>
            <w:tcW w:type="dxa" w:w="3000"/>
            <w:tcBorders>
              <w:top w:val="single" w:color="DDDBCF" w:sz="4"/>
              <w:left w:val="single" w:color="DDDBCF" w:sz="4"/>
              <w:bottom w:val="single" w:color="DDDBCF" w:sz="4"/>
              <w:right w:val="single" w:color="DDDBCF" w:sz="4"/>
            </w:tcBorders>
            <w:tcMar>
              <w:top w:type="dxa" w:w="50"/>
              <w:left w:type="dxa" w:w="100"/>
              <w:bottom w:type="dxa" w:w="50"/>
              <w:right w:type="dxa" w:w="100"/>
            </w:tcMar>
          </w:tcPr>
          <w:p>
            <w:r>
              <w:rPr>
                <w:rFonts w:ascii="Calibri" w:cs="Calibri" w:eastAsia="Calibri" w:hAnsi="Calibri"/>
                <w:b/>
                <w:bCs/>
                <w:color w:val="B84040"/>
                <w:sz w:val="17"/>
                <w:szCs w:val="17"/>
              </w:rPr>
              <w:t xml:space="preserve">Charts not rendering</w:t>
            </w:r>
          </w:p>
        </w:tc>
        <w:tc>
          <w:tcPr>
            <w:tcW w:type="dxa" w:w="3000"/>
            <w:tcBorders>
              <w:top w:val="single" w:color="DDDBCF" w:sz="4"/>
              <w:left w:val="single" w:color="DDDBCF" w:sz="4"/>
              <w:bottom w:val="single" w:color="DDDBCF" w:sz="4"/>
              <w:right w:val="single" w:color="DDDBCF" w:sz="4"/>
            </w:tcBorders>
            <w:tcMar>
              <w:top w:type="dxa" w:w="50"/>
              <w:left w:type="dxa" w:w="100"/>
              <w:bottom w:type="dxa" w:w="50"/>
              <w:right w:type="dxa" w:w="100"/>
            </w:tcMar>
          </w:tcPr>
          <w:p>
            <w:r>
              <w:rPr>
                <w:rFonts w:ascii="Calibri" w:cs="Calibri" w:eastAsia="Calibri" w:hAnsi="Calibri"/>
                <w:color w:val="3a3828"/>
                <w:sz w:val="17"/>
                <w:szCs w:val="17"/>
              </w:rPr>
              <w:t xml:space="preserve">Script ran before canvas elements in DOM</w:t>
            </w:r>
          </w:p>
        </w:tc>
        <w:tc>
          <w:tcPr>
            <w:tcW w:type="dxa" w:w="3360"/>
            <w:tcBorders>
              <w:top w:val="single" w:color="DDDBCF" w:sz="4"/>
              <w:left w:val="single" w:color="DDDBCF" w:sz="4"/>
              <w:bottom w:val="single" w:color="DDDBCF" w:sz="4"/>
              <w:right w:val="single" w:color="DDDBCF" w:sz="4"/>
            </w:tcBorders>
            <w:tcMar>
              <w:top w:type="dxa" w:w="50"/>
              <w:left w:type="dxa" w:w="100"/>
              <w:bottom w:type="dxa" w:w="50"/>
              <w:right w:type="dxa" w:w="100"/>
            </w:tcMar>
          </w:tcPr>
          <w:p>
            <w:r>
              <w:rPr>
                <w:rFonts w:ascii="Calibri" w:cs="Calibri" w:eastAsia="Calibri" w:hAnsi="Calibri"/>
                <w:color w:val="2E7D32"/>
                <w:sz w:val="17"/>
                <w:szCs w:val="17"/>
              </w:rPr>
              <w:t xml:space="preserve">setTimeout(() =&gt; drawCharts(), 100)</w:t>
            </w:r>
          </w:p>
        </w:tc>
      </w:tr>
      <w:tr>
        <w:tc>
          <w:tcPr>
            <w:tcW w:type="dxa" w:w="3000"/>
            <w:tcBorders>
              <w:top w:val="single" w:color="DDDBCF" w:sz="4"/>
              <w:left w:val="single" w:color="DDDBCF" w:sz="4"/>
              <w:bottom w:val="single" w:color="DDDBCF" w:sz="4"/>
              <w:right w:val="single" w:color="DDDBCF" w:sz="4"/>
            </w:tcBorders>
            <w:tcMar>
              <w:top w:type="dxa" w:w="50"/>
              <w:left w:type="dxa" w:w="100"/>
              <w:bottom w:type="dxa" w:w="50"/>
              <w:right w:type="dxa" w:w="100"/>
            </w:tcMar>
          </w:tcPr>
          <w:p>
            <w:r>
              <w:rPr>
                <w:rFonts w:ascii="Calibri" w:cs="Calibri" w:eastAsia="Calibri" w:hAnsi="Calibri"/>
                <w:b/>
                <w:bCs/>
                <w:color w:val="B84040"/>
                <w:sz w:val="17"/>
                <w:szCs w:val="17"/>
              </w:rPr>
              <w:t xml:space="preserve">Old charts flickering</w:t>
            </w:r>
          </w:p>
        </w:tc>
        <w:tc>
          <w:tcPr>
            <w:tcW w:type="dxa" w:w="3000"/>
            <w:tcBorders>
              <w:top w:val="single" w:color="DDDBCF" w:sz="4"/>
              <w:left w:val="single" w:color="DDDBCF" w:sz="4"/>
              <w:bottom w:val="single" w:color="DDDBCF" w:sz="4"/>
              <w:right w:val="single" w:color="DDDBCF" w:sz="4"/>
            </w:tcBorders>
            <w:tcMar>
              <w:top w:type="dxa" w:w="50"/>
              <w:left w:type="dxa" w:w="100"/>
              <w:bottom w:type="dxa" w:w="50"/>
              <w:right w:type="dxa" w:w="100"/>
            </w:tcMar>
          </w:tcPr>
          <w:p>
            <w:r>
              <w:rPr>
                <w:rFonts w:ascii="Calibri" w:cs="Calibri" w:eastAsia="Calibri" w:hAnsi="Calibri"/>
                <w:color w:val="3a3828"/>
                <w:sz w:val="17"/>
                <w:szCs w:val="17"/>
              </w:rPr>
              <w:t xml:space="preserve">Canvas reuse error on widget rebuild</w:t>
            </w:r>
          </w:p>
        </w:tc>
        <w:tc>
          <w:tcPr>
            <w:tcW w:type="dxa" w:w="3360"/>
            <w:tcBorders>
              <w:top w:val="single" w:color="DDDBCF" w:sz="4"/>
              <w:left w:val="single" w:color="DDDBCF" w:sz="4"/>
              <w:bottom w:val="single" w:color="DDDBCF" w:sz="4"/>
              <w:right w:val="single" w:color="DDDBCF" w:sz="4"/>
            </w:tcBorders>
            <w:tcMar>
              <w:top w:type="dxa" w:w="50"/>
              <w:left w:type="dxa" w:w="100"/>
              <w:bottom w:type="dxa" w:w="50"/>
              <w:right w:type="dxa" w:w="100"/>
            </w:tcMar>
          </w:tcPr>
          <w:p>
            <w:r>
              <w:rPr>
                <w:rFonts w:ascii="Calibri" w:cs="Calibri" w:eastAsia="Calibri" w:hAnsi="Calibri"/>
                <w:color w:val="2E7D32"/>
                <w:sz w:val="17"/>
                <w:szCs w:val="17"/>
              </w:rPr>
              <w:t xml:space="preserve">CHS.forEach(c =&gt; c.destroy()) before rebuild</w:t>
            </w:r>
          </w:p>
        </w:tc>
      </w:tr>
      <w:tr>
        <w:tc>
          <w:tcPr>
            <w:tcW w:type="dxa" w:w="3000"/>
            <w:tcBorders>
              <w:top w:val="single" w:color="DDDBCF" w:sz="4"/>
              <w:left w:val="single" w:color="DDDBCF" w:sz="4"/>
              <w:bottom w:val="single" w:color="DDDBCF" w:sz="4"/>
              <w:right w:val="single" w:color="DDDBCF" w:sz="4"/>
            </w:tcBorders>
            <w:tcMar>
              <w:top w:type="dxa" w:w="50"/>
              <w:left w:type="dxa" w:w="100"/>
              <w:bottom w:type="dxa" w:w="50"/>
              <w:right w:type="dxa" w:w="100"/>
            </w:tcMar>
          </w:tcPr>
          <w:p>
            <w:r>
              <w:rPr>
                <w:rFonts w:ascii="Calibri" w:cs="Calibri" w:eastAsia="Calibri" w:hAnsi="Calibri"/>
                <w:b/>
                <w:bCs/>
                <w:color w:val="B84040"/>
                <w:sz w:val="17"/>
                <w:szCs w:val="17"/>
              </w:rPr>
              <w:t xml:space="preserve">Search dropdown not closing</w:t>
            </w:r>
          </w:p>
        </w:tc>
        <w:tc>
          <w:tcPr>
            <w:tcW w:type="dxa" w:w="3000"/>
            <w:tcBorders>
              <w:top w:val="single" w:color="DDDBCF" w:sz="4"/>
              <w:left w:val="single" w:color="DDDBCF" w:sz="4"/>
              <w:bottom w:val="single" w:color="DDDBCF" w:sz="4"/>
              <w:right w:val="single" w:color="DDDBCF" w:sz="4"/>
            </w:tcBorders>
            <w:tcMar>
              <w:top w:type="dxa" w:w="50"/>
              <w:left w:type="dxa" w:w="100"/>
              <w:bottom w:type="dxa" w:w="50"/>
              <w:right w:type="dxa" w:w="100"/>
            </w:tcMar>
          </w:tcPr>
          <w:p>
            <w:r>
              <w:rPr>
                <w:rFonts w:ascii="Calibri" w:cs="Calibri" w:eastAsia="Calibri" w:hAnsi="Calibri"/>
                <w:color w:val="3a3828"/>
                <w:sz w:val="17"/>
                <w:szCs w:val="17"/>
              </w:rPr>
              <w:t xml:space="preserve">onblur fired before onmousedown on option</w:t>
            </w:r>
          </w:p>
        </w:tc>
        <w:tc>
          <w:tcPr>
            <w:tcW w:type="dxa" w:w="3360"/>
            <w:tcBorders>
              <w:top w:val="single" w:color="DDDBCF" w:sz="4"/>
              <w:left w:val="single" w:color="DDDBCF" w:sz="4"/>
              <w:bottom w:val="single" w:color="DDDBCF" w:sz="4"/>
              <w:right w:val="single" w:color="DDDBCF" w:sz="4"/>
            </w:tcBorders>
            <w:tcMar>
              <w:top w:type="dxa" w:w="50"/>
              <w:left w:type="dxa" w:w="100"/>
              <w:bottom w:type="dxa" w:w="50"/>
              <w:right w:type="dxa" w:w="100"/>
            </w:tcMar>
          </w:tcPr>
          <w:p>
            <w:r>
              <w:rPr>
                <w:rFonts w:ascii="Calibri" w:cs="Calibri" w:eastAsia="Calibri" w:hAnsi="Calibri"/>
                <w:color w:val="2E7D32"/>
                <w:sz w:val="17"/>
                <w:szCs w:val="17"/>
              </w:rPr>
              <w:t xml:space="preserve">setTimeout(() =&gt; closeDD(), 200) on blur</w:t>
            </w:r>
          </w:p>
        </w:tc>
      </w:tr>
      <w:tr>
        <w:tc>
          <w:tcPr>
            <w:tcW w:type="dxa" w:w="3000"/>
            <w:tcBorders>
              <w:top w:val="single" w:color="DDDBCF" w:sz="4"/>
              <w:left w:val="single" w:color="DDDBCF" w:sz="4"/>
              <w:bottom w:val="single" w:color="DDDBCF" w:sz="4"/>
              <w:right w:val="single" w:color="DDDBCF" w:sz="4"/>
            </w:tcBorders>
            <w:tcMar>
              <w:top w:type="dxa" w:w="50"/>
              <w:left w:type="dxa" w:w="100"/>
              <w:bottom w:type="dxa" w:w="50"/>
              <w:right w:type="dxa" w:w="100"/>
            </w:tcMar>
          </w:tcPr>
          <w:p>
            <w:r>
              <w:rPr>
                <w:rFonts w:ascii="Calibri" w:cs="Calibri" w:eastAsia="Calibri" w:hAnsi="Calibri"/>
                <w:b/>
                <w:bCs/>
                <w:color w:val="B84040"/>
                <w:sz w:val="17"/>
                <w:szCs w:val="17"/>
              </w:rPr>
              <w:t xml:space="preserve">Dim_Date_Time_Line[Filter] error</w:t>
            </w:r>
          </w:p>
        </w:tc>
        <w:tc>
          <w:tcPr>
            <w:tcW w:type="dxa" w:w="3000"/>
            <w:tcBorders>
              <w:top w:val="single" w:color="DDDBCF" w:sz="4"/>
              <w:left w:val="single" w:color="DDDBCF" w:sz="4"/>
              <w:bottom w:val="single" w:color="DDDBCF" w:sz="4"/>
              <w:right w:val="single" w:color="DDDBCF" w:sz="4"/>
            </w:tcBorders>
            <w:tcMar>
              <w:top w:type="dxa" w:w="50"/>
              <w:left w:type="dxa" w:w="100"/>
              <w:bottom w:type="dxa" w:w="50"/>
              <w:right w:type="dxa" w:w="100"/>
            </w:tcMar>
          </w:tcPr>
          <w:p>
            <w:r>
              <w:rPr>
                <w:rFonts w:ascii="Calibri" w:cs="Calibri" w:eastAsia="Calibri" w:hAnsi="Calibri"/>
                <w:color w:val="3a3828"/>
                <w:sz w:val="17"/>
                <w:szCs w:val="17"/>
              </w:rPr>
              <w:t xml:space="preserve">Calculated column errors when scanned directly</w:t>
            </w:r>
          </w:p>
        </w:tc>
        <w:tc>
          <w:tcPr>
            <w:tcW w:type="dxa" w:w="3360"/>
            <w:tcBorders>
              <w:top w:val="single" w:color="DDDBCF" w:sz="4"/>
              <w:left w:val="single" w:color="DDDBCF" w:sz="4"/>
              <w:bottom w:val="single" w:color="DDDBCF" w:sz="4"/>
              <w:right w:val="single" w:color="DDDBCF" w:sz="4"/>
            </w:tcBorders>
            <w:tcMar>
              <w:top w:type="dxa" w:w="50"/>
              <w:left w:type="dxa" w:w="100"/>
              <w:bottom w:type="dxa" w:w="50"/>
              <w:right w:type="dxa" w:w="100"/>
            </w:tcMar>
          </w:tcPr>
          <w:p>
            <w:r>
              <w:rPr>
                <w:rFonts w:ascii="Calibri" w:cs="Calibri" w:eastAsia="Calibri" w:hAnsi="Calibri"/>
                <w:color w:val="2E7D32"/>
                <w:sz w:val="17"/>
                <w:szCs w:val="17"/>
              </w:rPr>
              <w:t xml:space="preserve">Use dim_dynamic_date_master instead</w:t>
            </w:r>
          </w:p>
        </w:tc>
      </w:tr>
    </w:tbl>
    <w:p>
      <w:pPr>
        <w:spacing w:after="0" w:before="200"/>
      </w:pPr>
      <w:r>
        <w:t xml:space="preserve"/>
      </w:r>
    </w:p>
    <w:p>
      <w:pPr>
        <w:spacing w:after="0" w:before="200"/>
      </w:pPr>
      <w:r>
        <w:t xml:space="preserve"/>
      </w:r>
    </w:p>
    <w:p>
      <w:pPr>
        <w:pBdr>
          <w:top w:val="single" w:color="C8973A" w:sz="8" w:space="4"/>
        </w:pBdr>
        <w:spacing w:after="0" w:before="0"/>
        <w:jc w:val="center"/>
      </w:pPr>
      <w:r>
        <w:rPr>
          <w:rFonts w:ascii="Calibri" w:cs="Calibri" w:eastAsia="Calibri" w:hAnsi="Calibri"/>
          <w:b/>
          <w:bCs/>
          <w:color w:val="C8973A"/>
          <w:sz w:val="20"/>
          <w:szCs w:val="20"/>
        </w:rPr>
        <w:t xml:space="preserve">  ◆  KEY TECHNICAL LEARNINGS  ◆  </w:t>
      </w:r>
    </w:p>
    <w:p>
      <w:pPr>
        <w:spacing w:after="0" w:before="120"/>
      </w:pPr>
      <w:r>
        <w:t xml:space="preserve"/>
      </w:r>
    </w:p>
    <w:p>
      <w:pPr>
        <w:pStyle w:val="Heading1"/>
        <w:pBdr>
          <w:bottom w:val="single" w:color="C8973A" w:sz="6" w:space="4"/>
        </w:pBdr>
        <w:spacing w:after="120" w:before="360"/>
      </w:pPr>
      <w:r>
        <w:rPr>
          <w:rFonts w:ascii="Calibri" w:cs="Calibri" w:eastAsia="Calibri" w:hAnsi="Calibri"/>
          <w:b/>
          <w:bCs/>
          <w:color w:val="0D0D0B"/>
          <w:sz w:val="28"/>
          <w:szCs w:val="28"/>
        </w:rPr>
        <w:t xml:space="preserve">9. Key Technical Learnings</w:t>
      </w:r>
    </w:p>
    <w:p>
      <w:pPr>
        <w:pStyle w:val="Heading2"/>
        <w:spacing w:after="80" w:before="240"/>
      </w:pPr>
      <w:r>
        <w:rPr>
          <w:rFonts w:ascii="Calibri" w:cs="Calibri" w:eastAsia="Calibri" w:hAnsi="Calibri"/>
          <w:b/>
          <w:bCs/>
          <w:color w:val="1B3A6B"/>
          <w:sz w:val="22"/>
          <w:szCs w:val="22"/>
        </w:rPr>
        <w:t xml:space="preserve">9.1  Power BI / DAX</w:t>
      </w:r>
    </w:p>
    <w:p>
      <w:pPr>
        <w:pStyle w:val="ListParagraph"/>
        <w:numPr>
          <w:ilvl w:val="0"/>
          <w:numId w:val="2"/>
        </w:numPr>
        <w:spacing w:after="40" w:before="40"/>
      </w:pPr>
      <w:r>
        <w:rPr>
          <w:rFonts w:ascii="Calibri" w:cs="Calibri" w:eastAsia="Calibri" w:hAnsi="Calibri"/>
          <w:color w:val="2a2920"/>
          <w:sz w:val="19"/>
          <w:szCs w:val="19"/>
        </w:rPr>
        <w:t xml:space="preserve">dim_dynamic_date_master is the ONLY table to use for period filtering — [Date-Parameter] is the filter column</w:t>
      </w:r>
    </w:p>
    <w:p>
      <w:pPr>
        <w:pStyle w:val="ListParagraph"/>
        <w:numPr>
          <w:ilvl w:val="0"/>
          <w:numId w:val="2"/>
        </w:numPr>
        <w:spacing w:after="40" w:before="40"/>
      </w:pPr>
      <w:r>
        <w:rPr>
          <w:rFonts w:ascii="Calibri" w:cs="Calibri" w:eastAsia="Calibri" w:hAnsi="Calibri"/>
          <w:color w:val="2a2920"/>
          <w:sz w:val="19"/>
          <w:szCs w:val="19"/>
        </w:rPr>
        <w:t xml:space="preserve">Dim_Date_Time_Line has a buggy calculated column [Filter] — never scan this table directly</w:t>
      </w:r>
    </w:p>
    <w:p>
      <w:pPr>
        <w:pStyle w:val="ListParagraph"/>
        <w:numPr>
          <w:ilvl w:val="0"/>
          <w:numId w:val="2"/>
        </w:numPr>
        <w:spacing w:after="40" w:before="40"/>
      </w:pPr>
      <w:r>
        <w:rPr>
          <w:rFonts w:ascii="Calibri" w:cs="Calibri" w:eastAsia="Calibri" w:hAnsi="Calibri"/>
          <w:color w:val="2a2920"/>
          <w:sz w:val="19"/>
          <w:szCs w:val="19"/>
        </w:rPr>
        <w:t xml:space="preserve">INFO.MEASURES() returns 1,137 measures — always pipe to file/grep to search; never inline</w:t>
      </w:r>
    </w:p>
    <w:p>
      <w:pPr>
        <w:pStyle w:val="ListParagraph"/>
        <w:numPr>
          <w:ilvl w:val="0"/>
          <w:numId w:val="2"/>
        </w:numPr>
        <w:spacing w:after="40" w:before="40"/>
      </w:pPr>
      <w:r>
        <w:rPr>
          <w:rFonts w:ascii="Calibri" w:cs="Calibri" w:eastAsia="Calibri" w:hAnsi="Calibri"/>
          <w:color w:val="2a2920"/>
          <w:sz w:val="19"/>
          <w:szCs w:val="19"/>
        </w:rPr>
        <w:t xml:space="preserve">[Conversion] measure is unreliable — always compute Net Orders ÷ Footfall × 100</w:t>
      </w:r>
    </w:p>
    <w:p>
      <w:pPr>
        <w:pStyle w:val="ListParagraph"/>
        <w:numPr>
          <w:ilvl w:val="0"/>
          <w:numId w:val="2"/>
        </w:numPr>
        <w:spacing w:after="40" w:before="40"/>
      </w:pPr>
      <w:r>
        <w:rPr>
          <w:rFonts w:ascii="Calibri" w:cs="Calibri" w:eastAsia="Calibri" w:hAnsi="Calibri"/>
          <w:color w:val="2a2920"/>
          <w:sz w:val="19"/>
          <w:szCs w:val="19"/>
        </w:rPr>
        <w:t xml:space="preserve">[Store Stock] errors without store context — exclude from ROW() queries</w:t>
      </w:r>
    </w:p>
    <w:p>
      <w:pPr>
        <w:pStyle w:val="ListParagraph"/>
        <w:numPr>
          <w:ilvl w:val="0"/>
          <w:numId w:val="2"/>
        </w:numPr>
        <w:spacing w:after="40" w:before="40"/>
      </w:pPr>
      <w:r>
        <w:rPr>
          <w:rFonts w:ascii="Calibri" w:cs="Calibri" w:eastAsia="Calibri" w:hAnsi="Calibri"/>
          <w:color w:val="2a2920"/>
          <w:sz w:val="19"/>
          <w:szCs w:val="19"/>
        </w:rPr>
        <w:t xml:space="preserve">Always filter by BOTH store code AND date parameter in CALCULATETABLE to avoid full-network aggregation</w:t>
      </w:r>
    </w:p>
    <w:p>
      <w:pPr>
        <w:pStyle w:val="ListParagraph"/>
        <w:numPr>
          <w:ilvl w:val="0"/>
          <w:numId w:val="2"/>
        </w:numPr>
        <w:spacing w:after="40" w:before="40"/>
      </w:pPr>
      <w:r>
        <w:rPr>
          <w:rFonts w:ascii="Calibri" w:cs="Calibri" w:eastAsia="Calibri" w:hAnsi="Calibri"/>
          <w:color w:val="2a2920"/>
          <w:sz w:val="19"/>
          <w:szCs w:val="19"/>
        </w:rPr>
        <w:t xml:space="preserve">DAX has no WHERE clause — use FILTER() to subset tabular results</w:t>
      </w:r>
    </w:p>
    <w:p>
      <w:pPr>
        <w:spacing w:after="0" w:before="80"/>
      </w:pPr>
      <w:r>
        <w:t xml:space="preserve"/>
      </w:r>
    </w:p>
    <w:p>
      <w:pPr>
        <w:pStyle w:val="Heading2"/>
        <w:spacing w:after="80" w:before="240"/>
      </w:pPr>
      <w:r>
        <w:rPr>
          <w:rFonts w:ascii="Calibri" w:cs="Calibri" w:eastAsia="Calibri" w:hAnsi="Calibri"/>
          <w:b/>
          <w:bCs/>
          <w:color w:val="1B3A6B"/>
          <w:sz w:val="22"/>
          <w:szCs w:val="22"/>
        </w:rPr>
        <w:t xml:space="preserve">9.2  UI / Widget patterns</w:t>
      </w:r>
    </w:p>
    <w:p>
      <w:pPr>
        <w:pStyle w:val="ListParagraph"/>
        <w:numPr>
          <w:ilvl w:val="0"/>
          <w:numId w:val="2"/>
        </w:numPr>
        <w:spacing w:after="40" w:before="40"/>
      </w:pPr>
      <w:r>
        <w:rPr>
          <w:rFonts w:ascii="Calibri" w:cs="Calibri" w:eastAsia="Calibri" w:hAnsi="Calibri"/>
          <w:color w:val="2a2920"/>
          <w:sz w:val="19"/>
          <w:szCs w:val="19"/>
        </w:rPr>
        <w:t xml:space="preserve">Never use position:fixed in widgets — iframe viewport collapses</w:t>
      </w:r>
    </w:p>
    <w:p>
      <w:pPr>
        <w:pStyle w:val="ListParagraph"/>
        <w:numPr>
          <w:ilvl w:val="0"/>
          <w:numId w:val="2"/>
        </w:numPr>
        <w:spacing w:after="40" w:before="40"/>
      </w:pPr>
      <w:r>
        <w:rPr>
          <w:rFonts w:ascii="Calibri" w:cs="Calibri" w:eastAsia="Calibri" w:hAnsi="Calibri"/>
          <w:color w:val="2a2920"/>
          <w:sz w:val="19"/>
          <w:szCs w:val="19"/>
        </w:rPr>
        <w:t xml:space="preserve">SVG score rings: dashoffset = circumference × (1 - score/100), rotate(-90) for 12-o-clock start</w:t>
      </w:r>
    </w:p>
    <w:p>
      <w:pPr>
        <w:pStyle w:val="ListParagraph"/>
        <w:numPr>
          <w:ilvl w:val="0"/>
          <w:numId w:val="2"/>
        </w:numPr>
        <w:spacing w:after="40" w:before="40"/>
      </w:pPr>
      <w:r>
        <w:rPr>
          <w:rFonts w:ascii="Calibri" w:cs="Calibri" w:eastAsia="Calibri" w:hAnsi="Calibri"/>
          <w:color w:val="2a2920"/>
          <w:sz w:val="19"/>
          <w:szCs w:val="19"/>
        </w:rPr>
        <w:t xml:space="preserve">Chart.js must be drawn after DOM settles — always wrap in setTimeout(..., 100)</w:t>
      </w:r>
    </w:p>
    <w:p>
      <w:pPr>
        <w:pStyle w:val="ListParagraph"/>
        <w:numPr>
          <w:ilvl w:val="0"/>
          <w:numId w:val="2"/>
        </w:numPr>
        <w:spacing w:after="40" w:before="40"/>
      </w:pPr>
      <w:r>
        <w:rPr>
          <w:rFonts w:ascii="Calibri" w:cs="Calibri" w:eastAsia="Calibri" w:hAnsi="Calibri"/>
          <w:color w:val="2a2920"/>
          <w:sz w:val="19"/>
          <w:szCs w:val="19"/>
        </w:rPr>
        <w:t xml:space="preserve">Store all Chart instances in an array, destroy them all before any rebuild</w:t>
      </w:r>
    </w:p>
    <w:p>
      <w:pPr>
        <w:pStyle w:val="ListParagraph"/>
        <w:numPr>
          <w:ilvl w:val="0"/>
          <w:numId w:val="2"/>
        </w:numPr>
        <w:spacing w:after="40" w:before="40"/>
      </w:pPr>
      <w:r>
        <w:rPr>
          <w:rFonts w:ascii="Calibri" w:cs="Calibri" w:eastAsia="Calibri" w:hAnsi="Calibri"/>
          <w:color w:val="2a2920"/>
          <w:sz w:val="19"/>
          <w:szCs w:val="19"/>
        </w:rPr>
        <w:t xml:space="preserve">CSS variables (var(--color-text-primary) etc.) are the only safe way to handle dark/light mode in widgets</w:t>
      </w:r>
    </w:p>
    <w:p>
      <w:pPr>
        <w:pStyle w:val="ListParagraph"/>
        <w:numPr>
          <w:ilvl w:val="0"/>
          <w:numId w:val="2"/>
        </w:numPr>
        <w:spacing w:after="40" w:before="40"/>
      </w:pPr>
      <w:r>
        <w:rPr>
          <w:rFonts w:ascii="Calibri" w:cs="Calibri" w:eastAsia="Calibri" w:hAnsi="Calibri"/>
          <w:color w:val="2a2920"/>
          <w:sz w:val="19"/>
          <w:szCs w:val="19"/>
        </w:rPr>
        <w:t xml:space="preserve">sendPrompt() passes a string to the Claude chat input — use for playbook drill-down actions</w:t>
      </w:r>
    </w:p>
    <w:p>
      <w:pPr>
        <w:spacing w:after="0" w:before="200"/>
      </w:pPr>
      <w:r>
        <w:t xml:space="preserve"/>
      </w:r>
    </w:p>
    <w:p>
      <w:pPr>
        <w:spacing w:after="0" w:before="200"/>
      </w:pPr>
      <w:r>
        <w:t xml:space="preserve"/>
      </w:r>
    </w:p>
    <w:p>
      <w:pPr>
        <w:pBdr>
          <w:top w:val="single" w:color="C8973A" w:sz="8" w:space="4"/>
        </w:pBdr>
        <w:spacing w:after="0" w:before="0"/>
        <w:jc w:val="center"/>
      </w:pPr>
      <w:r>
        <w:rPr>
          <w:rFonts w:ascii="Calibri" w:cs="Calibri" w:eastAsia="Calibri" w:hAnsi="Calibri"/>
          <w:b/>
          <w:bCs/>
          <w:color w:val="C8973A"/>
          <w:sz w:val="20"/>
          <w:szCs w:val="20"/>
        </w:rPr>
        <w:t xml:space="preserve">  ◆  VALIDATED DATA REFERENCE  ◆  </w:t>
      </w:r>
    </w:p>
    <w:p>
      <w:pPr>
        <w:spacing w:after="0" w:before="120"/>
      </w:pPr>
      <w:r>
        <w:t xml:space="preserve"/>
      </w:r>
    </w:p>
    <w:p>
      <w:pPr>
        <w:pStyle w:val="Heading1"/>
        <w:pBdr>
          <w:bottom w:val="single" w:color="C8973A" w:sz="6" w:space="4"/>
        </w:pBdr>
        <w:spacing w:after="120" w:before="360"/>
      </w:pPr>
      <w:r>
        <w:rPr>
          <w:rFonts w:ascii="Calibri" w:cs="Calibri" w:eastAsia="Calibri" w:hAnsi="Calibri"/>
          <w:b/>
          <w:bCs/>
          <w:color w:val="0D0D0B"/>
          <w:sz w:val="28"/>
          <w:szCs w:val="28"/>
        </w:rPr>
        <w:t xml:space="preserve">10. Validated Data Reference</w:t>
      </w:r>
    </w:p>
    <w:p>
      <w:pPr>
        <w:spacing w:after="80" w:before="40"/>
      </w:pPr>
      <w:r>
        <w:rPr>
          <w:rFonts w:ascii="Calibri" w:cs="Calibri" w:eastAsia="Calibri" w:hAnsi="Calibri"/>
          <w:color w:val="2a2920"/>
          <w:sz w:val="20"/>
          <w:szCs w:val="20"/>
        </w:rPr>
        <w:t xml:space="preserve">The following KPI values were confirmed against live Power BI report outputs by the user and are the ground-truth reference for both stores:</w:t>
      </w:r>
    </w:p>
    <w:p>
      <w:pPr>
        <w:spacing w:after="0" w:before="80"/>
      </w:pPr>
      <w:r>
        <w:t xml:space="preserve"/>
      </w:r>
    </w:p>
    <w:p>
      <w:pPr>
        <w:spacing w:after="60" w:before="200"/>
      </w:pPr>
      <w:r>
        <w:rPr>
          <w:rFonts w:ascii="Calibri" w:cs="Calibri" w:eastAsia="Calibri" w:hAnsi="Calibri"/>
          <w:b/>
          <w:bCs/>
          <w:color w:val="0E5A6F"/>
          <w:sz w:val="20"/>
          <w:szCs w:val="20"/>
        </w:rPr>
        <w:t xml:space="preserve">Network level — Apr-26 MTD</w:t>
      </w:r>
    </w:p>
    <w:p>
      <w:pPr>
        <w:shd w:fill="F2F1EC" w:val="clear"/>
        <w:spacing w:after="40" w:before="40"/>
        <w:ind w:left="360"/>
      </w:pPr>
      <w:r>
        <w:rPr>
          <w:rFonts w:ascii="Courier New" w:cs="Courier New" w:eastAsia="Courier New" w:hAnsi="Courier New"/>
          <w:color w:val="1a3a2a"/>
          <w:sz w:val="18"/>
          <w:szCs w:val="18"/>
        </w:rPr>
        <w:t xml:space="preserve">Net Sales: ₹371.6 Cr  |  Net Orders: 12.5 L  |  Footfall: 51.2 L  |  Net ATV: ₹2,967  |  Conversion: 22.90%  |  PSPD: ₹43,105/day  |  ET Wait: 6.15 min</w:t>
      </w:r>
    </w:p>
    <w:p>
      <w:pPr>
        <w:spacing w:after="0" w:before="80"/>
      </w:pPr>
      <w:r>
        <w:t xml:space="preserve"/>
      </w:r>
    </w:p>
    <w:p>
      <w:pPr>
        <w:spacing w:after="60" w:before="200"/>
      </w:pPr>
      <w:r>
        <w:rPr>
          <w:rFonts w:ascii="Calibri" w:cs="Calibri" w:eastAsia="Calibri" w:hAnsi="Calibri"/>
          <w:b/>
          <w:bCs/>
          <w:color w:val="0E5A6F"/>
          <w:sz w:val="20"/>
          <w:szCs w:val="20"/>
        </w:rPr>
        <w:t xml:space="preserve">Network level — Mar-26 (full month)</w:t>
      </w:r>
    </w:p>
    <w:p>
      <w:pPr>
        <w:shd w:fill="F2F1EC" w:val="clear"/>
        <w:spacing w:after="40" w:before="40"/>
        <w:ind w:left="360"/>
      </w:pPr>
      <w:r>
        <w:rPr>
          <w:rFonts w:ascii="Courier New" w:cs="Courier New" w:eastAsia="Courier New" w:hAnsi="Courier New"/>
          <w:color w:val="1a3a2a"/>
          <w:sz w:val="18"/>
          <w:szCs w:val="18"/>
        </w:rPr>
        <w:t xml:space="preserve">Net Sales: ₹510.8 Cr  |  Net Orders: 17.2 L  |  Footfall: 68.7 L  |  Net ATV: ₹2,978  |  Conversion: 23.46%  |  PSPD: ₹41,283/day  |  ET Wait: 6.05 min</w:t>
      </w:r>
    </w:p>
    <w:p>
      <w:pPr>
        <w:spacing w:after="0" w:before="80"/>
      </w:pPr>
      <w:r>
        <w:t xml:space="preserve"/>
      </w:r>
    </w:p>
    <w:p>
      <w:pPr>
        <w:spacing w:after="60" w:before="200"/>
      </w:pPr>
      <w:r>
        <w:rPr>
          <w:rFonts w:ascii="Calibri" w:cs="Calibri" w:eastAsia="Calibri" w:hAnsi="Calibri"/>
          <w:b/>
          <w:bCs/>
          <w:color w:val="0E5A6F"/>
          <w:sz w:val="20"/>
          <w:szCs w:val="20"/>
        </w:rPr>
        <w:t xml:space="preserve">LKST1838 Chennai Pallavaram — Mar-26 (validated ✓)</w:t>
      </w:r>
    </w:p>
    <w:p>
      <w:pPr>
        <w:shd w:fill="F2F1EC" w:val="clear"/>
        <w:spacing w:after="40" w:before="40"/>
        <w:ind w:left="360"/>
      </w:pPr>
      <w:r>
        <w:rPr>
          <w:rFonts w:ascii="Courier New" w:cs="Courier New" w:eastAsia="Courier New" w:hAnsi="Courier New"/>
          <w:color w:val="1a3a2a"/>
          <w:sz w:val="18"/>
          <w:szCs w:val="18"/>
        </w:rPr>
        <w:t xml:space="preserve">NS ₹9,87,657  |  Ord 320.67  |  FF 768  |  CV 41.75%  |  ATV ₹3,080  |  PSPD ₹24,691  |  ET 4.185 min  |  NOB 3.841  |  Qty 595  |  Prog 45.58  |  SV 121.0  |  Eye 173.5</w:t>
      </w:r>
    </w:p>
    <w:p>
      <w:pPr>
        <w:shd w:fill="F2F1EC" w:val="clear"/>
        <w:spacing w:after="40" w:before="40"/>
        <w:ind w:left="360"/>
      </w:pPr>
      <w:r>
        <w:rPr>
          <w:rFonts w:ascii="Courier New" w:cs="Courier New" w:eastAsia="Courier New" w:hAnsi="Courier New"/>
          <w:color w:val="1a3a2a"/>
          <w:sz w:val="18"/>
          <w:szCs w:val="18"/>
        </w:rPr>
        <w:t xml:space="preserve">UPT 1.856  |  ASP ₹1,660  |  Prog share 27.36%  |  Return rate 3.56%  |  Score: 76  |  Rev 92  |  Ops 62  |  Merch 83  |  Infra 72</w:t>
      </w:r>
    </w:p>
    <w:p>
      <w:pPr>
        <w:spacing w:after="0" w:before="80"/>
      </w:pPr>
      <w:r>
        <w:t xml:space="preserve"/>
      </w:r>
    </w:p>
    <w:p>
      <w:pPr>
        <w:spacing w:after="60" w:before="200"/>
      </w:pPr>
      <w:r>
        <w:rPr>
          <w:rFonts w:ascii="Calibri" w:cs="Calibri" w:eastAsia="Calibri" w:hAnsi="Calibri"/>
          <w:b/>
          <w:bCs/>
          <w:color w:val="0E5A6F"/>
          <w:sz w:val="20"/>
          <w:szCs w:val="20"/>
        </w:rPr>
        <w:t xml:space="preserve">LKST1781 Delhi Chattarpur — Mar-26 (validated ✓)</w:t>
      </w:r>
    </w:p>
    <w:p>
      <w:pPr>
        <w:shd w:fill="F2F1EC" w:val="clear"/>
        <w:spacing w:after="40" w:before="40"/>
        <w:ind w:left="360"/>
      </w:pPr>
      <w:r>
        <w:rPr>
          <w:rFonts w:ascii="Courier New" w:cs="Courier New" w:eastAsia="Courier New" w:hAnsi="Courier New"/>
          <w:color w:val="1a3a2a"/>
          <w:sz w:val="18"/>
          <w:szCs w:val="18"/>
        </w:rPr>
        <w:t xml:space="preserve">NS ₹24,12,285  |  Ord 974.05  |  FF 4,362  |  CV 22.33%  |  ATV ₹2,477  |  PSPD ₹60,307  |  ET 8.975 min  |  NOB 5.040  |  Qty 1,584  |  Prog 122.97  |  SV 515.38</w:t>
      </w:r>
    </w:p>
    <w:p>
      <w:pPr>
        <w:shd w:fill="F2F1EC" w:val="clear"/>
        <w:spacing w:after="40" w:before="40"/>
        <w:ind w:left="360"/>
      </w:pPr>
      <w:r>
        <w:rPr>
          <w:rFonts w:ascii="Courier New" w:cs="Courier New" w:eastAsia="Courier New" w:hAnsi="Courier New"/>
          <w:color w:val="1a3a2a"/>
          <w:sz w:val="18"/>
          <w:szCs w:val="18"/>
        </w:rPr>
        <w:t xml:space="preserve">UPT 1.626  |  ASP ₹1,523  |  Prog share 19.26%  |  Return rate 7.01%  |  Score: 66  |  Rev 57  |  Ops 77  |  Merch 51  |  Infra 72</w:t>
      </w:r>
    </w:p>
    <w:p>
      <w:pPr>
        <w:spacing w:after="0" w:before="200"/>
      </w:pPr>
      <w:r>
        <w:t xml:space="preserve"/>
      </w:r>
    </w:p>
    <w:p>
      <w:pPr>
        <w:spacing w:after="0" w:before="200"/>
      </w:pPr>
      <w:r>
        <w:t xml:space="preserve"/>
      </w:r>
    </w:p>
    <w:p>
      <w:pPr>
        <w:pBdr>
          <w:top w:val="single" w:color="C8973A" w:sz="8" w:space="4"/>
        </w:pBdr>
        <w:spacing w:after="0" w:before="0"/>
        <w:jc w:val="center"/>
      </w:pPr>
      <w:r>
        <w:rPr>
          <w:rFonts w:ascii="Calibri" w:cs="Calibri" w:eastAsia="Calibri" w:hAnsi="Calibri"/>
          <w:b/>
          <w:bCs/>
          <w:color w:val="C8973A"/>
          <w:sz w:val="20"/>
          <w:szCs w:val="20"/>
        </w:rPr>
        <w:t xml:space="preserve">  ◆  DELIVERABLES INDEX  ◆  </w:t>
      </w:r>
    </w:p>
    <w:p>
      <w:pPr>
        <w:spacing w:after="0" w:before="120"/>
      </w:pPr>
      <w:r>
        <w:t xml:space="preserve"/>
      </w:r>
    </w:p>
    <w:p>
      <w:pPr>
        <w:pStyle w:val="Heading1"/>
        <w:pBdr>
          <w:bottom w:val="single" w:color="C8973A" w:sz="6" w:space="4"/>
        </w:pBdr>
        <w:spacing w:after="120" w:before="360"/>
      </w:pPr>
      <w:r>
        <w:rPr>
          <w:rFonts w:ascii="Calibri" w:cs="Calibri" w:eastAsia="Calibri" w:hAnsi="Calibri"/>
          <w:b/>
          <w:bCs/>
          <w:color w:val="0D0D0B"/>
          <w:sz w:val="28"/>
          <w:szCs w:val="28"/>
        </w:rPr>
        <w:t xml:space="preserve">11. Deliverables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2000"/>
        <w:gridCol w:w="4360"/>
      </w:tblGrid>
      <w:tr>
        <w:trPr>
          <w:tblHeader/>
        </w:trPr>
        <w:tc>
          <w:tcPr>
            <w:tcW w:type="dxa" w:w="600"/>
            <w:tcBorders>
              <w:top w:val="single" w:color="0D0D0B" w:sz="6"/>
              <w:left w:val="single" w:color="0D0D0B" w:sz="6"/>
              <w:bottom w:val="single" w:color="0D0D0B" w:sz="6"/>
              <w:right w:val="single" w:color="0D0D0B" w:sz="6"/>
            </w:tcBorders>
            <w:shd w:fill="0D0D0B" w:val="clear"/>
            <w:tcMar>
              <w:top w:type="dxa" w:w="60"/>
              <w:left w:type="dxa" w:w="80"/>
              <w:bottom w:type="dxa" w:w="60"/>
              <w:right w:type="dxa" w:w="80"/>
            </w:tcMar>
          </w:tcPr>
          <w:p>
            <w:pPr>
              <w:jc w:val="center"/>
            </w:pPr>
            <w:r>
              <w:rPr>
                <w:rFonts w:ascii="Calibri" w:cs="Calibri" w:eastAsia="Calibri" w:hAnsi="Calibri"/>
                <w:b/>
                <w:bCs/>
                <w:color w:val="FFFFFF"/>
                <w:sz w:val="17"/>
                <w:szCs w:val="17"/>
              </w:rPr>
              <w:t xml:space="preserve">#</w:t>
            </w:r>
          </w:p>
        </w:tc>
        <w:tc>
          <w:tcPr>
            <w:tcW w:type="dxa" w:w="2400"/>
            <w:tcBorders>
              <w:top w:val="single" w:color="0D0D0B" w:sz="6"/>
              <w:left w:val="single" w:color="0D0D0B" w:sz="6"/>
              <w:bottom w:val="single" w:color="0D0D0B" w:sz="6"/>
              <w:right w:val="single" w:color="0D0D0B" w:sz="6"/>
            </w:tcBorders>
            <w:shd w:fill="0D0D0B" w:val="clear"/>
            <w:tcMar>
              <w:top w:type="dxa" w:w="60"/>
              <w:left w:type="dxa" w:w="80"/>
              <w:bottom w:type="dxa" w:w="60"/>
              <w:right w:type="dxa" w:w="80"/>
            </w:tcMar>
          </w:tcPr>
          <w:p>
            <w:pPr>
              <w:jc w:val="left"/>
            </w:pPr>
            <w:r>
              <w:rPr>
                <w:rFonts w:ascii="Calibri" w:cs="Calibri" w:eastAsia="Calibri" w:hAnsi="Calibri"/>
                <w:b/>
                <w:bCs/>
                <w:color w:val="FFFFFF"/>
                <w:sz w:val="17"/>
                <w:szCs w:val="17"/>
              </w:rPr>
              <w:t xml:space="preserve">Deliverable</w:t>
            </w:r>
          </w:p>
        </w:tc>
        <w:tc>
          <w:tcPr>
            <w:tcW w:type="dxa" w:w="2000"/>
            <w:tcBorders>
              <w:top w:val="single" w:color="0D0D0B" w:sz="6"/>
              <w:left w:val="single" w:color="0D0D0B" w:sz="6"/>
              <w:bottom w:val="single" w:color="0D0D0B" w:sz="6"/>
              <w:right w:val="single" w:color="0D0D0B" w:sz="6"/>
            </w:tcBorders>
            <w:shd w:fill="0D0D0B" w:val="clear"/>
            <w:tcMar>
              <w:top w:type="dxa" w:w="60"/>
              <w:left w:type="dxa" w:w="80"/>
              <w:bottom w:type="dxa" w:w="60"/>
              <w:right w:type="dxa" w:w="80"/>
            </w:tcMar>
          </w:tcPr>
          <w:p>
            <w:pPr>
              <w:jc w:val="left"/>
            </w:pPr>
            <w:r>
              <w:rPr>
                <w:rFonts w:ascii="Calibri" w:cs="Calibri" w:eastAsia="Calibri" w:hAnsi="Calibri"/>
                <w:b/>
                <w:bCs/>
                <w:color w:val="FFFFFF"/>
                <w:sz w:val="17"/>
                <w:szCs w:val="17"/>
              </w:rPr>
              <w:t xml:space="preserve">Format</w:t>
            </w:r>
          </w:p>
        </w:tc>
        <w:tc>
          <w:tcPr>
            <w:tcW w:type="dxa" w:w="4360"/>
            <w:tcBorders>
              <w:top w:val="single" w:color="0D0D0B" w:sz="6"/>
              <w:left w:val="single" w:color="0D0D0B" w:sz="6"/>
              <w:bottom w:val="single" w:color="0D0D0B" w:sz="6"/>
              <w:right w:val="single" w:color="0D0D0B" w:sz="6"/>
            </w:tcBorders>
            <w:shd w:fill="0D0D0B" w:val="clear"/>
            <w:tcMar>
              <w:top w:type="dxa" w:w="60"/>
              <w:left w:type="dxa" w:w="80"/>
              <w:bottom w:type="dxa" w:w="60"/>
              <w:right w:type="dxa" w:w="80"/>
            </w:tcMar>
          </w:tcPr>
          <w:p>
            <w:pPr>
              <w:jc w:val="left"/>
            </w:pPr>
            <w:r>
              <w:rPr>
                <w:rFonts w:ascii="Calibri" w:cs="Calibri" w:eastAsia="Calibri" w:hAnsi="Calibri"/>
                <w:b/>
                <w:bCs/>
                <w:color w:val="FFFFFF"/>
                <w:sz w:val="17"/>
                <w:szCs w:val="17"/>
              </w:rPr>
              <w:t xml:space="preserve">Description</w:t>
            </w:r>
          </w:p>
        </w:tc>
      </w:tr>
      <w:tr>
        <w:tc>
          <w:tcPr>
            <w:tcW w:type="dxa" w:w="600"/>
            <w:tcBorders>
              <w:top w:val="single" w:color="DDDBCF" w:sz="4"/>
              <w:left w:val="single" w:color="DDDBCF" w:sz="4"/>
              <w:bottom w:val="single" w:color="DDDBCF" w:sz="4"/>
              <w:right w:val="single" w:color="DDDBCF" w:sz="4"/>
            </w:tcBorders>
            <w:shd w:fill="F7F5EE" w:val="clear"/>
            <w:tcMar>
              <w:top w:type="dxa" w:w="50"/>
              <w:left w:type="dxa" w:w="80"/>
              <w:bottom w:type="dxa" w:w="50"/>
              <w:right w:type="dxa" w:w="80"/>
            </w:tcMar>
          </w:tcPr>
          <w:p>
            <w:pPr>
              <w:jc w:val="center"/>
            </w:pPr>
            <w:r>
              <w:rPr>
                <w:rFonts w:ascii="Calibri" w:cs="Calibri" w:eastAsia="Calibri" w:hAnsi="Calibri"/>
                <w:b/>
                <w:bCs/>
                <w:color w:val="C8973A"/>
                <w:sz w:val="17"/>
                <w:szCs w:val="17"/>
              </w:rPr>
              <w:t xml:space="preserve">1</w:t>
            </w:r>
          </w:p>
        </w:tc>
        <w:tc>
          <w:tcPr>
            <w:tcW w:type="dxa" w:w="2400"/>
            <w:tcBorders>
              <w:top w:val="single" w:color="DDDBCF" w:sz="4"/>
              <w:left w:val="single" w:color="DDDBCF" w:sz="4"/>
              <w:bottom w:val="single" w:color="DDDBCF" w:sz="4"/>
              <w:right w:val="single" w:color="DDDBCF" w:sz="4"/>
            </w:tcBorders>
            <w:tcMar>
              <w:top w:type="dxa" w:w="50"/>
              <w:left w:type="dxa" w:w="100"/>
              <w:bottom w:type="dxa" w:w="50"/>
              <w:right w:type="dxa" w:w="100"/>
            </w:tcMar>
          </w:tcPr>
          <w:p>
            <w:r>
              <w:rPr>
                <w:rFonts w:ascii="Calibri" w:cs="Calibri" w:eastAsia="Calibri" w:hAnsi="Calibri"/>
                <w:b/>
                <w:bCs/>
                <w:color w:val="1a1816"/>
                <w:sz w:val="17"/>
                <w:szCs w:val="17"/>
              </w:rPr>
              <w:t xml:space="preserve">KPI Dashboard (network)</w:t>
            </w:r>
          </w:p>
        </w:tc>
        <w:tc>
          <w:tcPr>
            <w:tcW w:type="dxa" w:w="2000"/>
            <w:tcBorders>
              <w:top w:val="single" w:color="DDDBCF" w:sz="4"/>
              <w:left w:val="single" w:color="DDDBCF" w:sz="4"/>
              <w:bottom w:val="single" w:color="DDDBCF" w:sz="4"/>
              <w:right w:val="single" w:color="DDDBCF" w:sz="4"/>
            </w:tcBorders>
            <w:tcMar>
              <w:top w:type="dxa" w:w="50"/>
              <w:left w:type="dxa" w:w="100"/>
              <w:bottom w:type="dxa" w:w="50"/>
              <w:right w:type="dxa" w:w="100"/>
            </w:tcMar>
          </w:tcPr>
          <w:p>
            <w:r>
              <w:rPr>
                <w:rFonts w:ascii="Calibri" w:cs="Calibri" w:eastAsia="Calibri" w:hAnsi="Calibri"/>
                <w:color w:val="0E5A6F"/>
                <w:sz w:val="17"/>
                <w:szCs w:val="17"/>
              </w:rPr>
              <w:t xml:space="preserve">Widget (inline)</w:t>
            </w:r>
          </w:p>
        </w:tc>
        <w:tc>
          <w:tcPr>
            <w:tcW w:type="dxa" w:w="4360"/>
            <w:tcBorders>
              <w:top w:val="single" w:color="DDDBCF" w:sz="4"/>
              <w:left w:val="single" w:color="DDDBCF" w:sz="4"/>
              <w:bottom w:val="single" w:color="DDDBCF" w:sz="4"/>
              <w:right w:val="single" w:color="DDDBCF" w:sz="4"/>
            </w:tcBorders>
            <w:tcMar>
              <w:top w:type="dxa" w:w="50"/>
              <w:left w:type="dxa" w:w="100"/>
              <w:bottom w:type="dxa" w:w="50"/>
              <w:right w:type="dxa" w:w="100"/>
            </w:tcMar>
          </w:tcPr>
          <w:p>
            <w:r>
              <w:rPr>
                <w:rFonts w:ascii="Calibri" w:cs="Calibri" w:eastAsia="Calibri" w:hAnsi="Calibri"/>
                <w:color w:val="3a3828"/>
                <w:sz w:val="17"/>
                <w:szCs w:val="17"/>
              </w:rPr>
              <w:t xml:space="preserve">Apr-26 MTD vs Mar-26: Net Sales, Net Orders, Footfall, Conversion, ATV — with MoM and YoY variance. Pre-loaded with real model data.</w:t>
            </w:r>
          </w:p>
        </w:tc>
      </w:tr>
      <w:tr>
        <w:tc>
          <w:tcPr>
            <w:tcW w:type="dxa" w:w="600"/>
            <w:tcBorders>
              <w:top w:val="single" w:color="DDDBCF" w:sz="4"/>
              <w:left w:val="single" w:color="DDDBCF" w:sz="4"/>
              <w:bottom w:val="single" w:color="DDDBCF" w:sz="4"/>
              <w:right w:val="single" w:color="DDDBCF" w:sz="4"/>
            </w:tcBorders>
            <w:shd w:fill="F7F5EE" w:val="clear"/>
            <w:tcMar>
              <w:top w:type="dxa" w:w="50"/>
              <w:left w:type="dxa" w:w="80"/>
              <w:bottom w:type="dxa" w:w="50"/>
              <w:right w:type="dxa" w:w="80"/>
            </w:tcMar>
          </w:tcPr>
          <w:p>
            <w:pPr>
              <w:jc w:val="center"/>
            </w:pPr>
            <w:r>
              <w:rPr>
                <w:rFonts w:ascii="Calibri" w:cs="Calibri" w:eastAsia="Calibri" w:hAnsi="Calibri"/>
                <w:b/>
                <w:bCs/>
                <w:color w:val="C8973A"/>
                <w:sz w:val="17"/>
                <w:szCs w:val="17"/>
              </w:rPr>
              <w:t xml:space="preserve">2</w:t>
            </w:r>
          </w:p>
        </w:tc>
        <w:tc>
          <w:tcPr>
            <w:tcW w:type="dxa" w:w="2400"/>
            <w:tcBorders>
              <w:top w:val="single" w:color="DDDBCF" w:sz="4"/>
              <w:left w:val="single" w:color="DDDBCF" w:sz="4"/>
              <w:bottom w:val="single" w:color="DDDBCF" w:sz="4"/>
              <w:right w:val="single" w:color="DDDBCF" w:sz="4"/>
            </w:tcBorders>
            <w:tcMar>
              <w:top w:type="dxa" w:w="50"/>
              <w:left w:type="dxa" w:w="100"/>
              <w:bottom w:type="dxa" w:w="50"/>
              <w:right w:type="dxa" w:w="100"/>
            </w:tcMar>
          </w:tcPr>
          <w:p>
            <w:r>
              <w:rPr>
                <w:rFonts w:ascii="Calibri" w:cs="Calibri" w:eastAsia="Calibri" w:hAnsi="Calibri"/>
                <w:b/>
                <w:bCs/>
                <w:color w:val="1a1816"/>
                <w:sz w:val="17"/>
                <w:szCs w:val="17"/>
              </w:rPr>
              <w:t xml:space="preserve">Diagnostic Logic Engine</w:t>
            </w:r>
          </w:p>
        </w:tc>
        <w:tc>
          <w:tcPr>
            <w:tcW w:type="dxa" w:w="2000"/>
            <w:tcBorders>
              <w:top w:val="single" w:color="DDDBCF" w:sz="4"/>
              <w:left w:val="single" w:color="DDDBCF" w:sz="4"/>
              <w:bottom w:val="single" w:color="DDDBCF" w:sz="4"/>
              <w:right w:val="single" w:color="DDDBCF" w:sz="4"/>
            </w:tcBorders>
            <w:tcMar>
              <w:top w:type="dxa" w:w="50"/>
              <w:left w:type="dxa" w:w="100"/>
              <w:bottom w:type="dxa" w:w="50"/>
              <w:right w:type="dxa" w:w="100"/>
            </w:tcMar>
          </w:tcPr>
          <w:p>
            <w:r>
              <w:rPr>
                <w:rFonts w:ascii="Calibri" w:cs="Calibri" w:eastAsia="Calibri" w:hAnsi="Calibri"/>
                <w:color w:val="0E5A6F"/>
                <w:sz w:val="17"/>
                <w:szCs w:val="17"/>
              </w:rPr>
              <w:t xml:space="preserve">Widget (inline)</w:t>
            </w:r>
          </w:p>
        </w:tc>
        <w:tc>
          <w:tcPr>
            <w:tcW w:type="dxa" w:w="4360"/>
            <w:tcBorders>
              <w:top w:val="single" w:color="DDDBCF" w:sz="4"/>
              <w:left w:val="single" w:color="DDDBCF" w:sz="4"/>
              <w:bottom w:val="single" w:color="DDDBCF" w:sz="4"/>
              <w:right w:val="single" w:color="DDDBCF" w:sz="4"/>
            </w:tcBorders>
            <w:tcMar>
              <w:top w:type="dxa" w:w="50"/>
              <w:left w:type="dxa" w:w="100"/>
              <w:bottom w:type="dxa" w:w="50"/>
              <w:right w:type="dxa" w:w="100"/>
            </w:tcMar>
          </w:tcPr>
          <w:p>
            <w:r>
              <w:rPr>
                <w:rFonts w:ascii="Calibri" w:cs="Calibri" w:eastAsia="Calibri" w:hAnsi="Calibri"/>
                <w:color w:val="3a3828"/>
                <w:sz w:val="17"/>
                <w:szCs w:val="17"/>
              </w:rPr>
              <w:t xml:space="preserve">8 diagnostic patterns with causes, actions, and per-granularity guidance (hourly → yearly). Toggle signals to see matching diagnosis.</w:t>
            </w:r>
          </w:p>
        </w:tc>
      </w:tr>
      <w:tr>
        <w:tc>
          <w:tcPr>
            <w:tcW w:type="dxa" w:w="600"/>
            <w:tcBorders>
              <w:top w:val="single" w:color="DDDBCF" w:sz="4"/>
              <w:left w:val="single" w:color="DDDBCF" w:sz="4"/>
              <w:bottom w:val="single" w:color="DDDBCF" w:sz="4"/>
              <w:right w:val="single" w:color="DDDBCF" w:sz="4"/>
            </w:tcBorders>
            <w:shd w:fill="F7F5EE" w:val="clear"/>
            <w:tcMar>
              <w:top w:type="dxa" w:w="50"/>
              <w:left w:type="dxa" w:w="80"/>
              <w:bottom w:type="dxa" w:w="50"/>
              <w:right w:type="dxa" w:w="80"/>
            </w:tcMar>
          </w:tcPr>
          <w:p>
            <w:pPr>
              <w:jc w:val="center"/>
            </w:pPr>
            <w:r>
              <w:rPr>
                <w:rFonts w:ascii="Calibri" w:cs="Calibri" w:eastAsia="Calibri" w:hAnsi="Calibri"/>
                <w:b/>
                <w:bCs/>
                <w:color w:val="C8973A"/>
                <w:sz w:val="17"/>
                <w:szCs w:val="17"/>
              </w:rPr>
              <w:t xml:space="preserve">3</w:t>
            </w:r>
          </w:p>
        </w:tc>
        <w:tc>
          <w:tcPr>
            <w:tcW w:type="dxa" w:w="2400"/>
            <w:tcBorders>
              <w:top w:val="single" w:color="DDDBCF" w:sz="4"/>
              <w:left w:val="single" w:color="DDDBCF" w:sz="4"/>
              <w:bottom w:val="single" w:color="DDDBCF" w:sz="4"/>
              <w:right w:val="single" w:color="DDDBCF" w:sz="4"/>
            </w:tcBorders>
            <w:tcMar>
              <w:top w:type="dxa" w:w="50"/>
              <w:left w:type="dxa" w:w="100"/>
              <w:bottom w:type="dxa" w:w="50"/>
              <w:right w:type="dxa" w:w="100"/>
            </w:tcMar>
          </w:tcPr>
          <w:p>
            <w:r>
              <w:rPr>
                <w:rFonts w:ascii="Calibri" w:cs="Calibri" w:eastAsia="Calibri" w:hAnsi="Calibri"/>
                <w:b/>
                <w:bCs/>
                <w:color w:val="1a1816"/>
                <w:sz w:val="17"/>
                <w:szCs w:val="17"/>
              </w:rPr>
              <w:t xml:space="preserve">Correlation Engine</w:t>
            </w:r>
          </w:p>
        </w:tc>
        <w:tc>
          <w:tcPr>
            <w:tcW w:type="dxa" w:w="2000"/>
            <w:tcBorders>
              <w:top w:val="single" w:color="DDDBCF" w:sz="4"/>
              <w:left w:val="single" w:color="DDDBCF" w:sz="4"/>
              <w:bottom w:val="single" w:color="DDDBCF" w:sz="4"/>
              <w:right w:val="single" w:color="DDDBCF" w:sz="4"/>
            </w:tcBorders>
            <w:tcMar>
              <w:top w:type="dxa" w:w="50"/>
              <w:left w:type="dxa" w:w="100"/>
              <w:bottom w:type="dxa" w:w="50"/>
              <w:right w:type="dxa" w:w="100"/>
            </w:tcMar>
          </w:tcPr>
          <w:p>
            <w:r>
              <w:rPr>
                <w:rFonts w:ascii="Calibri" w:cs="Calibri" w:eastAsia="Calibri" w:hAnsi="Calibri"/>
                <w:color w:val="0E5A6F"/>
                <w:sz w:val="17"/>
                <w:szCs w:val="17"/>
              </w:rPr>
              <w:t xml:space="preserve">Widget (inline)</w:t>
            </w:r>
          </w:p>
        </w:tc>
        <w:tc>
          <w:tcPr>
            <w:tcW w:type="dxa" w:w="4360"/>
            <w:tcBorders>
              <w:top w:val="single" w:color="DDDBCF" w:sz="4"/>
              <w:left w:val="single" w:color="DDDBCF" w:sz="4"/>
              <w:bottom w:val="single" w:color="DDDBCF" w:sz="4"/>
              <w:right w:val="single" w:color="DDDBCF" w:sz="4"/>
            </w:tcBorders>
            <w:tcMar>
              <w:top w:type="dxa" w:w="50"/>
              <w:left w:type="dxa" w:w="100"/>
              <w:bottom w:type="dxa" w:w="50"/>
              <w:right w:type="dxa" w:w="100"/>
            </w:tcMar>
          </w:tcPr>
          <w:p>
            <w:r>
              <w:rPr>
                <w:rFonts w:ascii="Calibri" w:cs="Calibri" w:eastAsia="Calibri" w:hAnsi="Calibri"/>
                <w:color w:val="3a3828"/>
                <w:sz w:val="17"/>
                <w:szCs w:val="17"/>
              </w:rPr>
              <w:t xml:space="preserve">Takes actual KPI values, computes divergence, classifies into 6 leak scenarios with confidence score. Drill-down buttons wired to chat.</w:t>
            </w:r>
          </w:p>
        </w:tc>
      </w:tr>
      <w:tr>
        <w:tc>
          <w:tcPr>
            <w:tcW w:type="dxa" w:w="600"/>
            <w:tcBorders>
              <w:top w:val="single" w:color="DDDBCF" w:sz="4"/>
              <w:left w:val="single" w:color="DDDBCF" w:sz="4"/>
              <w:bottom w:val="single" w:color="DDDBCF" w:sz="4"/>
              <w:right w:val="single" w:color="DDDBCF" w:sz="4"/>
            </w:tcBorders>
            <w:shd w:fill="F7F5EE" w:val="clear"/>
            <w:tcMar>
              <w:top w:type="dxa" w:w="50"/>
              <w:left w:type="dxa" w:w="80"/>
              <w:bottom w:type="dxa" w:w="50"/>
              <w:right w:type="dxa" w:w="80"/>
            </w:tcMar>
          </w:tcPr>
          <w:p>
            <w:pPr>
              <w:jc w:val="center"/>
            </w:pPr>
            <w:r>
              <w:rPr>
                <w:rFonts w:ascii="Calibri" w:cs="Calibri" w:eastAsia="Calibri" w:hAnsi="Calibri"/>
                <w:b/>
                <w:bCs/>
                <w:color w:val="C8973A"/>
                <w:sz w:val="17"/>
                <w:szCs w:val="17"/>
              </w:rPr>
              <w:t xml:space="preserve">4</w:t>
            </w:r>
          </w:p>
        </w:tc>
        <w:tc>
          <w:tcPr>
            <w:tcW w:type="dxa" w:w="2400"/>
            <w:tcBorders>
              <w:top w:val="single" w:color="DDDBCF" w:sz="4"/>
              <w:left w:val="single" w:color="DDDBCF" w:sz="4"/>
              <w:bottom w:val="single" w:color="DDDBCF" w:sz="4"/>
              <w:right w:val="single" w:color="DDDBCF" w:sz="4"/>
            </w:tcBorders>
            <w:tcMar>
              <w:top w:type="dxa" w:w="50"/>
              <w:left w:type="dxa" w:w="100"/>
              <w:bottom w:type="dxa" w:w="50"/>
              <w:right w:type="dxa" w:w="100"/>
            </w:tcMar>
          </w:tcPr>
          <w:p>
            <w:r>
              <w:rPr>
                <w:rFonts w:ascii="Calibri" w:cs="Calibri" w:eastAsia="Calibri" w:hAnsi="Calibri"/>
                <w:b/>
                <w:bCs/>
                <w:color w:val="1a1816"/>
                <w:sz w:val="17"/>
                <w:szCs w:val="17"/>
              </w:rPr>
              <w:t xml:space="preserve">Leakage Diagnostic Pathway</w:t>
            </w:r>
          </w:p>
        </w:tc>
        <w:tc>
          <w:tcPr>
            <w:tcW w:type="dxa" w:w="2000"/>
            <w:tcBorders>
              <w:top w:val="single" w:color="DDDBCF" w:sz="4"/>
              <w:left w:val="single" w:color="DDDBCF" w:sz="4"/>
              <w:bottom w:val="single" w:color="DDDBCF" w:sz="4"/>
              <w:right w:val="single" w:color="DDDBCF" w:sz="4"/>
            </w:tcBorders>
            <w:tcMar>
              <w:top w:type="dxa" w:w="50"/>
              <w:left w:type="dxa" w:w="100"/>
              <w:bottom w:type="dxa" w:w="50"/>
              <w:right w:type="dxa" w:w="100"/>
            </w:tcMar>
          </w:tcPr>
          <w:p>
            <w:r>
              <w:rPr>
                <w:rFonts w:ascii="Calibri" w:cs="Calibri" w:eastAsia="Calibri" w:hAnsi="Calibri"/>
                <w:color w:val="0E5A6F"/>
                <w:sz w:val="17"/>
                <w:szCs w:val="17"/>
              </w:rPr>
              <w:t xml:space="preserve">Widget (inline)</w:t>
            </w:r>
          </w:p>
        </w:tc>
        <w:tc>
          <w:tcPr>
            <w:tcW w:type="dxa" w:w="4360"/>
            <w:tcBorders>
              <w:top w:val="single" w:color="DDDBCF" w:sz="4"/>
              <w:left w:val="single" w:color="DDDBCF" w:sz="4"/>
              <w:bottom w:val="single" w:color="DDDBCF" w:sz="4"/>
              <w:right w:val="single" w:color="DDDBCF" w:sz="4"/>
            </w:tcBorders>
            <w:tcMar>
              <w:top w:type="dxa" w:w="50"/>
              <w:left w:type="dxa" w:w="100"/>
              <w:bottom w:type="dxa" w:w="50"/>
              <w:right w:type="dxa" w:w="100"/>
            </w:tcMar>
          </w:tcPr>
          <w:p>
            <w:r>
              <w:rPr>
                <w:rFonts w:ascii="Calibri" w:cs="Calibri" w:eastAsia="Calibri" w:hAnsi="Calibri"/>
                <w:color w:val="3a3828"/>
                <w:sz w:val="17"/>
                <w:szCs w:val="17"/>
              </w:rPr>
              <w:t xml:space="preserve">3-level interactive tool: Level 1 Funnel, Level 2 Sub-paths A/B, Level 3 Basket. Pre-loaded with validated store data.</w:t>
            </w:r>
          </w:p>
        </w:tc>
      </w:tr>
      <w:tr>
        <w:tc>
          <w:tcPr>
            <w:tcW w:type="dxa" w:w="600"/>
            <w:tcBorders>
              <w:top w:val="single" w:color="DDDBCF" w:sz="4"/>
              <w:left w:val="single" w:color="DDDBCF" w:sz="4"/>
              <w:bottom w:val="single" w:color="DDDBCF" w:sz="4"/>
              <w:right w:val="single" w:color="DDDBCF" w:sz="4"/>
            </w:tcBorders>
            <w:shd w:fill="F7F5EE" w:val="clear"/>
            <w:tcMar>
              <w:top w:type="dxa" w:w="50"/>
              <w:left w:type="dxa" w:w="80"/>
              <w:bottom w:type="dxa" w:w="50"/>
              <w:right w:type="dxa" w:w="80"/>
            </w:tcMar>
          </w:tcPr>
          <w:p>
            <w:pPr>
              <w:jc w:val="center"/>
            </w:pPr>
            <w:r>
              <w:rPr>
                <w:rFonts w:ascii="Calibri" w:cs="Calibri" w:eastAsia="Calibri" w:hAnsi="Calibri"/>
                <w:b/>
                <w:bCs/>
                <w:color w:val="C8973A"/>
                <w:sz w:val="17"/>
                <w:szCs w:val="17"/>
              </w:rPr>
              <w:t xml:space="preserve">5</w:t>
            </w:r>
          </w:p>
        </w:tc>
        <w:tc>
          <w:tcPr>
            <w:tcW w:type="dxa" w:w="2400"/>
            <w:tcBorders>
              <w:top w:val="single" w:color="DDDBCF" w:sz="4"/>
              <w:left w:val="single" w:color="DDDBCF" w:sz="4"/>
              <w:bottom w:val="single" w:color="DDDBCF" w:sz="4"/>
              <w:right w:val="single" w:color="DDDBCF" w:sz="4"/>
            </w:tcBorders>
            <w:tcMar>
              <w:top w:type="dxa" w:w="50"/>
              <w:left w:type="dxa" w:w="100"/>
              <w:bottom w:type="dxa" w:w="50"/>
              <w:right w:type="dxa" w:w="100"/>
            </w:tcMar>
          </w:tcPr>
          <w:p>
            <w:r>
              <w:rPr>
                <w:rFonts w:ascii="Calibri" w:cs="Calibri" w:eastAsia="Calibri" w:hAnsi="Calibri"/>
                <w:b/>
                <w:bCs/>
                <w:color w:val="1a1816"/>
                <w:sz w:val="17"/>
                <w:szCs w:val="17"/>
              </w:rPr>
              <w:t xml:space="preserve">Store Health Report (LKST1838)</w:t>
            </w:r>
          </w:p>
        </w:tc>
        <w:tc>
          <w:tcPr>
            <w:tcW w:type="dxa" w:w="2000"/>
            <w:tcBorders>
              <w:top w:val="single" w:color="DDDBCF" w:sz="4"/>
              <w:left w:val="single" w:color="DDDBCF" w:sz="4"/>
              <w:bottom w:val="single" w:color="DDDBCF" w:sz="4"/>
              <w:right w:val="single" w:color="DDDBCF" w:sz="4"/>
            </w:tcBorders>
            <w:tcMar>
              <w:top w:type="dxa" w:w="50"/>
              <w:left w:type="dxa" w:w="100"/>
              <w:bottom w:type="dxa" w:w="50"/>
              <w:right w:type="dxa" w:w="100"/>
            </w:tcMar>
          </w:tcPr>
          <w:p>
            <w:r>
              <w:rPr>
                <w:rFonts w:ascii="Calibri" w:cs="Calibri" w:eastAsia="Calibri" w:hAnsi="Calibri"/>
                <w:color w:val="0E5A6F"/>
                <w:sz w:val="17"/>
                <w:szCs w:val="17"/>
              </w:rPr>
              <w:t xml:space="preserve">HTML file + Widget</w:t>
            </w:r>
          </w:p>
        </w:tc>
        <w:tc>
          <w:tcPr>
            <w:tcW w:type="dxa" w:w="4360"/>
            <w:tcBorders>
              <w:top w:val="single" w:color="DDDBCF" w:sz="4"/>
              <w:left w:val="single" w:color="DDDBCF" w:sz="4"/>
              <w:bottom w:val="single" w:color="DDDBCF" w:sz="4"/>
              <w:right w:val="single" w:color="DDDBCF" w:sz="4"/>
            </w:tcBorders>
            <w:tcMar>
              <w:top w:type="dxa" w:w="50"/>
              <w:left w:type="dxa" w:w="100"/>
              <w:bottom w:type="dxa" w:w="50"/>
              <w:right w:type="dxa" w:w="100"/>
            </w:tcMar>
          </w:tcPr>
          <w:p>
            <w:r>
              <w:rPr>
                <w:rFonts w:ascii="Calibri" w:cs="Calibri" w:eastAsia="Calibri" w:hAnsi="Calibri"/>
                <w:color w:val="3a3828"/>
                <w:sz w:val="17"/>
                <w:szCs w:val="17"/>
              </w:rPr>
              <w:t xml:space="preserve">Full 7-section report for Chennai Pallavaram Mar-26. Score 76. Charts, collapsible sections, editable audit fields, playbook.</w:t>
            </w:r>
          </w:p>
        </w:tc>
      </w:tr>
      <w:tr>
        <w:tc>
          <w:tcPr>
            <w:tcW w:type="dxa" w:w="600"/>
            <w:tcBorders>
              <w:top w:val="single" w:color="DDDBCF" w:sz="4"/>
              <w:left w:val="single" w:color="DDDBCF" w:sz="4"/>
              <w:bottom w:val="single" w:color="DDDBCF" w:sz="4"/>
              <w:right w:val="single" w:color="DDDBCF" w:sz="4"/>
            </w:tcBorders>
            <w:shd w:fill="F7F5EE" w:val="clear"/>
            <w:tcMar>
              <w:top w:type="dxa" w:w="50"/>
              <w:left w:type="dxa" w:w="80"/>
              <w:bottom w:type="dxa" w:w="50"/>
              <w:right w:type="dxa" w:w="80"/>
            </w:tcMar>
          </w:tcPr>
          <w:p>
            <w:pPr>
              <w:jc w:val="center"/>
            </w:pPr>
            <w:r>
              <w:rPr>
                <w:rFonts w:ascii="Calibri" w:cs="Calibri" w:eastAsia="Calibri" w:hAnsi="Calibri"/>
                <w:b/>
                <w:bCs/>
                <w:color w:val="C8973A"/>
                <w:sz w:val="17"/>
                <w:szCs w:val="17"/>
              </w:rPr>
              <w:t xml:space="preserve">6</w:t>
            </w:r>
          </w:p>
        </w:tc>
        <w:tc>
          <w:tcPr>
            <w:tcW w:type="dxa" w:w="2400"/>
            <w:tcBorders>
              <w:top w:val="single" w:color="DDDBCF" w:sz="4"/>
              <w:left w:val="single" w:color="DDDBCF" w:sz="4"/>
              <w:bottom w:val="single" w:color="DDDBCF" w:sz="4"/>
              <w:right w:val="single" w:color="DDDBCF" w:sz="4"/>
            </w:tcBorders>
            <w:tcMar>
              <w:top w:type="dxa" w:w="50"/>
              <w:left w:type="dxa" w:w="100"/>
              <w:bottom w:type="dxa" w:w="50"/>
              <w:right w:type="dxa" w:w="100"/>
            </w:tcMar>
          </w:tcPr>
          <w:p>
            <w:r>
              <w:rPr>
                <w:rFonts w:ascii="Calibri" w:cs="Calibri" w:eastAsia="Calibri" w:hAnsi="Calibri"/>
                <w:b/>
                <w:bCs/>
                <w:color w:val="1a1816"/>
                <w:sz w:val="17"/>
                <w:szCs w:val="17"/>
              </w:rPr>
              <w:t xml:space="preserve">Store Report Generator UI</w:t>
            </w:r>
          </w:p>
        </w:tc>
        <w:tc>
          <w:tcPr>
            <w:tcW w:type="dxa" w:w="2000"/>
            <w:tcBorders>
              <w:top w:val="single" w:color="DDDBCF" w:sz="4"/>
              <w:left w:val="single" w:color="DDDBCF" w:sz="4"/>
              <w:bottom w:val="single" w:color="DDDBCF" w:sz="4"/>
              <w:right w:val="single" w:color="DDDBCF" w:sz="4"/>
            </w:tcBorders>
            <w:tcMar>
              <w:top w:type="dxa" w:w="50"/>
              <w:left w:type="dxa" w:w="100"/>
              <w:bottom w:type="dxa" w:w="50"/>
              <w:right w:type="dxa" w:w="100"/>
            </w:tcMar>
          </w:tcPr>
          <w:p>
            <w:r>
              <w:rPr>
                <w:rFonts w:ascii="Calibri" w:cs="Calibri" w:eastAsia="Calibri" w:hAnsi="Calibri"/>
                <w:color w:val="0E5A6F"/>
                <w:sz w:val="17"/>
                <w:szCs w:val="17"/>
              </w:rPr>
              <w:t xml:space="preserve">Widget (inline)</w:t>
            </w:r>
          </w:p>
        </w:tc>
        <w:tc>
          <w:tcPr>
            <w:tcW w:type="dxa" w:w="4360"/>
            <w:tcBorders>
              <w:top w:val="single" w:color="DDDBCF" w:sz="4"/>
              <w:left w:val="single" w:color="DDDBCF" w:sz="4"/>
              <w:bottom w:val="single" w:color="DDDBCF" w:sz="4"/>
              <w:right w:val="single" w:color="DDDBCF" w:sz="4"/>
            </w:tcBorders>
            <w:tcMar>
              <w:top w:type="dxa" w:w="50"/>
              <w:left w:type="dxa" w:w="100"/>
              <w:bottom w:type="dxa" w:w="50"/>
              <w:right w:type="dxa" w:w="100"/>
            </w:tcMar>
          </w:tcPr>
          <w:p>
            <w:r>
              <w:rPr>
                <w:rFonts w:ascii="Calibri" w:cs="Calibri" w:eastAsia="Calibri" w:hAnsi="Calibri"/>
                <w:color w:val="3a3828"/>
                <w:sz w:val="17"/>
                <w:szCs w:val="17"/>
              </w:rPr>
              <w:t xml:space="preserve">Search any of 1,572 stores, select period + benchmark, generate full interactive report inside Claude with all 7 sections.</w:t>
            </w:r>
          </w:p>
        </w:tc>
      </w:tr>
      <w:tr>
        <w:tc>
          <w:tcPr>
            <w:tcW w:type="dxa" w:w="600"/>
            <w:tcBorders>
              <w:top w:val="single" w:color="DDDBCF" w:sz="4"/>
              <w:left w:val="single" w:color="DDDBCF" w:sz="4"/>
              <w:bottom w:val="single" w:color="DDDBCF" w:sz="4"/>
              <w:right w:val="single" w:color="DDDBCF" w:sz="4"/>
            </w:tcBorders>
            <w:shd w:fill="F7F5EE" w:val="clear"/>
            <w:tcMar>
              <w:top w:type="dxa" w:w="50"/>
              <w:left w:type="dxa" w:w="80"/>
              <w:bottom w:type="dxa" w:w="50"/>
              <w:right w:type="dxa" w:w="80"/>
            </w:tcMar>
          </w:tcPr>
          <w:p>
            <w:pPr>
              <w:jc w:val="center"/>
            </w:pPr>
            <w:r>
              <w:rPr>
                <w:rFonts w:ascii="Calibri" w:cs="Calibri" w:eastAsia="Calibri" w:hAnsi="Calibri"/>
                <w:b/>
                <w:bCs/>
                <w:color w:val="C8973A"/>
                <w:sz w:val="17"/>
                <w:szCs w:val="17"/>
              </w:rPr>
              <w:t xml:space="preserve">7</w:t>
            </w:r>
          </w:p>
        </w:tc>
        <w:tc>
          <w:tcPr>
            <w:tcW w:type="dxa" w:w="2400"/>
            <w:tcBorders>
              <w:top w:val="single" w:color="DDDBCF" w:sz="4"/>
              <w:left w:val="single" w:color="DDDBCF" w:sz="4"/>
              <w:bottom w:val="single" w:color="DDDBCF" w:sz="4"/>
              <w:right w:val="single" w:color="DDDBCF" w:sz="4"/>
            </w:tcBorders>
            <w:tcMar>
              <w:top w:type="dxa" w:w="50"/>
              <w:left w:type="dxa" w:w="100"/>
              <w:bottom w:type="dxa" w:w="50"/>
              <w:right w:type="dxa" w:w="100"/>
            </w:tcMar>
          </w:tcPr>
          <w:p>
            <w:r>
              <w:rPr>
                <w:rFonts w:ascii="Calibri" w:cs="Calibri" w:eastAsia="Calibri" w:hAnsi="Calibri"/>
                <w:b/>
                <w:bCs/>
                <w:color w:val="1a1816"/>
                <w:sz w:val="17"/>
                <w:szCs w:val="17"/>
              </w:rPr>
              <w:t xml:space="preserve">PROMPT.md</w:t>
            </w:r>
          </w:p>
        </w:tc>
        <w:tc>
          <w:tcPr>
            <w:tcW w:type="dxa" w:w="2000"/>
            <w:tcBorders>
              <w:top w:val="single" w:color="DDDBCF" w:sz="4"/>
              <w:left w:val="single" w:color="DDDBCF" w:sz="4"/>
              <w:bottom w:val="single" w:color="DDDBCF" w:sz="4"/>
              <w:right w:val="single" w:color="DDDBCF" w:sz="4"/>
            </w:tcBorders>
            <w:tcMar>
              <w:top w:type="dxa" w:w="50"/>
              <w:left w:type="dxa" w:w="100"/>
              <w:bottom w:type="dxa" w:w="50"/>
              <w:right w:type="dxa" w:w="100"/>
            </w:tcMar>
          </w:tcPr>
          <w:p>
            <w:r>
              <w:rPr>
                <w:rFonts w:ascii="Calibri" w:cs="Calibri" w:eastAsia="Calibri" w:hAnsi="Calibri"/>
                <w:color w:val="0E5A6F"/>
                <w:sz w:val="17"/>
                <w:szCs w:val="17"/>
              </w:rPr>
              <w:t xml:space="preserve">Markdown file</w:t>
            </w:r>
          </w:p>
        </w:tc>
        <w:tc>
          <w:tcPr>
            <w:tcW w:type="dxa" w:w="4360"/>
            <w:tcBorders>
              <w:top w:val="single" w:color="DDDBCF" w:sz="4"/>
              <w:left w:val="single" w:color="DDDBCF" w:sz="4"/>
              <w:bottom w:val="single" w:color="DDDBCF" w:sz="4"/>
              <w:right w:val="single" w:color="DDDBCF" w:sz="4"/>
            </w:tcBorders>
            <w:tcMar>
              <w:top w:type="dxa" w:w="50"/>
              <w:left w:type="dxa" w:w="100"/>
              <w:bottom w:type="dxa" w:w="50"/>
              <w:right w:type="dxa" w:w="100"/>
            </w:tcMar>
          </w:tcPr>
          <w:p>
            <w:r>
              <w:rPr>
                <w:rFonts w:ascii="Calibri" w:cs="Calibri" w:eastAsia="Calibri" w:hAnsi="Calibri"/>
                <w:color w:val="3a3828"/>
                <w:sz w:val="17"/>
                <w:szCs w:val="17"/>
              </w:rPr>
              <w:t xml:space="preserve">Complete execution instructions: 9 steps, DAX queries, scoring formulas, narrative guidelines, report spec. For re-use by any user.</w:t>
            </w:r>
          </w:p>
        </w:tc>
      </w:tr>
      <w:tr>
        <w:tc>
          <w:tcPr>
            <w:tcW w:type="dxa" w:w="600"/>
            <w:tcBorders>
              <w:top w:val="single" w:color="DDDBCF" w:sz="4"/>
              <w:left w:val="single" w:color="DDDBCF" w:sz="4"/>
              <w:bottom w:val="single" w:color="DDDBCF" w:sz="4"/>
              <w:right w:val="single" w:color="DDDBCF" w:sz="4"/>
            </w:tcBorders>
            <w:shd w:fill="F7F5EE" w:val="clear"/>
            <w:tcMar>
              <w:top w:type="dxa" w:w="50"/>
              <w:left w:type="dxa" w:w="80"/>
              <w:bottom w:type="dxa" w:w="50"/>
              <w:right w:type="dxa" w:w="80"/>
            </w:tcMar>
          </w:tcPr>
          <w:p>
            <w:pPr>
              <w:jc w:val="center"/>
            </w:pPr>
            <w:r>
              <w:rPr>
                <w:rFonts w:ascii="Calibri" w:cs="Calibri" w:eastAsia="Calibri" w:hAnsi="Calibri"/>
                <w:b/>
                <w:bCs/>
                <w:color w:val="C8973A"/>
                <w:sz w:val="17"/>
                <w:szCs w:val="17"/>
              </w:rPr>
              <w:t xml:space="preserve">8</w:t>
            </w:r>
          </w:p>
        </w:tc>
        <w:tc>
          <w:tcPr>
            <w:tcW w:type="dxa" w:w="2400"/>
            <w:tcBorders>
              <w:top w:val="single" w:color="DDDBCF" w:sz="4"/>
              <w:left w:val="single" w:color="DDDBCF" w:sz="4"/>
              <w:bottom w:val="single" w:color="DDDBCF" w:sz="4"/>
              <w:right w:val="single" w:color="DDDBCF" w:sz="4"/>
            </w:tcBorders>
            <w:tcMar>
              <w:top w:type="dxa" w:w="50"/>
              <w:left w:type="dxa" w:w="100"/>
              <w:bottom w:type="dxa" w:w="50"/>
              <w:right w:type="dxa" w:w="100"/>
            </w:tcMar>
          </w:tcPr>
          <w:p>
            <w:r>
              <w:rPr>
                <w:rFonts w:ascii="Calibri" w:cs="Calibri" w:eastAsia="Calibri" w:hAnsi="Calibri"/>
                <w:b/>
                <w:bCs/>
                <w:color w:val="1a1816"/>
                <w:sz w:val="17"/>
                <w:szCs w:val="17"/>
              </w:rPr>
              <w:t xml:space="preserve">memory.md</w:t>
            </w:r>
          </w:p>
        </w:tc>
        <w:tc>
          <w:tcPr>
            <w:tcW w:type="dxa" w:w="2000"/>
            <w:tcBorders>
              <w:top w:val="single" w:color="DDDBCF" w:sz="4"/>
              <w:left w:val="single" w:color="DDDBCF" w:sz="4"/>
              <w:bottom w:val="single" w:color="DDDBCF" w:sz="4"/>
              <w:right w:val="single" w:color="DDDBCF" w:sz="4"/>
            </w:tcBorders>
            <w:tcMar>
              <w:top w:type="dxa" w:w="50"/>
              <w:left w:type="dxa" w:w="100"/>
              <w:bottom w:type="dxa" w:w="50"/>
              <w:right w:type="dxa" w:w="100"/>
            </w:tcMar>
          </w:tcPr>
          <w:p>
            <w:r>
              <w:rPr>
                <w:rFonts w:ascii="Calibri" w:cs="Calibri" w:eastAsia="Calibri" w:hAnsi="Calibri"/>
                <w:color w:val="0E5A6F"/>
                <w:sz w:val="17"/>
                <w:szCs w:val="17"/>
              </w:rPr>
              <w:t xml:space="preserve">Markdown file</w:t>
            </w:r>
          </w:p>
        </w:tc>
        <w:tc>
          <w:tcPr>
            <w:tcW w:type="dxa" w:w="4360"/>
            <w:tcBorders>
              <w:top w:val="single" w:color="DDDBCF" w:sz="4"/>
              <w:left w:val="single" w:color="DDDBCF" w:sz="4"/>
              <w:bottom w:val="single" w:color="DDDBCF" w:sz="4"/>
              <w:right w:val="single" w:color="DDDBCF" w:sz="4"/>
            </w:tcBorders>
            <w:tcMar>
              <w:top w:type="dxa" w:w="50"/>
              <w:left w:type="dxa" w:w="100"/>
              <w:bottom w:type="dxa" w:w="50"/>
              <w:right w:type="dxa" w:w="100"/>
            </w:tcMar>
          </w:tcPr>
          <w:p>
            <w:r>
              <w:rPr>
                <w:rFonts w:ascii="Calibri" w:cs="Calibri" w:eastAsia="Calibri" w:hAnsi="Calibri"/>
                <w:color w:val="3a3828"/>
                <w:sz w:val="17"/>
                <w:szCs w:val="17"/>
              </w:rPr>
              <w:t xml:space="preserve">Full knowledge base: model structure, KPI definitions, diagnostic logic, all validated data, UI patterns, gotchas, business context.</w:t>
            </w:r>
          </w:p>
        </w:tc>
      </w:tr>
      <w:tr>
        <w:tc>
          <w:tcPr>
            <w:tcW w:type="dxa" w:w="600"/>
            <w:tcBorders>
              <w:top w:val="single" w:color="DDDBCF" w:sz="4"/>
              <w:left w:val="single" w:color="DDDBCF" w:sz="4"/>
              <w:bottom w:val="single" w:color="DDDBCF" w:sz="4"/>
              <w:right w:val="single" w:color="DDDBCF" w:sz="4"/>
            </w:tcBorders>
            <w:shd w:fill="F7F5EE" w:val="clear"/>
            <w:tcMar>
              <w:top w:type="dxa" w:w="50"/>
              <w:left w:type="dxa" w:w="80"/>
              <w:bottom w:type="dxa" w:w="50"/>
              <w:right w:type="dxa" w:w="80"/>
            </w:tcMar>
          </w:tcPr>
          <w:p>
            <w:pPr>
              <w:jc w:val="center"/>
            </w:pPr>
            <w:r>
              <w:rPr>
                <w:rFonts w:ascii="Calibri" w:cs="Calibri" w:eastAsia="Calibri" w:hAnsi="Calibri"/>
                <w:b/>
                <w:bCs/>
                <w:color w:val="C8973A"/>
                <w:sz w:val="17"/>
                <w:szCs w:val="17"/>
              </w:rPr>
              <w:t xml:space="preserve">9</w:t>
            </w:r>
          </w:p>
        </w:tc>
        <w:tc>
          <w:tcPr>
            <w:tcW w:type="dxa" w:w="2400"/>
            <w:tcBorders>
              <w:top w:val="single" w:color="DDDBCF" w:sz="4"/>
              <w:left w:val="single" w:color="DDDBCF" w:sz="4"/>
              <w:bottom w:val="single" w:color="DDDBCF" w:sz="4"/>
              <w:right w:val="single" w:color="DDDBCF" w:sz="4"/>
            </w:tcBorders>
            <w:tcMar>
              <w:top w:type="dxa" w:w="50"/>
              <w:left w:type="dxa" w:w="100"/>
              <w:bottom w:type="dxa" w:w="50"/>
              <w:right w:type="dxa" w:w="100"/>
            </w:tcMar>
          </w:tcPr>
          <w:p>
            <w:r>
              <w:rPr>
                <w:rFonts w:ascii="Calibri" w:cs="Calibri" w:eastAsia="Calibri" w:hAnsi="Calibri"/>
                <w:b/>
                <w:bCs/>
                <w:color w:val="1a1816"/>
                <w:sz w:val="17"/>
                <w:szCs w:val="17"/>
              </w:rPr>
              <w:t xml:space="preserve">Project brief</w:t>
            </w:r>
          </w:p>
        </w:tc>
        <w:tc>
          <w:tcPr>
            <w:tcW w:type="dxa" w:w="2000"/>
            <w:tcBorders>
              <w:top w:val="single" w:color="DDDBCF" w:sz="4"/>
              <w:left w:val="single" w:color="DDDBCF" w:sz="4"/>
              <w:bottom w:val="single" w:color="DDDBCF" w:sz="4"/>
              <w:right w:val="single" w:color="DDDBCF" w:sz="4"/>
            </w:tcBorders>
            <w:tcMar>
              <w:top w:type="dxa" w:w="50"/>
              <w:left w:type="dxa" w:w="100"/>
              <w:bottom w:type="dxa" w:w="50"/>
              <w:right w:type="dxa" w:w="100"/>
            </w:tcMar>
          </w:tcPr>
          <w:p>
            <w:r>
              <w:rPr>
                <w:rFonts w:ascii="Calibri" w:cs="Calibri" w:eastAsia="Calibri" w:hAnsi="Calibri"/>
                <w:color w:val="0E5A6F"/>
                <w:sz w:val="17"/>
                <w:szCs w:val="17"/>
              </w:rPr>
              <w:t xml:space="preserve">Widget (inline)</w:t>
            </w:r>
          </w:p>
        </w:tc>
        <w:tc>
          <w:tcPr>
            <w:tcW w:type="dxa" w:w="4360"/>
            <w:tcBorders>
              <w:top w:val="single" w:color="DDDBCF" w:sz="4"/>
              <w:left w:val="single" w:color="DDDBCF" w:sz="4"/>
              <w:bottom w:val="single" w:color="DDDBCF" w:sz="4"/>
              <w:right w:val="single" w:color="DDDBCF" w:sz="4"/>
            </w:tcBorders>
            <w:tcMar>
              <w:top w:type="dxa" w:w="50"/>
              <w:left w:type="dxa" w:w="100"/>
              <w:bottom w:type="dxa" w:w="50"/>
              <w:right w:type="dxa" w:w="100"/>
            </w:tcMar>
          </w:tcPr>
          <w:p>
            <w:r>
              <w:rPr>
                <w:rFonts w:ascii="Calibri" w:cs="Calibri" w:eastAsia="Calibri" w:hAnsi="Calibri"/>
                <w:color w:val="3a3828"/>
                <w:sz w:val="17"/>
                <w:szCs w:val="17"/>
              </w:rPr>
              <w:t xml:space="preserve">3/4-page editorial brief: problem, solution, tech stack, business impact, assumptions, who uses it.</w:t>
            </w:r>
          </w:p>
        </w:tc>
      </w:tr>
      <w:tr>
        <w:tc>
          <w:tcPr>
            <w:tcW w:type="dxa" w:w="600"/>
            <w:tcBorders>
              <w:top w:val="single" w:color="DDDBCF" w:sz="4"/>
              <w:left w:val="single" w:color="DDDBCF" w:sz="4"/>
              <w:bottom w:val="single" w:color="DDDBCF" w:sz="4"/>
              <w:right w:val="single" w:color="DDDBCF" w:sz="4"/>
            </w:tcBorders>
            <w:shd w:fill="F7F5EE" w:val="clear"/>
            <w:tcMar>
              <w:top w:type="dxa" w:w="50"/>
              <w:left w:type="dxa" w:w="80"/>
              <w:bottom w:type="dxa" w:w="50"/>
              <w:right w:type="dxa" w:w="80"/>
            </w:tcMar>
          </w:tcPr>
          <w:p>
            <w:pPr>
              <w:jc w:val="center"/>
            </w:pPr>
            <w:r>
              <w:rPr>
                <w:rFonts w:ascii="Calibri" w:cs="Calibri" w:eastAsia="Calibri" w:hAnsi="Calibri"/>
                <w:b/>
                <w:bCs/>
                <w:color w:val="C8973A"/>
                <w:sz w:val="17"/>
                <w:szCs w:val="17"/>
              </w:rPr>
              <w:t xml:space="preserve">10</w:t>
            </w:r>
          </w:p>
        </w:tc>
        <w:tc>
          <w:tcPr>
            <w:tcW w:type="dxa" w:w="2400"/>
            <w:tcBorders>
              <w:top w:val="single" w:color="DDDBCF" w:sz="4"/>
              <w:left w:val="single" w:color="DDDBCF" w:sz="4"/>
              <w:bottom w:val="single" w:color="DDDBCF" w:sz="4"/>
              <w:right w:val="single" w:color="DDDBCF" w:sz="4"/>
            </w:tcBorders>
            <w:tcMar>
              <w:top w:type="dxa" w:w="50"/>
              <w:left w:type="dxa" w:w="100"/>
              <w:bottom w:type="dxa" w:w="50"/>
              <w:right w:type="dxa" w:w="100"/>
            </w:tcMar>
          </w:tcPr>
          <w:p>
            <w:r>
              <w:rPr>
                <w:rFonts w:ascii="Calibri" w:cs="Calibri" w:eastAsia="Calibri" w:hAnsi="Calibri"/>
                <w:b/>
                <w:bCs/>
                <w:color w:val="1a1816"/>
                <w:sz w:val="17"/>
                <w:szCs w:val="17"/>
              </w:rPr>
              <w:t xml:space="preserve">Conversation transcript</w:t>
            </w:r>
          </w:p>
        </w:tc>
        <w:tc>
          <w:tcPr>
            <w:tcW w:type="dxa" w:w="2000"/>
            <w:tcBorders>
              <w:top w:val="single" w:color="DDDBCF" w:sz="4"/>
              <w:left w:val="single" w:color="DDDBCF" w:sz="4"/>
              <w:bottom w:val="single" w:color="DDDBCF" w:sz="4"/>
              <w:right w:val="single" w:color="DDDBCF" w:sz="4"/>
            </w:tcBorders>
            <w:tcMar>
              <w:top w:type="dxa" w:w="50"/>
              <w:left w:type="dxa" w:w="100"/>
              <w:bottom w:type="dxa" w:w="50"/>
              <w:right w:type="dxa" w:w="100"/>
            </w:tcMar>
          </w:tcPr>
          <w:p>
            <w:r>
              <w:rPr>
                <w:rFonts w:ascii="Calibri" w:cs="Calibri" w:eastAsia="Calibri" w:hAnsi="Calibri"/>
                <w:color w:val="0E5A6F"/>
                <w:sz w:val="17"/>
                <w:szCs w:val="17"/>
              </w:rPr>
              <w:t xml:space="preserve">DOCX file</w:t>
            </w:r>
          </w:p>
        </w:tc>
        <w:tc>
          <w:tcPr>
            <w:tcW w:type="dxa" w:w="4360"/>
            <w:tcBorders>
              <w:top w:val="single" w:color="DDDBCF" w:sz="4"/>
              <w:left w:val="single" w:color="DDDBCF" w:sz="4"/>
              <w:bottom w:val="single" w:color="DDDBCF" w:sz="4"/>
              <w:right w:val="single" w:color="DDDBCF" w:sz="4"/>
            </w:tcBorders>
            <w:tcMar>
              <w:top w:type="dxa" w:w="50"/>
              <w:left w:type="dxa" w:w="100"/>
              <w:bottom w:type="dxa" w:w="50"/>
              <w:right w:type="dxa" w:w="100"/>
            </w:tcMar>
          </w:tcPr>
          <w:p>
            <w:r>
              <w:rPr>
                <w:rFonts w:ascii="Calibri" w:cs="Calibri" w:eastAsia="Calibri" w:hAnsi="Calibri"/>
                <w:color w:val="3a3828"/>
                <w:sz w:val="17"/>
                <w:szCs w:val="17"/>
              </w:rPr>
              <w:t xml:space="preserve">This document — complete structured record of all phases, decisions, data, and outputs.</w:t>
            </w:r>
          </w:p>
        </w:tc>
      </w:tr>
    </w:tbl>
    <w:p>
      <w:pPr>
        <w:spacing w:after="0" w:before="200"/>
      </w:pPr>
      <w:r>
        <w:t xml:space="preserve"/>
      </w:r>
    </w:p>
    <w:p>
      <w:pPr>
        <w:pBdr>
          <w:top w:val="single" w:color="C8973A" w:sz="8" w:space="8"/>
        </w:pBdr>
        <w:spacing w:after="40" w:before="200"/>
        <w:jc w:val="center"/>
      </w:pPr>
      <w:r>
        <w:rPr>
          <w:rFonts w:ascii="Calibri" w:cs="Calibri" w:eastAsia="Calibri" w:hAnsi="Calibri"/>
          <w:b/>
          <w:bCs/>
          <w:caps/>
          <w:color w:val="C8973A"/>
          <w:sz w:val="18"/>
          <w:szCs w:val="18"/>
        </w:rPr>
        <w:t xml:space="preserve">— END OF TRANSCRIPT —</w:t>
      </w:r>
    </w:p>
    <w:p>
      <w:pPr>
        <w:spacing w:after="0" w:before="40"/>
        <w:jc w:val="center"/>
      </w:pPr>
      <w:r>
        <w:rPr>
          <w:rFonts w:ascii="Calibri" w:cs="Calibri" w:eastAsia="Calibri" w:hAnsi="Calibri"/>
          <w:color w:val="5A5850"/>
          <w:sz w:val="16"/>
          <w:szCs w:val="16"/>
        </w:rPr>
        <w:t xml:space="preserve">Store Performance Diagnostic Agent  ·  Lenskart Offline Operations  ·  April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BF90" w:sz="4" w:space="3"/>
      </w:pBdr>
      <w:jc w:val="center"/>
    </w:pPr>
    <w:r>
      <w:rPr>
        <w:rFonts w:ascii="Calibri" w:cs="Calibri" w:eastAsia="Calibri" w:hAnsi="Calibri"/>
        <w:color w:val="888070"/>
        <w:sz w:val="16"/>
        <w:szCs w:val="16"/>
      </w:rPr>
      <w:t xml:space="preserve">Lenskart Offline Operations  ·  Store Insights / Fabric XMLA  ·  April 2026  ·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973A" w:sz="4" w:space="3"/>
      </w:pBdr>
      <w:jc w:val="right"/>
    </w:pPr>
    <w:r>
      <w:rPr>
        <w:rFonts w:ascii="Calibri" w:cs="Calibri" w:eastAsia="Calibri" w:hAnsi="Calibri"/>
        <w:color w:val="888070"/>
        <w:sz w:val="16"/>
        <w:szCs w:val="16"/>
      </w:rPr>
      <w:t xml:space="preserve">STORE PERFORMANCE DIAGNOSTIC AGENT  —  </w:t>
    </w:r>
    <w:r>
      <w:rPr>
        <w:rFonts w:ascii="Calibri" w:cs="Calibri" w:eastAsia="Calibri" w:hAnsi="Calibri"/>
        <w:b/>
        <w:bCs/>
        <w:color w:val="C8973A"/>
        <w:sz w:val="16"/>
        <w:szCs w:val="16"/>
      </w:rPr>
      <w:t xml:space="preserve">CONVERSATION TRANSCRIPT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Calibri" w:cs="Calibri" w:eastAsia="Calibri" w:hAnsi="Calibri"/>
      <w:b/>
      <w:bCs/>
      <w:color w:val="0D0D0B"/>
      <w:sz w:val="28"/>
      <w:szCs w:val="28"/>
    </w:rPr>
  </w:style>
  <w:style w:type="paragraph" w:styleId="Heading2">
    <w:name w:val="Heading 2"/>
    <w:basedOn w:val="Normal"/>
    <w:next w:val="Normal"/>
    <w:qFormat/>
    <w:pPr>
      <w:spacing w:after="80" w:before="240"/>
      <w:outlineLvl w:val="1"/>
    </w:pPr>
    <w:rPr>
      <w:rFonts w:ascii="Calibri" w:cs="Calibri" w:eastAsia="Calibri" w:hAnsi="Calibri"/>
      <w:b/>
      <w:bCs/>
      <w:color w:val="1B3A6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2026-04-24T10:04:44.822Z</dcterms:created>
  <dcterms:modified xsi:type="dcterms:W3CDTF">2026-04-24T10:04:44.823Z</dcterms:modified>
</cp:coreProperties>
</file>

<file path=docProps/custom.xml><?xml version="1.0" encoding="utf-8"?>
<Properties xmlns="http://schemas.openxmlformats.org/officeDocument/2006/custom-properties" xmlns:vt="http://schemas.openxmlformats.org/officeDocument/2006/docPropsVTypes"/>
</file>