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40"/>
          <w:szCs w:val="40"/>
        </w:rPr>
        <w:t xml:space="preserve">Credit Card Fraud Detection &amp; Risk Scoring System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Project Report</w:t>
      </w:r>
    </w:p>
    <w:p>
      <w:pPr>
        <w:pStyle w:val="Heading1"/>
        <w:spacing w:after="150" w:before="300"/>
      </w:pPr>
      <w:r>
        <w:t xml:space="preserve">1. Problem Statement</w:t>
      </w:r>
    </w:p>
    <w:p>
      <w:pPr>
        <w:spacing w:after="160"/>
        <w:jc w:val="both"/>
      </w:pPr>
      <w:r>
        <w:t xml:space="preserve">Credit card fraud represents a small fraction of overall transaction volume, but each missed case carries a direct financial cost, and each false alarm creates friction for a genuine customer. In this dataset, fraudulent transactions make up roughly 0.17% of all activity. A model that simply predicts "not fraud" for every transaction would still be right 99.8% of the time — which makes accuracy a misleading measure of success and is precisely why this project treats the imbalance itself as the central problem to solve, not a side detail.</w:t>
      </w:r>
    </w:p>
    <w:p>
      <w:pPr>
        <w:spacing w:after="160"/>
        <w:jc w:val="both"/>
      </w:pPr>
      <w:r>
        <w:t xml:space="preserve">The goal was to build a system that (a) reliably separates fraudulent transactions from genuine ones despite the severe class imbalance, (b) chooses a decision threshold deliberately based on business cost rather than a default cutoff, and (c) expresses its output as an interpretable risk score rather than a bare label, so that non-technical reviewers can act on it directly.</w:t>
      </w:r>
    </w:p>
    <w:p>
      <w:pPr>
        <w:pStyle w:val="Heading1"/>
        <w:spacing w:after="150" w:before="300"/>
      </w:pPr>
      <w:r>
        <w:t xml:space="preserve">2. Dataset</w:t>
      </w:r>
    </w:p>
    <w:p>
      <w:pPr>
        <w:spacing w:after="160"/>
        <w:jc w:val="both"/>
      </w:pPr>
      <w:r>
        <w:t xml:space="preserve">The transaction data follows the same structure used across the fraud-analytics industry: a timestamp (Time), an amount (Amount), a set of 28 anonymized behavioural features (V1–V28) produced by a dimensionality-reduction transform, and a binary label (Class) marking confirmed fraud. Working with anonymized/transformed features is standard practice in this domain since raw cardholder details can never be exposed, even internally.</w:t>
      </w:r>
    </w:p>
    <w:p>
      <w:pPr>
        <w:spacing w:after="60"/>
      </w:pPr>
      <w:r>
        <w:rPr>
          <w:b/>
          <w:bCs/>
        </w:rPr>
        <w:t xml:space="preserve">Total transactions: </w:t>
      </w:r>
      <w:r>
        <w:t xml:space="preserve">50,000</w:t>
      </w:r>
    </w:p>
    <w:p>
      <w:pPr>
        <w:spacing w:after="60"/>
      </w:pPr>
      <w:r>
        <w:rPr>
          <w:b/>
          <w:bCs/>
        </w:rPr>
        <w:t xml:space="preserve">Confirmed fraud cases: </w:t>
      </w:r>
      <w:r>
        <w:t xml:space="preserve">85 (0.17%)</w:t>
      </w:r>
    </w:p>
    <w:p>
      <w:pPr>
        <w:spacing w:after="200"/>
      </w:pPr>
      <w:r>
        <w:rPr>
          <w:b/>
          <w:bCs/>
        </w:rPr>
        <w:t xml:space="preserve">Missing values / duplicates: </w:t>
      </w:r>
      <w:r>
        <w:t xml:space="preserve">None found</w:t>
      </w:r>
    </w:p>
    <w:p>
      <w:pPr>
        <w:pStyle w:val="Heading1"/>
        <w:spacing w:after="150" w:before="300"/>
      </w:pPr>
      <w:r>
        <w:t xml:space="preserve">3. Methodology</w:t>
      </w:r>
    </w:p>
    <w:p>
      <w:pPr>
        <w:spacing w:after="160"/>
        <w:jc w:val="both"/>
      </w:pPr>
      <w:r>
        <w:t xml:space="preserve">The pipeline follows nine stages, each building on the previous one: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Understanding — class balance, nulls, duplicates, and distribution checks before touching the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Preprocessing — de-duplication, null handling, and scaling of Time and Amount (the only two raw, non-transformed features).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Engineering — hour-of-day and night-time flags derived from Time; a log-scaled amount and an amount-outlier flag derived from Amount.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Imbalance Handling — a combined resampling strategy (moderate undersampling of genuine transactions plus SMOTE oversampling of fraud) applied only to the training fold, never the test fold.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Training — Logistic Regression, Random Forest, and XGBoost trained side by side, each with class-imbalance-aware settings.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Evaluation — models compared on ROC-AUC and PR-AUC (Precision-Recall AUC), with PR-AUC weighted more heavily since it is far more informative than ROC-AUC on rare-event problems.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Threshold Selection — the default 0.5 cutoff was discarded in favour of a cost-based threshold, chosen by estimating the relative cost of a missed fraud versus a false alarm.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Scoring — the chosen model's output probability is converted into a 0–100 risk score and mapped to Low / Medium / High / Critical bands for routing decisions.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Prediction — a standalone scoring function applies the full pipeline to new, unseen transactions and returns a ranked risk table.</w:t>
      </w:r>
    </w:p>
    <w:p>
      <w:pPr>
        <w:pStyle w:val="Heading1"/>
        <w:spacing w:after="150" w:before="300"/>
      </w:pPr>
      <w:r>
        <w:t xml:space="preserve">4. Model Comparison</w:t>
      </w:r>
    </w:p>
    <w:p>
      <w:pPr>
        <w:spacing w:after="160"/>
        <w:jc w:val="both"/>
      </w:pPr>
      <w:r>
        <w:t xml:space="preserve">All three models were trained on the resampled training data and evaluated on an untouched test set. Random Forest gave the strongest and most stable result: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000"/>
      </w:tblGrid>
      <w:tr>
        <w:tc>
          <w:tcPr>
            <w:tcW w:type="dxa" w:w="3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PR-AUC</w:t>
            </w:r>
          </w:p>
        </w:tc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0.992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0.820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0.985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0.751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0.951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0.503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(baseline)</w:t>
            </w:r>
          </w:p>
        </w:tc>
      </w:tr>
    </w:tbl>
    <w:p>
      <w:pPr>
        <w:spacing w:after="200"/>
      </w:pPr>
    </w:p>
    <w:p>
      <w:pPr>
        <w:spacing w:after="60" w:before="100"/>
        <w:jc w:val="center"/>
      </w:pPr>
      <w:r>
        <w:drawing>
          <wp:inline distT="0" distB="0" distL="0" distR="0">
            <wp:extent cx="3619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1. Precision-Recall curve — Random Forest (test set)</w:t>
      </w:r>
    </w:p>
    <w:p>
      <w:pPr>
        <w:spacing w:after="160"/>
        <w:jc w:val="both"/>
      </w:pPr>
      <w:r>
        <w:t xml:space="preserve">The curve's shape is informative on its own: precision holds near 1.0 until roughly 50–60% recall, then falls off as the threshold is lowered further to catch the harder, more disguised fraud cases — this is the trade-off the threshold-selection step is built to navigate deliberately rather than by accident.</w:t>
      </w:r>
    </w:p>
    <w:p>
      <w:pPr>
        <w:pStyle w:val="Heading1"/>
        <w:spacing w:after="150" w:before="300"/>
      </w:pPr>
      <w:r>
        <w:t xml:space="preserve">5. Threshold Selection &amp; Final Performance</w:t>
      </w:r>
    </w:p>
    <w:p>
      <w:pPr>
        <w:spacing w:after="160"/>
        <w:jc w:val="both"/>
      </w:pPr>
      <w:r>
        <w:t xml:space="preserve">Rather than defaulting to a 0.5 cutoff, a cost-based sweep was run assuming a missed fraud case costs roughly 100x more than a false alarm (reflecting typical chargeback and investigation costs versus the cost of a manual review). This produced an operating threshold of 0.41, giving: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800"/>
      </w:tblGrid>
      <w:tr>
        <w:tc>
          <w:tcPr>
            <w:tcW w:type="dxa" w:w="3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Predicted: Genuine</w:t>
            </w:r>
          </w:p>
        </w:tc>
        <w:tc>
          <w:tcPr>
            <w:tcW w:type="dxa" w:w="2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Predicted: Fraud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Actual: Genuine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12,465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Actual: Fraud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Precision: 57.6% — of the transactions flagged, just over half were genuinely fraudulent.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Recall: 90.5% — the model caught 19 of the 21 fraud cases in the test 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False positive rate: negligible — only 14 genuine transactions out of 12,479 were flagged.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 2. Confusion matrix at the selected operating threshold (0.41)</w:t>
      </w:r>
    </w:p>
    <w:p>
      <w:pPr>
        <w:spacing w:after="160"/>
        <w:jc w:val="both"/>
      </w:pPr>
      <w:r>
        <w:t xml:space="preserve">This threshold can be re-tuned at any time by adjusting the assumed cost ratio in the Threshold Selection section of the notebook — it is a business decision as much as a technical one, and should sit with whoever owns the fraud-review budget.</w:t>
      </w:r>
    </w:p>
    <w:p>
      <w:pPr>
        <w:pStyle w:val="Heading1"/>
        <w:spacing w:after="150" w:before="300"/>
      </w:pPr>
      <w:r>
        <w:t xml:space="preserve">6. Risk Scoring Output</w:t>
      </w:r>
    </w:p>
    <w:p>
      <w:pPr>
        <w:spacing w:after="160"/>
        <w:jc w:val="both"/>
      </w:pPr>
      <w:r>
        <w:t xml:space="preserve">Rather than a binary flag, every transaction receives a 0–100 risk score and a band, so the review team can route work by severity instead of treating every alert identically: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Band</w:t>
            </w:r>
          </w:p>
        </w:tc>
        <w:tc>
          <w:tcPr>
            <w:tcW w:type="dxa" w:w="2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2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Fraud Cases Caught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– 20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12,234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– 50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248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 – 80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 – 100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after="160"/>
        <w:jc w:val="both"/>
      </w:pPr>
      <w:r>
        <w:t xml:space="preserve">Fraud cases concentrated heavily in the High and Critical bands (15 of 21), which is exactly the behaviour a usable risk system should exhibit — the riskiest-looking transactions genuinely are the ones worth reviewing first.</w:t>
      </w:r>
    </w:p>
    <w:p>
      <w:pPr>
        <w:pStyle w:val="Heading1"/>
        <w:spacing w:after="150" w:before="300"/>
      </w:pPr>
      <w:r>
        <w:t xml:space="preserve">7. Business Value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Reduces manual review load by concentrating attention on the small number of High/Critical transactions instead of the entire transaction stream.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Makes the fraud/friction trade-off explicit and adjustable, instead of buried inside a fixed threshold nobody consciously chose.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Produces an auditable, reproducible pipeline — every stage (cleaning, resampling, training, thresholding) is a separate, inspectable step.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prediction module can be plugged into a live transaction stream or a batch job with no changes beyond swapping the data source.</w:t>
      </w:r>
    </w:p>
    <w:p>
      <w:pPr>
        <w:pStyle w:val="Heading1"/>
        <w:spacing w:after="150" w:before="300"/>
      </w:pPr>
      <w:r>
        <w:t xml:space="preserve">8. Limitations &amp; Future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current dataset is a synthetically generated stand-in built to match real-world class imbalance and feature structure; results should be re-validated once real (or a licensed sample of real) transaction data is available.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cost ratio used for threshold selection (missed fraud vs. false alarm) is an estimate and should be replaced with actual figures from Risk/Finance.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Fraud patterns drift over time; the model should be retrained periodically and monitored for degradation rather than treated as a one-time deliverable.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Additional signals not present in this dataset — device fingerprinting, merchant category, geolocation mismatch — would likely improve recall further.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160"/>
        <w:jc w:val="both"/>
      </w:pPr>
      <w:r>
        <w:t xml:space="preserve">The system demonstrates that with the right combination of resampling, an imbalance-aware model, and a deliberately chosen threshold, it is possible to catch the large majority of fraud (90.5% recall) while keeping false alarms low enough to be practically actionable. The risk-scoring layer turns that model output into something a non-technical reviewer can use immediately, which was the core objective of the project.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ddd036b6dbacf308569013c5a4a06dbba6295aa.png"/><Relationship Id="rId8" Type="http://schemas.openxmlformats.org/officeDocument/2006/relationships/image" Target="media/f8a9614f12eb264612b105e4ef1d5d3ad8e8896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2026-09-07T09:08:42.704Z</dcterms:created>
  <dcterms:modified xsi:type="dcterms:W3CDTF">2026-09-07T09:08:42.714Z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