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00"/>
        <w:jc w:val="center"/>
      </w:pPr>
      <w:r>
        <w:rPr>
          <w:sz w:val="96"/>
          <w:szCs w:val="96"/>
        </w:rPr>
        <w:t xml:space="preserve">🛠</w:t>
      </w:r>
    </w:p>
    <w:p>
      <w:pPr>
        <w:spacing w:after="120"/>
        <w:jc w:val="center"/>
      </w:pPr>
      <w:r>
        <w:rPr>
          <w:b/>
          <w:bCs/>
          <w:color w:val="1F3864"/>
          <w:sz w:val="56"/>
          <w:szCs w:val="56"/>
        </w:rPr>
        <w:t xml:space="preserve">AI-Powered Predictive Maintenance</w:t>
      </w:r>
    </w:p>
    <w:p>
      <w:pPr>
        <w:spacing w:after="500"/>
        <w:jc w:val="center"/>
      </w:pPr>
      <w:r>
        <w:rPr>
          <w:b/>
          <w:bCs/>
          <w:color w:val="2E86AB"/>
          <w:sz w:val="40"/>
          <w:szCs w:val="40"/>
        </w:rPr>
        <w:t xml:space="preserve">&amp; Equipment Failure Prediction System</w:t>
      </w:r>
    </w:p>
    <w:p>
      <w:pPr>
        <w:spacing w:after="2000"/>
        <w:jc w:val="center"/>
      </w:pPr>
      <w:r>
        <w:rPr>
          <w:i/>
          <w:iCs/>
          <w:color w:val="595959"/>
          <w:sz w:val="28"/>
          <w:szCs w:val="28"/>
        </w:rPr>
        <w:t xml:space="preserve">Technical &amp; Functional Documentation</w:t>
      </w:r>
    </w:p>
    <w:p>
      <w:pPr>
        <w:spacing w:after="80"/>
        <w:jc w:val="center"/>
      </w:pPr>
      <w:r>
        <w:rPr>
          <w:color w:val="595959"/>
          <w:sz w:val="22"/>
          <w:szCs w:val="22"/>
        </w:rPr>
        <w:t xml:space="preserve">Prepared for internal use</w:t>
      </w:r>
    </w:p>
    <w:p>
      <w:pPr>
        <w:jc w:val="center"/>
      </w:pPr>
      <w:r>
        <w:rPr>
          <w:color w:val="595959"/>
          <w:sz w:val="22"/>
          <w:szCs w:val="22"/>
        </w:rPr>
        <w:t xml:space="preserve">September 15, 2026</w:t>
      </w:r>
    </w:p>
    <w:p>
      <w:r>
        <w:br w:type="page"/>
      </w:r>
    </w:p>
    <w:p>
      <w:pPr>
        <w:pStyle w:val="Heading1"/>
        <w:spacing w:after="20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i/>
          <w:iCs/>
          <w:color w:val="9B9B9B"/>
          <w:sz w:val="18"/>
          <w:szCs w:val="18"/>
        </w:rPr>
        <w:t xml:space="preserve">(If the contents above appear blank, right-click them and choose “Update Field,” or press Ctrl+A then F9 — Word populates this automatically when the document is opened normally.)</w:t>
      </w:r>
    </w:p>
    <w:p>
      <w:r>
        <w:br w:type="page"/>
      </w:r>
    </w:p>
    <w:p>
      <w:pPr>
        <w:pStyle w:val="Heading1"/>
        <w:spacing w:after="200" w:before="360"/>
      </w:pPr>
      <w:r>
        <w:t xml:space="preserve">1. Executive Summary</w:t>
      </w:r>
    </w:p>
    <w:p>
      <w:pPr>
        <w:spacing w:after="160" w:line="276"/>
      </w:pPr>
      <w:r>
        <w:rPr>
          <w:sz w:val="22"/>
          <w:szCs w:val="22"/>
        </w:rPr>
        <w:t xml:space="preserve">The Predictive Maintenance AI System is a self-contained analytics application that uses machine learning to forecast equipment failures before they occur. It analyzes historical sensor readings (vibration, temperature, pressure, load, etc.) together with maintenance history to estimate each machine's probability of failing within the next 14 days, explain the specific factors driving that risk, and generate a prioritized, actionable maintenance schedule.</w:t>
      </w:r>
    </w:p>
    <w:p>
      <w:pPr>
        <w:spacing w:after="160" w:line="276"/>
      </w:pPr>
      <w:r>
        <w:rPr>
          <w:sz w:val="22"/>
          <w:szCs w:val="22"/>
        </w:rPr>
        <w:t xml:space="preserve">The system is delivered as an interactive Streamlit web application, requiring no coding knowledge to operate day to day. It can run on synthetic demonstration data out of the box, or be pointed at a company's own sensor and maintenance logs.</w:t>
      </w:r>
    </w:p>
    <w:p>
      <w:pPr>
        <w:pStyle w:val="Heading2"/>
        <w:spacing w:after="140" w:before="280"/>
      </w:pPr>
      <w:r>
        <w:t xml:space="preserve">Business Value</w:t>
      </w:r>
    </w:p>
    <w:p>
      <w:pPr>
        <w:pStyle w:val="ListParagraph"/>
        <w:numPr>
          <w:ilvl w:val="0"/>
          <w:numId w:val="2"/>
        </w:numPr>
        <w:spacing w:after="90" w:line="276"/>
      </w:pPr>
      <w:r>
        <w:rPr>
          <w:sz w:val="22"/>
          <w:szCs w:val="22"/>
        </w:rPr>
        <w:t xml:space="preserve">Shift maintenance from reactive (fix after breakdown) to predictive (fix before breakdown), reducing unplanned downtime.</w:t>
      </w:r>
    </w:p>
    <w:p>
      <w:pPr>
        <w:pStyle w:val="ListParagraph"/>
        <w:numPr>
          <w:ilvl w:val="0"/>
          <w:numId w:val="2"/>
        </w:numPr>
        <w:spacing w:after="90" w:line="276"/>
      </w:pPr>
      <w:r>
        <w:rPr>
          <w:sz w:val="22"/>
          <w:szCs w:val="22"/>
        </w:rPr>
        <w:t xml:space="preserve">Prioritize a maintenance team's limited time and budget toward the equipment that needs it most, using a data-driven risk score rather than gut feel or fixed schedules.</w:t>
      </w:r>
    </w:p>
    <w:p>
      <w:pPr>
        <w:pStyle w:val="ListParagraph"/>
        <w:numPr>
          <w:ilvl w:val="0"/>
          <w:numId w:val="2"/>
        </w:numPr>
        <w:spacing w:after="90" w:line="276"/>
      </w:pPr>
      <w:r>
        <w:rPr>
          <w:sz w:val="22"/>
          <w:szCs w:val="22"/>
        </w:rPr>
        <w:t xml:space="preserve">Provide transparent, explainable reasoning for every risk score — critical for maintenance teams to trust and act on model output, and for audit/compliance purposes.</w:t>
      </w:r>
    </w:p>
    <w:p>
      <w:pPr>
        <w:pStyle w:val="ListParagraph"/>
        <w:numPr>
          <w:ilvl w:val="0"/>
          <w:numId w:val="2"/>
        </w:numPr>
        <w:spacing w:after="90" w:line="276"/>
      </w:pPr>
      <w:r>
        <w:rPr>
          <w:sz w:val="22"/>
          <w:szCs w:val="22"/>
        </w:rPr>
        <w:t xml:space="preserve">Turn raw statistical output into plain-language, ready-to-execute recommendations.</w:t>
      </w:r>
    </w:p>
    <w:p>
      <w:r>
        <w:br w:type="page"/>
      </w:r>
    </w:p>
    <w:p>
      <w:pPr>
        <w:pStyle w:val="Heading1"/>
        <w:spacing w:after="200" w:before="360"/>
      </w:pPr>
      <w:r>
        <w:t xml:space="preserve">2. Project Overview</w:t>
      </w:r>
    </w:p>
    <w:p>
      <w:pPr>
        <w:pStyle w:val="Heading2"/>
        <w:spacing w:after="140" w:before="280"/>
      </w:pPr>
      <w:r>
        <w:t xml:space="preserve">2.1 Problem Statement</w:t>
      </w:r>
    </w:p>
    <w:p>
      <w:pPr>
        <w:spacing w:after="160" w:line="276"/>
      </w:pPr>
      <w:r>
        <w:rPr>
          <w:sz w:val="22"/>
          <w:szCs w:val="22"/>
        </w:rPr>
        <w:t xml:space="preserve">Unplanned equipment failure is costly: it halts production, requires emergency repairs, and often causes secondary damage. Traditional maintenance is either reactive (repair after failure) or calendar-based (fixed intervals regardless of actual equipment condition), both of which are inefficient. Predictive maintenance instead uses real operating data to estimate the actual risk of failure for each machine, so maintenance can be scheduled exactly when it is needed.</w:t>
      </w:r>
    </w:p>
    <w:p>
      <w:pPr>
        <w:pStyle w:val="Heading2"/>
        <w:spacing w:after="140" w:before="280"/>
      </w:pPr>
      <w:r>
        <w:t xml:space="preserve">2.2 Objectives</w:t>
      </w:r>
    </w:p>
    <w:p>
      <w:pPr>
        <w:pStyle w:val="ListParagraph"/>
        <w:numPr>
          <w:ilvl w:val="0"/>
          <w:numId w:val="3"/>
        </w:numPr>
        <w:spacing w:after="90" w:line="276"/>
      </w:pPr>
      <w:r>
        <w:rPr>
          <w:sz w:val="22"/>
          <w:szCs w:val="22"/>
        </w:rPr>
        <w:t xml:space="preserve">Analyze historical sensor and maintenance data to identify patterns that precede equipment failure.</w:t>
      </w:r>
    </w:p>
    <w:p>
      <w:pPr>
        <w:pStyle w:val="ListParagraph"/>
        <w:numPr>
          <w:ilvl w:val="0"/>
          <w:numId w:val="3"/>
        </w:numPr>
        <w:spacing w:after="90" w:line="276"/>
      </w:pPr>
      <w:r>
        <w:rPr>
          <w:sz w:val="22"/>
          <w:szCs w:val="22"/>
        </w:rPr>
        <w:t xml:space="preserve">Estimate a quantitative, per-machine failure risk score using machine learning.</w:t>
      </w:r>
    </w:p>
    <w:p>
      <w:pPr>
        <w:pStyle w:val="ListParagraph"/>
        <w:numPr>
          <w:ilvl w:val="0"/>
          <w:numId w:val="3"/>
        </w:numPr>
        <w:spacing w:after="90" w:line="276"/>
      </w:pPr>
      <w:r>
        <w:rPr>
          <w:sz w:val="22"/>
          <w:szCs w:val="22"/>
        </w:rPr>
        <w:t xml:space="preserve">Explain, in plain language, which specific factors are driving each machine's risk.</w:t>
      </w:r>
    </w:p>
    <w:p>
      <w:pPr>
        <w:pStyle w:val="ListParagraph"/>
        <w:numPr>
          <w:ilvl w:val="0"/>
          <w:numId w:val="3"/>
        </w:numPr>
        <w:spacing w:after="90" w:line="276"/>
      </w:pPr>
      <w:r>
        <w:rPr>
          <w:sz w:val="22"/>
          <w:szCs w:val="22"/>
        </w:rPr>
        <w:t xml:space="preserve">Translate risk scores into a prioritized, time-bound maintenance action plan.</w:t>
      </w:r>
    </w:p>
    <w:p>
      <w:pPr>
        <w:pStyle w:val="Heading2"/>
        <w:spacing w:after="140" w:before="280"/>
      </w:pPr>
      <w:r>
        <w:t xml:space="preserve">2.3 Scope</w:t>
      </w:r>
    </w:p>
    <w:p>
      <w:pPr>
        <w:spacing w:after="160" w:line="276"/>
      </w:pPr>
      <w:r>
        <w:rPr>
          <w:sz w:val="22"/>
          <w:szCs w:val="22"/>
        </w:rPr>
        <w:t xml:space="preserve">The current system covers data ingestion (synthetic or uploaded CSV), model training and evaluation, fleet-wide risk scoring, model explainability, and a maintenance prioritization view. It is designed to be adapted to a company's real sensor schema with minimal code changes (see Section 8, Extending the System).</w:t>
      </w:r>
    </w:p>
    <w:p>
      <w:r>
        <w:br w:type="page"/>
      </w:r>
    </w:p>
    <w:p>
      <w:pPr>
        <w:pStyle w:val="Heading1"/>
        <w:spacing w:after="200" w:before="360"/>
      </w:pPr>
      <w:r>
        <w:t xml:space="preserve">3. Key Features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100"/>
              <w:left w:type="dxa" w:w="120"/>
              <w:bottom w:type="dxa" w:w="100"/>
              <w:right w:type="dxa" w:w="120"/>
            </w:tcMar>
            <w:vAlign w:val="center"/>
          </w:tcPr>
          <w:p>
            <w:pPr>
              <w:jc w:val="left"/>
            </w:pPr>
            <w:r>
              <w:rPr>
                <w:b/>
                <w:bCs/>
                <w:color w:val="FFFFFF"/>
                <w:sz w:val="20"/>
                <w:szCs w:val="20"/>
              </w:rPr>
              <w:t xml:space="preserve">Feature</w:t>
            </w:r>
          </w:p>
        </w:tc>
        <w:tc>
          <w:tcPr>
            <w:tcW w:type="dxa" w:w="6300"/>
            <w:shd w:fill="1F3864"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Synthetic Demo Fleet</w:t>
            </w:r>
          </w:p>
        </w:tc>
        <w:tc>
          <w:tcPr>
            <w:tcW w:type="dxa" w:w="6300"/>
            <w:tcMar>
              <w:top w:type="dxa" w:w="100"/>
              <w:left w:type="dxa" w:w="120"/>
              <w:bottom w:type="dxa" w:w="100"/>
              <w:right w:type="dxa" w:w="120"/>
            </w:tcMar>
            <w:vAlign w:val="center"/>
          </w:tcPr>
          <w:p>
            <w:pPr>
              <w:jc w:val="left"/>
            </w:pPr>
            <w:r>
              <w:rPr>
                <w:b w:val="false"/>
                <w:bCs w:val="false"/>
                <w:color w:val="1A1A1A"/>
                <w:sz w:val="20"/>
                <w:szCs w:val="20"/>
              </w:rPr>
              <w:t xml:space="preserve">Instantly generates a realistic fleet of machines (pumps, compressors, motors, conveyors, turbines) with degradation-linked sensor behavior, for demonstration or testing without needing real data.</w:t>
            </w:r>
          </w:p>
        </w:tc>
      </w:tr>
      <w:tr>
        <w:tc>
          <w:tcPr>
            <w:tcW w:type="dxa" w:w="3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Custom Data Upload</w:t>
            </w:r>
          </w:p>
        </w:tc>
        <w:tc>
          <w:tcPr>
            <w:tcW w:type="dxa" w:w="63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Accepts a company's own sensor + maintenance CSV export, validated against the required schema before use.</w:t>
            </w:r>
          </w:p>
        </w:tc>
      </w:tr>
      <w:tr>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Failure Prediction Model</w:t>
            </w:r>
          </w:p>
        </w:tc>
        <w:tc>
          <w:tcPr>
            <w:tcW w:type="dxa" w:w="6300"/>
            <w:tcMar>
              <w:top w:type="dxa" w:w="100"/>
              <w:left w:type="dxa" w:w="120"/>
              <w:bottom w:type="dxa" w:w="100"/>
              <w:right w:type="dxa" w:w="120"/>
            </w:tcMar>
            <w:vAlign w:val="center"/>
          </w:tcPr>
          <w:p>
            <w:pPr>
              <w:jc w:val="left"/>
            </w:pPr>
            <w:r>
              <w:rPr>
                <w:b w:val="false"/>
                <w:bCs w:val="false"/>
                <w:color w:val="1A1A1A"/>
                <w:sz w:val="20"/>
                <w:szCs w:val="20"/>
              </w:rPr>
              <w:t xml:space="preserve">Random Forest or Gradient Boosting classifier estimating the probability that each machine will fail within the next 14 days.</w:t>
            </w:r>
          </w:p>
        </w:tc>
      </w:tr>
      <w:tr>
        <w:tc>
          <w:tcPr>
            <w:tcW w:type="dxa" w:w="3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Model Performance Dashboard</w:t>
            </w:r>
          </w:p>
        </w:tc>
        <w:tc>
          <w:tcPr>
            <w:tcW w:type="dxa" w:w="63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ROC curve, Precision-Recall curve, and confusion matrix, so model quality can be reviewed before trusting its output.</w:t>
            </w:r>
          </w:p>
        </w:tc>
      </w:tr>
      <w:tr>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Failure Risk Dashboard</w:t>
            </w:r>
          </w:p>
        </w:tc>
        <w:tc>
          <w:tcPr>
            <w:tcW w:type="dxa" w:w="6300"/>
            <w:tcMar>
              <w:top w:type="dxa" w:w="100"/>
              <w:left w:type="dxa" w:w="120"/>
              <w:bottom w:type="dxa" w:w="100"/>
              <w:right w:type="dxa" w:w="120"/>
            </w:tcMar>
            <w:vAlign w:val="center"/>
          </w:tcPr>
          <w:p>
            <w:pPr>
              <w:jc w:val="left"/>
            </w:pPr>
            <w:r>
              <w:rPr>
                <w:b w:val="false"/>
                <w:bCs w:val="false"/>
                <w:color w:val="1A1A1A"/>
                <w:sz w:val="20"/>
                <w:szCs w:val="20"/>
              </w:rPr>
              <w:t xml:space="preserve">Every machine scored and bucketed into Low / Medium / High / Critical risk, filterable and exportable to CSV.</w:t>
            </w:r>
          </w:p>
        </w:tc>
      </w:tr>
      <w:tr>
        <w:tc>
          <w:tcPr>
            <w:tcW w:type="dxa" w:w="3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Explainability (SHAP)</w:t>
            </w:r>
          </w:p>
        </w:tc>
        <w:tc>
          <w:tcPr>
            <w:tcW w:type="dxa" w:w="63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Shows exactly which sensor readings are driving risk, both fleet-wide and for any individual machine.</w:t>
            </w:r>
          </w:p>
        </w:tc>
      </w:tr>
      <w:tr>
        <w:tc>
          <w:tcPr>
            <w:tcW w:type="dxa" w:w="3200"/>
            <w:tcMar>
              <w:top w:type="dxa" w:w="100"/>
              <w:left w:type="dxa" w:w="120"/>
              <w:bottom w:type="dxa" w:w="100"/>
              <w:right w:type="dxa" w:w="120"/>
            </w:tcMar>
            <w:vAlign w:val="center"/>
          </w:tcPr>
          <w:p>
            <w:pPr>
              <w:jc w:val="left"/>
            </w:pPr>
            <w:r>
              <w:rPr>
                <w:b w:val="false"/>
                <w:bCs w:val="false"/>
                <w:color w:val="1A1A1A"/>
                <w:sz w:val="20"/>
                <w:szCs w:val="20"/>
              </w:rPr>
              <w:t xml:space="preserve">Maintenance Action Plan</w:t>
            </w:r>
          </w:p>
        </w:tc>
        <w:tc>
          <w:tcPr>
            <w:tcW w:type="dxa" w:w="6300"/>
            <w:tcMar>
              <w:top w:type="dxa" w:w="100"/>
              <w:left w:type="dxa" w:w="120"/>
              <w:bottom w:type="dxa" w:w="100"/>
              <w:right w:type="dxa" w:w="120"/>
            </w:tcMar>
            <w:vAlign w:val="center"/>
          </w:tcPr>
          <w:p>
            <w:pPr>
              <w:jc w:val="left"/>
            </w:pPr>
            <w:r>
              <w:rPr>
                <w:b w:val="false"/>
                <w:bCs w:val="false"/>
                <w:color w:val="1A1A1A"/>
                <w:sz w:val="20"/>
                <w:szCs w:val="20"/>
              </w:rPr>
              <w:t xml:space="preserve">Plain-language recommended actions and a suggested time-to-act window for every at-risk machine.</w:t>
            </w:r>
          </w:p>
        </w:tc>
      </w:tr>
    </w:tbl>
    <w:p>
      <w:r>
        <w:br w:type="page"/>
      </w:r>
    </w:p>
    <w:p>
      <w:pPr>
        <w:pStyle w:val="Heading1"/>
        <w:spacing w:after="200" w:before="360"/>
      </w:pPr>
      <w:r>
        <w:t xml:space="preserve">4. System Architecture</w:t>
      </w:r>
    </w:p>
    <w:p>
      <w:pPr>
        <w:spacing w:after="160" w:line="276"/>
      </w:pPr>
      <w:r>
        <w:rPr>
          <w:sz w:val="22"/>
          <w:szCs w:val="22"/>
        </w:rPr>
        <w:t xml:space="preserve">The application is organized into three components with clearly separated responsibilities: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900"/>
      </w:tblGrid>
      <w:tr>
        <w:trPr>
          <w:tblHeader/>
        </w:trPr>
        <w:tc>
          <w:tcPr>
            <w:tcW w:type="dxa" w:w="2200"/>
            <w:shd w:fill="1F3864" w:val="clear"/>
            <w:tcMar>
              <w:top w:type="dxa" w:w="100"/>
              <w:left w:type="dxa" w:w="120"/>
              <w:bottom w:type="dxa" w:w="100"/>
              <w:right w:type="dxa" w:w="120"/>
            </w:tcMar>
            <w:vAlign w:val="center"/>
          </w:tcPr>
          <w:p>
            <w:pPr>
              <w:jc w:val="left"/>
            </w:pPr>
            <w:r>
              <w:rPr>
                <w:b/>
                <w:bCs/>
                <w:color w:val="FFFFFF"/>
                <w:sz w:val="20"/>
                <w:szCs w:val="20"/>
              </w:rPr>
              <w:t xml:space="preserve">Component</w:t>
            </w:r>
          </w:p>
        </w:tc>
        <w:tc>
          <w:tcPr>
            <w:tcW w:type="dxa" w:w="2400"/>
            <w:shd w:fill="1F3864" w:val="clear"/>
            <w:tcMar>
              <w:top w:type="dxa" w:w="100"/>
              <w:left w:type="dxa" w:w="120"/>
              <w:bottom w:type="dxa" w:w="100"/>
              <w:right w:type="dxa" w:w="120"/>
            </w:tcMar>
            <w:vAlign w:val="center"/>
          </w:tcPr>
          <w:p>
            <w:pPr>
              <w:jc w:val="left"/>
            </w:pPr>
            <w:r>
              <w:rPr>
                <w:b/>
                <w:bCs/>
                <w:color w:val="FFFFFF"/>
                <w:sz w:val="20"/>
                <w:szCs w:val="20"/>
              </w:rPr>
              <w:t xml:space="preserve">File</w:t>
            </w:r>
          </w:p>
        </w:tc>
        <w:tc>
          <w:tcPr>
            <w:tcW w:type="dxa" w:w="4900"/>
            <w:shd w:fill="1F3864" w:val="clear"/>
            <w:tcMar>
              <w:top w:type="dxa" w:w="100"/>
              <w:left w:type="dxa" w:w="120"/>
              <w:bottom w:type="dxa" w:w="100"/>
              <w:right w:type="dxa" w:w="120"/>
            </w:tcMar>
            <w:vAlign w:val="center"/>
          </w:tcPr>
          <w:p>
            <w:pPr>
              <w:jc w:val="left"/>
            </w:pPr>
            <w:r>
              <w:rPr>
                <w:b/>
                <w:bCs/>
                <w:color w:val="FFFFFF"/>
                <w:sz w:val="20"/>
                <w:szCs w:val="20"/>
              </w:rPr>
              <w:t xml:space="preserve">Responsibility</w:t>
            </w:r>
          </w:p>
        </w:tc>
      </w:tr>
      <w:tr>
        <w:tc>
          <w:tcPr>
            <w:tcW w:type="dxa" w:w="2200"/>
            <w:tcMar>
              <w:top w:type="dxa" w:w="100"/>
              <w:left w:type="dxa" w:w="120"/>
              <w:bottom w:type="dxa" w:w="100"/>
              <w:right w:type="dxa" w:w="120"/>
            </w:tcMar>
            <w:vAlign w:val="center"/>
          </w:tcPr>
          <w:p>
            <w:pPr>
              <w:jc w:val="left"/>
            </w:pPr>
            <w:r>
              <w:rPr>
                <w:b w:val="false"/>
                <w:bCs w:val="false"/>
                <w:color w:val="1A1A1A"/>
                <w:sz w:val="20"/>
                <w:szCs w:val="20"/>
              </w:rPr>
              <w:t xml:space="preserve">Data Layer</w:t>
            </w:r>
          </w:p>
        </w:tc>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data_generator.py</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Produces the dataset used by the system — either a generated synthetic fleet or a validated user-uploaded CSV.</w:t>
            </w:r>
          </w:p>
        </w:tc>
      </w:tr>
      <w:tr>
        <w:tc>
          <w:tcPr>
            <w:tcW w:type="dxa" w:w="2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ML Layer</w:t>
            </w:r>
          </w:p>
        </w:tc>
        <w:tc>
          <w:tcPr>
            <w:tcW w:type="dxa" w:w="24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ml_pipeline.py</w:t>
            </w:r>
          </w:p>
        </w:tc>
        <w:tc>
          <w:tcPr>
            <w:tcW w:type="dxa" w:w="49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Feature encoding, model training, evaluation metrics, SHAP-based explainability, risk scoring, and recommendation generation.</w:t>
            </w:r>
          </w:p>
        </w:tc>
      </w:tr>
      <w:tr>
        <w:tc>
          <w:tcPr>
            <w:tcW w:type="dxa" w:w="2200"/>
            <w:tcMar>
              <w:top w:type="dxa" w:w="100"/>
              <w:left w:type="dxa" w:w="120"/>
              <w:bottom w:type="dxa" w:w="100"/>
              <w:right w:type="dxa" w:w="120"/>
            </w:tcMar>
            <w:vAlign w:val="center"/>
          </w:tcPr>
          <w:p>
            <w:pPr>
              <w:jc w:val="left"/>
            </w:pPr>
            <w:r>
              <w:rPr>
                <w:b w:val="false"/>
                <w:bCs w:val="false"/>
                <w:color w:val="1A1A1A"/>
                <w:sz w:val="20"/>
                <w:szCs w:val="20"/>
              </w:rPr>
              <w:t xml:space="preserve">Presentation Layer</w:t>
            </w:r>
          </w:p>
        </w:tc>
        <w:tc>
          <w:tcPr>
            <w:tcW w:type="dxa" w:w="2400"/>
            <w:tcMar>
              <w:top w:type="dxa" w:w="100"/>
              <w:left w:type="dxa" w:w="120"/>
              <w:bottom w:type="dxa" w:w="100"/>
              <w:right w:type="dxa" w:w="120"/>
            </w:tcMar>
            <w:vAlign w:val="center"/>
          </w:tcPr>
          <w:p>
            <w:pPr>
              <w:jc w:val="left"/>
            </w:pPr>
            <w:r>
              <w:rPr>
                <w:b w:val="false"/>
                <w:bCs w:val="false"/>
                <w:color w:val="1A1A1A"/>
                <w:sz w:val="20"/>
                <w:szCs w:val="20"/>
              </w:rPr>
              <w:t xml:space="preserve">app.py</w:t>
            </w:r>
          </w:p>
        </w:tc>
        <w:tc>
          <w:tcPr>
            <w:tcW w:type="dxa" w:w="4900"/>
            <w:tcMar>
              <w:top w:type="dxa" w:w="100"/>
              <w:left w:type="dxa" w:w="120"/>
              <w:bottom w:type="dxa" w:w="100"/>
              <w:right w:type="dxa" w:w="120"/>
            </w:tcMar>
            <w:vAlign w:val="center"/>
          </w:tcPr>
          <w:p>
            <w:pPr>
              <w:jc w:val="left"/>
            </w:pPr>
            <w:r>
              <w:rPr>
                <w:b w:val="false"/>
                <w:bCs w:val="false"/>
                <w:color w:val="1A1A1A"/>
                <w:sz w:val="20"/>
                <w:szCs w:val="20"/>
              </w:rPr>
              <w:t xml:space="preserve">The Streamlit web interface — five tabs that render the outputs of the ML layer for end users.</w:t>
            </w:r>
          </w:p>
        </w:tc>
      </w:tr>
    </w:tbl>
    <w:p>
      <w:pPr>
        <w:pStyle w:val="Heading2"/>
        <w:spacing w:after="140" w:before="280"/>
      </w:pPr>
      <w:r>
        <w:t xml:space="preserve">4.1 Data Flow</w:t>
      </w:r>
    </w:p>
    <w:p>
      <w:pPr>
        <w:pStyle w:val="ListParagraph"/>
        <w:numPr>
          <w:ilvl w:val="0"/>
          <w:numId w:val="4"/>
        </w:numPr>
        <w:spacing w:after="90" w:line="276"/>
      </w:pPr>
      <w:r>
        <w:rPr>
          <w:sz w:val="22"/>
          <w:szCs w:val="22"/>
        </w:rPr>
        <w:t xml:space="preserve">A dataset is loaded — either generated synthetically or uploaded by the user.</w:t>
      </w:r>
    </w:p>
    <w:p>
      <w:pPr>
        <w:pStyle w:val="ListParagraph"/>
        <w:numPr>
          <w:ilvl w:val="0"/>
          <w:numId w:val="4"/>
        </w:numPr>
        <w:spacing w:after="90" w:line="276"/>
      </w:pPr>
      <w:r>
        <w:rPr>
          <w:sz w:val="22"/>
          <w:szCs w:val="22"/>
        </w:rPr>
        <w:t xml:space="preserve">The ML layer encodes features, splits the data into training and test sets, and trains the selected classifier.</w:t>
      </w:r>
    </w:p>
    <w:p>
      <w:pPr>
        <w:pStyle w:val="ListParagraph"/>
        <w:numPr>
          <w:ilvl w:val="0"/>
          <w:numId w:val="4"/>
        </w:numPr>
        <w:spacing w:after="90" w:line="276"/>
      </w:pPr>
      <w:r>
        <w:rPr>
          <w:sz w:val="22"/>
          <w:szCs w:val="22"/>
        </w:rPr>
        <w:t xml:space="preserve">The trained model is evaluated on the held-out test set (ROC-AUC, Precision-Recall, confusion matrix).</w:t>
      </w:r>
    </w:p>
    <w:p>
      <w:pPr>
        <w:pStyle w:val="ListParagraph"/>
        <w:numPr>
          <w:ilvl w:val="0"/>
          <w:numId w:val="4"/>
        </w:numPr>
        <w:spacing w:after="90" w:line="276"/>
      </w:pPr>
      <w:r>
        <w:rPr>
          <w:sz w:val="22"/>
          <w:szCs w:val="22"/>
        </w:rPr>
        <w:t xml:space="preserve">SHAP is used to compute feature contributions for every prediction.</w:t>
      </w:r>
    </w:p>
    <w:p>
      <w:pPr>
        <w:pStyle w:val="ListParagraph"/>
        <w:numPr>
          <w:ilvl w:val="0"/>
          <w:numId w:val="4"/>
        </w:numPr>
        <w:spacing w:after="90" w:line="276"/>
      </w:pPr>
      <w:r>
        <w:rPr>
          <w:sz w:val="22"/>
          <w:szCs w:val="22"/>
        </w:rPr>
        <w:t xml:space="preserve">Every machine in the fleet is scored, bucketed by risk level, and assigned top risk factors and a recommended action.</w:t>
      </w:r>
    </w:p>
    <w:p>
      <w:pPr>
        <w:pStyle w:val="ListParagraph"/>
        <w:numPr>
          <w:ilvl w:val="0"/>
          <w:numId w:val="4"/>
        </w:numPr>
        <w:spacing w:after="90" w:line="276"/>
      </w:pPr>
      <w:r>
        <w:rPr>
          <w:sz w:val="22"/>
          <w:szCs w:val="22"/>
        </w:rPr>
        <w:t xml:space="preserve">The Streamlit interface renders all of the above across five tabs.</w:t>
      </w:r>
    </w:p>
    <w:p>
      <w:pPr>
        <w:pStyle w:val="Heading2"/>
        <w:spacing w:after="140" w:before="280"/>
      </w:pPr>
      <w:r>
        <w:t xml:space="preserve">4.2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1F3864" w:val="clear"/>
            <w:tcMar>
              <w:top w:type="dxa" w:w="100"/>
              <w:left w:type="dxa" w:w="120"/>
              <w:bottom w:type="dxa" w:w="100"/>
              <w:right w:type="dxa" w:w="120"/>
            </w:tcMar>
            <w:vAlign w:val="center"/>
          </w:tcPr>
          <w:p>
            <w:pPr>
              <w:jc w:val="left"/>
            </w:pPr>
            <w:r>
              <w:rPr>
                <w:b/>
                <w:bCs/>
                <w:color w:val="FFFFFF"/>
                <w:sz w:val="20"/>
                <w:szCs w:val="20"/>
              </w:rPr>
              <w:t xml:space="preserve">Layer</w:t>
            </w:r>
          </w:p>
        </w:tc>
        <w:tc>
          <w:tcPr>
            <w:tcW w:type="dxa" w:w="6000"/>
            <w:shd w:fill="1F3864" w:val="clear"/>
            <w:tcMar>
              <w:top w:type="dxa" w:w="100"/>
              <w:left w:type="dxa" w:w="120"/>
              <w:bottom w:type="dxa" w:w="100"/>
              <w:right w:type="dxa" w:w="120"/>
            </w:tcMar>
            <w:vAlign w:val="center"/>
          </w:tcPr>
          <w:p>
            <w:pPr>
              <w:jc w:val="left"/>
            </w:pPr>
            <w:r>
              <w:rPr>
                <w:b/>
                <w:bCs/>
                <w:color w:val="FFFFFF"/>
                <w:sz w:val="20"/>
                <w:szCs w:val="20"/>
              </w:rPr>
              <w:t xml:space="preserve">Technology</w:t>
            </w:r>
          </w:p>
        </w:tc>
      </w:tr>
      <w:tr>
        <w:tc>
          <w:tcPr>
            <w:tcW w:type="dxa" w:w="3500"/>
            <w:tcMar>
              <w:top w:type="dxa" w:w="100"/>
              <w:left w:type="dxa" w:w="120"/>
              <w:bottom w:type="dxa" w:w="100"/>
              <w:right w:type="dxa" w:w="120"/>
            </w:tcMar>
            <w:vAlign w:val="center"/>
          </w:tcPr>
          <w:p>
            <w:pPr>
              <w:jc w:val="left"/>
            </w:pPr>
            <w:r>
              <w:rPr>
                <w:b w:val="false"/>
                <w:bCs w:val="false"/>
                <w:color w:val="1A1A1A"/>
                <w:sz w:val="20"/>
                <w:szCs w:val="20"/>
              </w:rPr>
              <w:t xml:space="preserve">Web application framework</w:t>
            </w:r>
          </w:p>
        </w:tc>
        <w:tc>
          <w:tcPr>
            <w:tcW w:type="dxa" w:w="6000"/>
            <w:tcMar>
              <w:top w:type="dxa" w:w="100"/>
              <w:left w:type="dxa" w:w="120"/>
              <w:bottom w:type="dxa" w:w="100"/>
              <w:right w:type="dxa" w:w="120"/>
            </w:tcMar>
            <w:vAlign w:val="center"/>
          </w:tcPr>
          <w:p>
            <w:pPr>
              <w:jc w:val="left"/>
            </w:pPr>
            <w:r>
              <w:rPr>
                <w:b w:val="false"/>
                <w:bCs w:val="false"/>
                <w:color w:val="1A1A1A"/>
                <w:sz w:val="20"/>
                <w:szCs w:val="20"/>
              </w:rPr>
              <w:t xml:space="preserve">Streamlit</w:t>
            </w:r>
          </w:p>
        </w:tc>
      </w:tr>
      <w:tr>
        <w:tc>
          <w:tcPr>
            <w:tcW w:type="dxa" w:w="35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Machine learning</w:t>
            </w:r>
          </w:p>
        </w:tc>
        <w:tc>
          <w:tcPr>
            <w:tcW w:type="dxa" w:w="60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scikit-learn (Random Forest, Gradient Boosting)</w:t>
            </w:r>
          </w:p>
        </w:tc>
      </w:tr>
      <w:tr>
        <w:tc>
          <w:tcPr>
            <w:tcW w:type="dxa" w:w="3500"/>
            <w:tcMar>
              <w:top w:type="dxa" w:w="100"/>
              <w:left w:type="dxa" w:w="120"/>
              <w:bottom w:type="dxa" w:w="100"/>
              <w:right w:type="dxa" w:w="120"/>
            </w:tcMar>
            <w:vAlign w:val="center"/>
          </w:tcPr>
          <w:p>
            <w:pPr>
              <w:jc w:val="left"/>
            </w:pPr>
            <w:r>
              <w:rPr>
                <w:b w:val="false"/>
                <w:bCs w:val="false"/>
                <w:color w:val="1A1A1A"/>
                <w:sz w:val="20"/>
                <w:szCs w:val="20"/>
              </w:rPr>
              <w:t xml:space="preserve">Explainability</w:t>
            </w:r>
          </w:p>
        </w:tc>
        <w:tc>
          <w:tcPr>
            <w:tcW w:type="dxa" w:w="6000"/>
            <w:tcMar>
              <w:top w:type="dxa" w:w="100"/>
              <w:left w:type="dxa" w:w="120"/>
              <w:bottom w:type="dxa" w:w="100"/>
              <w:right w:type="dxa" w:w="120"/>
            </w:tcMar>
            <w:vAlign w:val="center"/>
          </w:tcPr>
          <w:p>
            <w:pPr>
              <w:jc w:val="left"/>
            </w:pPr>
            <w:r>
              <w:rPr>
                <w:b w:val="false"/>
                <w:bCs w:val="false"/>
                <w:color w:val="1A1A1A"/>
                <w:sz w:val="20"/>
                <w:szCs w:val="20"/>
              </w:rPr>
              <w:t xml:space="preserve">SHAP (TreeExplainer)</w:t>
            </w:r>
          </w:p>
        </w:tc>
      </w:tr>
      <w:tr>
        <w:tc>
          <w:tcPr>
            <w:tcW w:type="dxa" w:w="35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Data handling</w:t>
            </w:r>
          </w:p>
        </w:tc>
        <w:tc>
          <w:tcPr>
            <w:tcW w:type="dxa" w:w="60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pandas, NumPy</w:t>
            </w:r>
          </w:p>
        </w:tc>
      </w:tr>
      <w:tr>
        <w:tc>
          <w:tcPr>
            <w:tcW w:type="dxa" w:w="3500"/>
            <w:tcMar>
              <w:top w:type="dxa" w:w="100"/>
              <w:left w:type="dxa" w:w="120"/>
              <w:bottom w:type="dxa" w:w="100"/>
              <w:right w:type="dxa" w:w="120"/>
            </w:tcMar>
            <w:vAlign w:val="center"/>
          </w:tcPr>
          <w:p>
            <w:pPr>
              <w:jc w:val="left"/>
            </w:pPr>
            <w:r>
              <w:rPr>
                <w:b w:val="false"/>
                <w:bCs w:val="false"/>
                <w:color w:val="1A1A1A"/>
                <w:sz w:val="20"/>
                <w:szCs w:val="20"/>
              </w:rPr>
              <w:t xml:space="preserve">Visualization</w:t>
            </w:r>
          </w:p>
        </w:tc>
        <w:tc>
          <w:tcPr>
            <w:tcW w:type="dxa" w:w="6000"/>
            <w:tcMar>
              <w:top w:type="dxa" w:w="100"/>
              <w:left w:type="dxa" w:w="120"/>
              <w:bottom w:type="dxa" w:w="100"/>
              <w:right w:type="dxa" w:w="120"/>
            </w:tcMar>
            <w:vAlign w:val="center"/>
          </w:tcPr>
          <w:p>
            <w:pPr>
              <w:jc w:val="left"/>
            </w:pPr>
            <w:r>
              <w:rPr>
                <w:b w:val="false"/>
                <w:bCs w:val="false"/>
                <w:color w:val="1A1A1A"/>
                <w:sz w:val="20"/>
                <w:szCs w:val="20"/>
              </w:rPr>
              <w:t xml:space="preserve">Plotly</w:t>
            </w:r>
          </w:p>
        </w:tc>
      </w:tr>
      <w:tr>
        <w:tc>
          <w:tcPr>
            <w:tcW w:type="dxa" w:w="35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Language</w:t>
            </w:r>
          </w:p>
        </w:tc>
        <w:tc>
          <w:tcPr>
            <w:tcW w:type="dxa" w:w="60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Python 3</w:t>
            </w:r>
          </w:p>
        </w:tc>
      </w:tr>
    </w:tbl>
    <w:p>
      <w:r>
        <w:br w:type="page"/>
      </w:r>
    </w:p>
    <w:p>
      <w:pPr>
        <w:pStyle w:val="Heading1"/>
        <w:spacing w:after="200" w:before="360"/>
      </w:pPr>
      <w:r>
        <w:t xml:space="preserve">5. Application Walkthrough</w:t>
      </w:r>
    </w:p>
    <w:p>
      <w:pPr>
        <w:spacing w:after="160" w:line="276"/>
      </w:pPr>
      <w:r>
        <w:rPr>
          <w:sz w:val="22"/>
          <w:szCs w:val="22"/>
        </w:rPr>
        <w:t xml:space="preserve">The application interface is organized into five tabs, in the order a user would typically work through them:</w:t>
      </w:r>
    </w:p>
    <w:p>
      <w:pPr>
        <w:pStyle w:val="Heading2"/>
        <w:spacing w:after="140" w:before="280"/>
      </w:pPr>
      <w:r>
        <w:t xml:space="preserve">5.1 Data Overview</w:t>
      </w:r>
    </w:p>
    <w:p>
      <w:pPr>
        <w:spacing w:after="160" w:line="276"/>
      </w:pPr>
      <w:r>
        <w:rPr>
          <w:sz w:val="22"/>
          <w:szCs w:val="22"/>
        </w:rPr>
        <w:t xml:space="preserve">Provides a first look at the loaded fleet before any modeling happens.</w:t>
      </w:r>
    </w:p>
    <w:p>
      <w:pPr>
        <w:pStyle w:val="ListParagraph"/>
        <w:numPr>
          <w:ilvl w:val="0"/>
          <w:numId w:val="2"/>
        </w:numPr>
        <w:spacing w:after="90" w:line="276"/>
      </w:pPr>
      <w:r>
        <w:rPr>
          <w:sz w:val="22"/>
          <w:szCs w:val="22"/>
        </w:rPr>
        <w:t xml:space="preserve">Summary metrics: number of machines, overall failure rate, machine type count, average days since last maintenance.</w:t>
      </w:r>
    </w:p>
    <w:p>
      <w:pPr>
        <w:pStyle w:val="ListParagraph"/>
        <w:numPr>
          <w:ilvl w:val="0"/>
          <w:numId w:val="2"/>
        </w:numPr>
        <w:spacing w:after="90" w:line="276"/>
      </w:pPr>
      <w:r>
        <w:rPr>
          <w:sz w:val="22"/>
          <w:szCs w:val="22"/>
        </w:rPr>
        <w:t xml:space="preserve">A preview of the raw dataset.</w:t>
      </w:r>
    </w:p>
    <w:p>
      <w:pPr>
        <w:pStyle w:val="ListParagraph"/>
        <w:numPr>
          <w:ilvl w:val="0"/>
          <w:numId w:val="2"/>
        </w:numPr>
        <w:spacing w:after="90" w:line="276"/>
      </w:pPr>
      <w:r>
        <w:rPr>
          <w:sz w:val="22"/>
          <w:szCs w:val="22"/>
        </w:rPr>
        <w:t xml:space="preserve">Sensor distribution charts split by failure outcome, to visually confirm which sensors differ between healthy and failed machines.</w:t>
      </w:r>
    </w:p>
    <w:p>
      <w:pPr>
        <w:pStyle w:val="ListParagraph"/>
        <w:numPr>
          <w:ilvl w:val="0"/>
          <w:numId w:val="2"/>
        </w:numPr>
        <w:spacing w:after="90" w:line="276"/>
      </w:pPr>
      <w:r>
        <w:rPr>
          <w:sz w:val="22"/>
          <w:szCs w:val="22"/>
        </w:rPr>
        <w:t xml:space="preserve">Failure rate broken down by machine type.</w:t>
      </w:r>
    </w:p>
    <w:p>
      <w:pPr>
        <w:pStyle w:val="Heading2"/>
        <w:spacing w:after="140" w:before="280"/>
      </w:pPr>
      <w:r>
        <w:t xml:space="preserve">5.2 Model Performance</w:t>
      </w:r>
    </w:p>
    <w:p>
      <w:pPr>
        <w:spacing w:after="160" w:line="276"/>
      </w:pPr>
      <w:r>
        <w:rPr>
          <w:sz w:val="22"/>
          <w:szCs w:val="22"/>
        </w:rPr>
        <w:t xml:space="preserve">Lets a technical or managerial reviewer assess how trustworthy the model's predictions are before acting on them.</w:t>
      </w:r>
    </w:p>
    <w:p>
      <w:pPr>
        <w:pStyle w:val="ListParagraph"/>
        <w:numPr>
          <w:ilvl w:val="0"/>
          <w:numId w:val="2"/>
        </w:numPr>
        <w:spacing w:after="90" w:line="276"/>
      </w:pPr>
      <w:r>
        <w:rPr>
          <w:sz w:val="22"/>
          <w:szCs w:val="22"/>
        </w:rPr>
        <w:t xml:space="preserve">ROC-AUC and Precision-Recall (Average Precision) scores.</w:t>
      </w:r>
    </w:p>
    <w:p>
      <w:pPr>
        <w:pStyle w:val="ListParagraph"/>
        <w:numPr>
          <w:ilvl w:val="0"/>
          <w:numId w:val="2"/>
        </w:numPr>
        <w:spacing w:after="90" w:line="276"/>
      </w:pPr>
      <w:r>
        <w:rPr>
          <w:sz w:val="22"/>
          <w:szCs w:val="22"/>
        </w:rPr>
        <w:t xml:space="preserve">ROC curve and Precision-Recall curve visualizations.</w:t>
      </w:r>
    </w:p>
    <w:p>
      <w:pPr>
        <w:pStyle w:val="ListParagraph"/>
        <w:numPr>
          <w:ilvl w:val="0"/>
          <w:numId w:val="2"/>
        </w:numPr>
        <w:spacing w:after="90" w:line="276"/>
      </w:pPr>
      <w:r>
        <w:rPr>
          <w:sz w:val="22"/>
          <w:szCs w:val="22"/>
        </w:rPr>
        <w:t xml:space="preserve">Confusion matrix at the default classification threshold.</w:t>
      </w:r>
    </w:p>
    <w:p>
      <w:pPr>
        <w:pStyle w:val="ListParagraph"/>
        <w:numPr>
          <w:ilvl w:val="0"/>
          <w:numId w:val="2"/>
        </w:numPr>
        <w:spacing w:after="90" w:line="276"/>
      </w:pPr>
      <w:r>
        <w:rPr>
          <w:sz w:val="22"/>
          <w:szCs w:val="22"/>
        </w:rPr>
        <w:t xml:space="preserve">A note on why these metrics — not raw accuracy — are the right way to judge performance when failures are rare.</w:t>
      </w:r>
    </w:p>
    <w:p>
      <w:pPr>
        <w:pStyle w:val="Heading2"/>
        <w:spacing w:after="140" w:before="280"/>
      </w:pPr>
      <w:r>
        <w:t xml:space="preserve">5.3 Failure Risk Dashboard</w:t>
      </w:r>
    </w:p>
    <w:p>
      <w:pPr>
        <w:spacing w:after="160" w:line="276"/>
      </w:pPr>
      <w:r>
        <w:rPr>
          <w:sz w:val="22"/>
          <w:szCs w:val="22"/>
        </w:rPr>
        <w:t xml:space="preserve">The primary operational view: every machine ranked by predicted failure risk.</w:t>
      </w:r>
    </w:p>
    <w:p>
      <w:pPr>
        <w:pStyle w:val="ListParagraph"/>
        <w:numPr>
          <w:ilvl w:val="0"/>
          <w:numId w:val="2"/>
        </w:numPr>
        <w:spacing w:after="90" w:line="276"/>
      </w:pPr>
      <w:r>
        <w:rPr>
          <w:sz w:val="22"/>
          <w:szCs w:val="22"/>
        </w:rPr>
        <w:t xml:space="preserve">Counts of machines in each risk bucket (Critical / High / Medium / Low).</w:t>
      </w:r>
    </w:p>
    <w:p>
      <w:pPr>
        <w:pStyle w:val="ListParagraph"/>
        <w:numPr>
          <w:ilvl w:val="0"/>
          <w:numId w:val="2"/>
        </w:numPr>
        <w:spacing w:after="90" w:line="276"/>
      </w:pPr>
      <w:r>
        <w:rPr>
          <w:sz w:val="22"/>
          <w:szCs w:val="22"/>
        </w:rPr>
        <w:t xml:space="preserve">Filters by risk level and machine type.</w:t>
      </w:r>
    </w:p>
    <w:p>
      <w:pPr>
        <w:pStyle w:val="ListParagraph"/>
        <w:numPr>
          <w:ilvl w:val="0"/>
          <w:numId w:val="2"/>
        </w:numPr>
        <w:spacing w:after="90" w:line="276"/>
      </w:pPr>
      <w:r>
        <w:rPr>
          <w:sz w:val="22"/>
          <w:szCs w:val="22"/>
        </w:rPr>
        <w:t xml:space="preserve">A color-coded, sortable table of the prioritized maintenance queue.</w:t>
      </w:r>
    </w:p>
    <w:p>
      <w:pPr>
        <w:pStyle w:val="ListParagraph"/>
        <w:numPr>
          <w:ilvl w:val="0"/>
          <w:numId w:val="2"/>
        </w:numPr>
        <w:spacing w:after="90" w:line="276"/>
      </w:pPr>
      <w:r>
        <w:rPr>
          <w:sz w:val="22"/>
          <w:szCs w:val="22"/>
        </w:rPr>
        <w:t xml:space="preserve">A CSV export button, for sharing the queue outside the application (e.g. with a CMMS or work-order system).</w:t>
      </w:r>
    </w:p>
    <w:p>
      <w:pPr>
        <w:pStyle w:val="ListParagraph"/>
        <w:numPr>
          <w:ilvl w:val="0"/>
          <w:numId w:val="2"/>
        </w:numPr>
        <w:spacing w:after="90" w:line="276"/>
      </w:pPr>
      <w:r>
        <w:rPr>
          <w:sz w:val="22"/>
          <w:szCs w:val="22"/>
        </w:rPr>
        <w:t xml:space="preserve">A histogram of risk scores across the whole fleet.</w:t>
      </w:r>
    </w:p>
    <w:p>
      <w:pPr>
        <w:pStyle w:val="Heading2"/>
        <w:spacing w:after="140" w:before="280"/>
      </w:pPr>
      <w:r>
        <w:t xml:space="preserve">5.4 Explainability</w:t>
      </w:r>
    </w:p>
    <w:p>
      <w:pPr>
        <w:spacing w:after="160" w:line="276"/>
      </w:pPr>
      <w:r>
        <w:rPr>
          <w:sz w:val="22"/>
          <w:szCs w:val="22"/>
        </w:rPr>
        <w:t xml:space="preserve">Answers 'why' — for both the model overall and for any single machine.</w:t>
      </w:r>
    </w:p>
    <w:p>
      <w:pPr>
        <w:pStyle w:val="ListParagraph"/>
        <w:numPr>
          <w:ilvl w:val="0"/>
          <w:numId w:val="2"/>
        </w:numPr>
        <w:spacing w:after="90" w:line="276"/>
      </w:pPr>
      <w:r>
        <w:rPr>
          <w:sz w:val="22"/>
          <w:szCs w:val="22"/>
        </w:rPr>
        <w:t xml:space="preserve">Global feature importance: which sensor readings matter most across the fleet.</w:t>
      </w:r>
    </w:p>
    <w:p>
      <w:pPr>
        <w:pStyle w:val="ListParagraph"/>
        <w:numPr>
          <w:ilvl w:val="0"/>
          <w:numId w:val="2"/>
        </w:numPr>
        <w:spacing w:after="90" w:line="276"/>
      </w:pPr>
      <w:r>
        <w:rPr>
          <w:sz w:val="22"/>
          <w:szCs w:val="22"/>
        </w:rPr>
        <w:t xml:space="preserve">Directional analysis: which factors push risk up versus down, on average.</w:t>
      </w:r>
    </w:p>
    <w:p>
      <w:pPr>
        <w:pStyle w:val="ListParagraph"/>
        <w:numPr>
          <w:ilvl w:val="0"/>
          <w:numId w:val="2"/>
        </w:numPr>
        <w:spacing w:after="90" w:line="276"/>
      </w:pPr>
      <w:r>
        <w:rPr>
          <w:sz w:val="22"/>
          <w:szCs w:val="22"/>
        </w:rPr>
        <w:t xml:space="preserve">A per-machine drill-down: select any machine and see its specific top risk factors, recommended action, and raw sensor readings.</w:t>
      </w:r>
    </w:p>
    <w:p>
      <w:pPr>
        <w:pStyle w:val="Heading2"/>
        <w:spacing w:after="140" w:before="280"/>
      </w:pPr>
      <w:r>
        <w:t xml:space="preserve">5.5 Maintenance Plan</w:t>
      </w:r>
    </w:p>
    <w:p>
      <w:pPr>
        <w:spacing w:after="160" w:line="276"/>
      </w:pPr>
      <w:r>
        <w:rPr>
          <w:sz w:val="22"/>
          <w:szCs w:val="22"/>
        </w:rPr>
        <w:t xml:space="preserve">A supervisor-facing action list, grouped by urgency.</w:t>
      </w:r>
    </w:p>
    <w:p>
      <w:pPr>
        <w:pStyle w:val="ListParagraph"/>
        <w:numPr>
          <w:ilvl w:val="0"/>
          <w:numId w:val="2"/>
        </w:numPr>
        <w:spacing w:after="90" w:line="276"/>
      </w:pPr>
      <w:r>
        <w:rPr>
          <w:sz w:val="22"/>
          <w:szCs w:val="22"/>
        </w:rPr>
        <w:t xml:space="preserve">Machines grouped into Critical / High / Medium priority sections, each expandable.</w:t>
      </w:r>
    </w:p>
    <w:p>
      <w:pPr>
        <w:pStyle w:val="ListParagraph"/>
        <w:numPr>
          <w:ilvl w:val="0"/>
          <w:numId w:val="2"/>
        </w:numPr>
        <w:spacing w:after="90" w:line="276"/>
      </w:pPr>
      <w:r>
        <w:rPr>
          <w:sz w:val="22"/>
          <w:szCs w:val="22"/>
        </w:rPr>
        <w:t xml:space="preserve">For each machine: risk percentage, top risk drivers, and recommended action.</w:t>
      </w:r>
    </w:p>
    <w:p>
      <w:pPr>
        <w:pStyle w:val="ListParagraph"/>
        <w:numPr>
          <w:ilvl w:val="0"/>
          <w:numId w:val="2"/>
        </w:numPr>
        <w:spacing w:after="90" w:line="276"/>
      </w:pPr>
      <w:r>
        <w:rPr>
          <w:sz w:val="22"/>
          <w:szCs w:val="22"/>
        </w:rPr>
        <w:t xml:space="preserve">A fleet-level summary table showing machine counts and average risk per priority tier.</w:t>
      </w:r>
    </w:p>
    <w:p>
      <w:r>
        <w:br w:type="page"/>
      </w:r>
    </w:p>
    <w:p>
      <w:pPr>
        <w:pStyle w:val="Heading1"/>
        <w:spacing w:after="200" w:before="360"/>
      </w:pPr>
      <w:r>
        <w:t xml:space="preserve">6. Machine Learning Methodology</w:t>
      </w:r>
    </w:p>
    <w:p>
      <w:pPr>
        <w:pStyle w:val="Heading2"/>
        <w:spacing w:after="140" w:before="280"/>
      </w:pPr>
      <w:r>
        <w:t xml:space="preserve">6.1 Model Selection</w:t>
      </w:r>
    </w:p>
    <w:p>
      <w:pPr>
        <w:spacing w:after="160" w:line="276"/>
      </w:pPr>
      <w:r>
        <w:rPr>
          <w:sz w:val="22"/>
          <w:szCs w:val="22"/>
        </w:rPr>
        <w:t xml:space="preserve">The system uses tree-based ensemble models — Random Forest or Gradient Boosting — selected for three reasons: they capture nonlinear relationships between sensor readings without manual feature engineering, they do not require feature scaling, and they support fast, exact explainability via SHAP's TreeExplainer.</w:t>
      </w:r>
    </w:p>
    <w:p>
      <w:pPr>
        <w:pStyle w:val="Heading2"/>
        <w:spacing w:after="140" w:before="280"/>
      </w:pPr>
      <w:r>
        <w:t xml:space="preserve">6.2 Handling Rare Failures (Class Imbalance)</w:t>
      </w:r>
    </w:p>
    <w:p>
      <w:pPr>
        <w:spacing w:after="160" w:line="276"/>
      </w:pPr>
      <w:r>
        <w:rPr>
          <w:sz w:val="22"/>
          <w:szCs w:val="22"/>
        </w:rPr>
        <w:t xml:space="preserve">Equipment failures are naturally rare events (roughly 5–10% of observations in typical operating data). The system addresses this by using a stratified train/test split (ensuring failures are proportionally represented in both sets), class-weighting during training so failures are not underweighted, and evaluation via ROC-AUC and Precision-Recall rather than raw accuracy, which can be misleadingly high on imbalanced data.</w:t>
      </w:r>
    </w:p>
    <w:p>
      <w:pPr>
        <w:pStyle w:val="Heading2"/>
        <w:spacing w:after="140" w:before="280"/>
      </w:pPr>
      <w:r>
        <w:t xml:space="preserve">6.3 Explainability with SHAP</w:t>
      </w:r>
    </w:p>
    <w:p>
      <w:pPr>
        <w:spacing w:after="160" w:line="276"/>
      </w:pPr>
      <w:r>
        <w:rPr>
          <w:sz w:val="22"/>
          <w:szCs w:val="22"/>
        </w:rPr>
        <w:t xml:space="preserve">SHAP (SHapley Additive exPlanations) quantifies exactly how much each input feature pushed a specific prediction up or down relative to the average. This is used in two ways: fleet-wide, to identify which sensors matter most overall; and per-machine, to generate the specific 'top risk factors' shown for each item in the maintenance queue. This is what makes the system's output auditable and trustworthy, rather than a black-box score.</w:t>
      </w:r>
    </w:p>
    <w:p>
      <w:pPr>
        <w:pStyle w:val="Heading2"/>
        <w:spacing w:after="140" w:before="280"/>
      </w:pPr>
      <w:r>
        <w:t xml:space="preserve">6.4 Risk Levels and Priority Windows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700"/>
      </w:tblGrid>
      <w:tr>
        <w:trPr>
          <w:tblHeader/>
        </w:trPr>
        <w:tc>
          <w:tcPr>
            <w:tcW w:type="dxa" w:w="2200"/>
            <w:shd w:fill="1F3864" w:val="clear"/>
            <w:tcMar>
              <w:top w:type="dxa" w:w="100"/>
              <w:left w:type="dxa" w:w="120"/>
              <w:bottom w:type="dxa" w:w="100"/>
              <w:right w:type="dxa" w:w="120"/>
            </w:tcMar>
            <w:vAlign w:val="center"/>
          </w:tcPr>
          <w:p>
            <w:pPr>
              <w:jc w:val="left"/>
            </w:pPr>
            <w:r>
              <w:rPr>
                <w:b/>
                <w:bCs/>
                <w:color w:val="FFFFFF"/>
                <w:sz w:val="20"/>
                <w:szCs w:val="20"/>
              </w:rPr>
              <w:t xml:space="preserve">Risk Level</w:t>
            </w:r>
          </w:p>
        </w:tc>
        <w:tc>
          <w:tcPr>
            <w:tcW w:type="dxa" w:w="3600"/>
            <w:shd w:fill="1F3864" w:val="clear"/>
            <w:tcMar>
              <w:top w:type="dxa" w:w="100"/>
              <w:left w:type="dxa" w:w="120"/>
              <w:bottom w:type="dxa" w:w="100"/>
              <w:right w:type="dxa" w:w="120"/>
            </w:tcMar>
            <w:vAlign w:val="center"/>
          </w:tcPr>
          <w:p>
            <w:pPr>
              <w:jc w:val="left"/>
            </w:pPr>
            <w:r>
              <w:rPr>
                <w:b/>
                <w:bCs/>
                <w:color w:val="FFFFFF"/>
                <w:sz w:val="20"/>
                <w:szCs w:val="20"/>
              </w:rPr>
              <w:t xml:space="preserve">Predicted Failure Probability</w:t>
            </w:r>
          </w:p>
        </w:tc>
        <w:tc>
          <w:tcPr>
            <w:tcW w:type="dxa" w:w="3700"/>
            <w:shd w:fill="1F3864" w:val="clear"/>
            <w:tcMar>
              <w:top w:type="dxa" w:w="100"/>
              <w:left w:type="dxa" w:w="120"/>
              <w:bottom w:type="dxa" w:w="100"/>
              <w:right w:type="dxa" w:w="120"/>
            </w:tcMar>
            <w:vAlign w:val="center"/>
          </w:tcPr>
          <w:p>
            <w:pPr>
              <w:jc w:val="left"/>
            </w:pPr>
            <w:r>
              <w:rPr>
                <w:b/>
                <w:bCs/>
                <w:color w:val="FFFFFF"/>
                <w:sz w:val="20"/>
                <w:szCs w:val="20"/>
              </w:rPr>
              <w:t xml:space="preserve">Suggested Action Window</w:t>
            </w:r>
          </w:p>
        </w:tc>
      </w:tr>
      <w:tr>
        <w:tc>
          <w:tcPr>
            <w:tcW w:type="dxa" w:w="2200"/>
            <w:tcMar>
              <w:top w:type="dxa" w:w="100"/>
              <w:left w:type="dxa" w:w="120"/>
              <w:bottom w:type="dxa" w:w="100"/>
              <w:right w:type="dxa" w:w="120"/>
            </w:tcMar>
            <w:vAlign w:val="center"/>
          </w:tcPr>
          <w:p>
            <w:pPr>
              <w:jc w:val="left"/>
            </w:pPr>
            <w:r>
              <w:rPr>
                <w:b w:val="false"/>
                <w:bCs w:val="false"/>
                <w:color w:val="1A1A1A"/>
                <w:sz w:val="20"/>
                <w:szCs w:val="20"/>
              </w:rPr>
              <w:t xml:space="preserve">Critical</w:t>
            </w:r>
          </w:p>
        </w:tc>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Above 60%</w:t>
            </w:r>
          </w:p>
        </w:tc>
        <w:tc>
          <w:tcPr>
            <w:tcW w:type="dxa" w:w="3700"/>
            <w:tcMar>
              <w:top w:type="dxa" w:w="100"/>
              <w:left w:type="dxa" w:w="120"/>
              <w:bottom w:type="dxa" w:w="100"/>
              <w:right w:type="dxa" w:w="120"/>
            </w:tcMar>
            <w:vAlign w:val="center"/>
          </w:tcPr>
          <w:p>
            <w:pPr>
              <w:jc w:val="left"/>
            </w:pPr>
            <w:r>
              <w:rPr>
                <w:b w:val="false"/>
                <w:bCs w:val="false"/>
                <w:color w:val="1A1A1A"/>
                <w:sz w:val="20"/>
                <w:szCs w:val="20"/>
              </w:rPr>
              <w:t xml:space="preserve">Within 48 hours</w:t>
            </w:r>
          </w:p>
        </w:tc>
      </w:tr>
      <w:tr>
        <w:tc>
          <w:tcPr>
            <w:tcW w:type="dxa" w:w="2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High</w:t>
            </w:r>
          </w:p>
        </w:tc>
        <w:tc>
          <w:tcPr>
            <w:tcW w:type="dxa" w:w="36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35% – 60%</w:t>
            </w:r>
          </w:p>
        </w:tc>
        <w:tc>
          <w:tcPr>
            <w:tcW w:type="dxa" w:w="37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Within 1 week</w:t>
            </w:r>
          </w:p>
        </w:tc>
      </w:tr>
      <w:tr>
        <w:tc>
          <w:tcPr>
            <w:tcW w:type="dxa" w:w="2200"/>
            <w:tcMar>
              <w:top w:type="dxa" w:w="100"/>
              <w:left w:type="dxa" w:w="120"/>
              <w:bottom w:type="dxa" w:w="100"/>
              <w:right w:type="dxa" w:w="120"/>
            </w:tcMar>
            <w:vAlign w:val="center"/>
          </w:tcPr>
          <w:p>
            <w:pPr>
              <w:jc w:val="left"/>
            </w:pPr>
            <w:r>
              <w:rPr>
                <w:b w:val="false"/>
                <w:bCs w:val="false"/>
                <w:color w:val="1A1A1A"/>
                <w:sz w:val="20"/>
                <w:szCs w:val="20"/>
              </w:rPr>
              <w:t xml:space="preserve">Medium</w:t>
            </w:r>
          </w:p>
        </w:tc>
        <w:tc>
          <w:tcPr>
            <w:tcW w:type="dxa" w:w="3600"/>
            <w:tcMar>
              <w:top w:type="dxa" w:w="100"/>
              <w:left w:type="dxa" w:w="120"/>
              <w:bottom w:type="dxa" w:w="100"/>
              <w:right w:type="dxa" w:w="120"/>
            </w:tcMar>
            <w:vAlign w:val="center"/>
          </w:tcPr>
          <w:p>
            <w:pPr>
              <w:jc w:val="left"/>
            </w:pPr>
            <w:r>
              <w:rPr>
                <w:b w:val="false"/>
                <w:bCs w:val="false"/>
                <w:color w:val="1A1A1A"/>
                <w:sz w:val="20"/>
                <w:szCs w:val="20"/>
              </w:rPr>
              <w:t xml:space="preserve">15% – 35%</w:t>
            </w:r>
          </w:p>
        </w:tc>
        <w:tc>
          <w:tcPr>
            <w:tcW w:type="dxa" w:w="3700"/>
            <w:tcMar>
              <w:top w:type="dxa" w:w="100"/>
              <w:left w:type="dxa" w:w="120"/>
              <w:bottom w:type="dxa" w:w="100"/>
              <w:right w:type="dxa" w:w="120"/>
            </w:tcMar>
            <w:vAlign w:val="center"/>
          </w:tcPr>
          <w:p>
            <w:pPr>
              <w:jc w:val="left"/>
            </w:pPr>
            <w:r>
              <w:rPr>
                <w:b w:val="false"/>
                <w:bCs w:val="false"/>
                <w:color w:val="1A1A1A"/>
                <w:sz w:val="20"/>
                <w:szCs w:val="20"/>
              </w:rPr>
              <w:t xml:space="preserve">Within 1 month</w:t>
            </w:r>
          </w:p>
        </w:tc>
      </w:tr>
      <w:tr>
        <w:tc>
          <w:tcPr>
            <w:tcW w:type="dxa" w:w="22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Low</w:t>
            </w:r>
          </w:p>
        </w:tc>
        <w:tc>
          <w:tcPr>
            <w:tcW w:type="dxa" w:w="36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Below 15%</w:t>
            </w:r>
          </w:p>
        </w:tc>
        <w:tc>
          <w:tcPr>
            <w:tcW w:type="dxa" w:w="37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Routine schedule</w:t>
            </w:r>
          </w:p>
        </w:tc>
      </w:tr>
    </w:tbl>
    <w:p>
      <w:r>
        <w:br w:type="page"/>
      </w:r>
    </w:p>
    <w:p>
      <w:pPr>
        <w:pStyle w:val="Heading1"/>
        <w:spacing w:after="200" w:before="360"/>
      </w:pPr>
      <w:r>
        <w:t xml:space="preserve">7. Installation &amp; User Guide</w:t>
      </w:r>
    </w:p>
    <w:p>
      <w:pPr>
        <w:pStyle w:val="Heading2"/>
        <w:spacing w:after="140" w:before="280"/>
      </w:pPr>
      <w:r>
        <w:t xml:space="preserve">7.1 Prerequisites</w:t>
      </w:r>
    </w:p>
    <w:p>
      <w:pPr>
        <w:pStyle w:val="ListParagraph"/>
        <w:numPr>
          <w:ilvl w:val="0"/>
          <w:numId w:val="2"/>
        </w:numPr>
        <w:spacing w:after="90" w:line="276"/>
      </w:pPr>
      <w:r>
        <w:rPr>
          <w:sz w:val="22"/>
          <w:szCs w:val="22"/>
        </w:rPr>
        <w:t xml:space="preserve">Python 3.9 or later installed.</w:t>
      </w:r>
    </w:p>
    <w:p>
      <w:pPr>
        <w:pStyle w:val="ListParagraph"/>
        <w:numPr>
          <w:ilvl w:val="0"/>
          <w:numId w:val="2"/>
        </w:numPr>
        <w:spacing w:after="90" w:line="276"/>
      </w:pPr>
      <w:r>
        <w:rPr>
          <w:sz w:val="22"/>
          <w:szCs w:val="22"/>
        </w:rPr>
        <w:t xml:space="preserve">The project files (app.py, ml_pipeline.py, data_generator.py, requirements.txt).</w:t>
      </w:r>
    </w:p>
    <w:p>
      <w:pPr>
        <w:pStyle w:val="Heading2"/>
        <w:spacing w:after="140" w:before="280"/>
      </w:pPr>
      <w:r>
        <w:t xml:space="preserve">7.2 Installation</w:t>
      </w:r>
    </w:p>
    <w:p>
      <w:pPr>
        <w:spacing w:after="160" w:line="276"/>
      </w:pPr>
      <w:r>
        <w:rPr>
          <w:sz w:val="22"/>
          <w:szCs w:val="22"/>
        </w:rPr>
        <w:t xml:space="preserve">From a terminal, inside the project folder, run:</w:t>
      </w:r>
    </w:p>
    <w:p>
      <w:pPr>
        <w:shd w:fill="1E1E1E" w:val="clear"/>
        <w:spacing w:after="0"/>
      </w:pPr>
      <w:r>
        <w:rPr>
          <w:rFonts w:ascii="Consolas" w:cs="Consolas" w:eastAsia="Consolas" w:hAnsi="Consolas"/>
          <w:color w:val="D4D4D4"/>
          <w:sz w:val="20"/>
          <w:szCs w:val="20"/>
        </w:rPr>
        <w:t xml:space="preserve">pip install -r requirements.txt</w:t>
      </w:r>
    </w:p>
    <w:p>
      <w:pPr>
        <w:pStyle w:val="Heading2"/>
        <w:spacing w:after="140" w:before="280"/>
      </w:pPr>
      <w:r>
        <w:t xml:space="preserve">7.3 Running the Application</w:t>
      </w:r>
    </w:p>
    <w:p>
      <w:pPr>
        <w:shd w:fill="1E1E1E" w:val="clear"/>
        <w:spacing w:after="0"/>
      </w:pPr>
      <w:r>
        <w:rPr>
          <w:rFonts w:ascii="Consolas" w:cs="Consolas" w:eastAsia="Consolas" w:hAnsi="Consolas"/>
          <w:color w:val="D4D4D4"/>
          <w:sz w:val="20"/>
          <w:szCs w:val="20"/>
        </w:rPr>
        <w:t xml:space="preserve">streamlit run app.py</w:t>
      </w:r>
    </w:p>
    <w:p>
      <w:pPr>
        <w:spacing w:after="160" w:line="276"/>
      </w:pPr>
      <w:r>
        <w:rPr>
          <w:sz w:val="22"/>
          <w:szCs w:val="22"/>
        </w:rPr>
        <w:t xml:space="preserve">This opens the application in a web browser, typically at http://localhost:8501.</w:t>
      </w:r>
    </w:p>
    <w:p>
      <w:pPr>
        <w:pStyle w:val="Heading2"/>
        <w:spacing w:after="140" w:before="280"/>
      </w:pPr>
      <w:r>
        <w:t xml:space="preserve">7.4 Using the Application</w:t>
      </w:r>
    </w:p>
    <w:p>
      <w:pPr>
        <w:pStyle w:val="ListParagraph"/>
        <w:numPr>
          <w:ilvl w:val="0"/>
          <w:numId w:val="5"/>
        </w:numPr>
        <w:spacing w:after="90" w:line="276"/>
      </w:pPr>
      <w:r>
        <w:rPr>
          <w:sz w:val="22"/>
          <w:szCs w:val="22"/>
        </w:rPr>
        <w:t xml:space="preserve">In the sidebar, choose a data source: the built-in synthetic demo fleet, or upload your own CSV export.</w:t>
      </w:r>
    </w:p>
    <w:p>
      <w:pPr>
        <w:pStyle w:val="ListParagraph"/>
        <w:numPr>
          <w:ilvl w:val="0"/>
          <w:numId w:val="5"/>
        </w:numPr>
        <w:spacing w:after="90" w:line="276"/>
      </w:pPr>
      <w:r>
        <w:rPr>
          <w:sz w:val="22"/>
          <w:szCs w:val="22"/>
        </w:rPr>
        <w:t xml:space="preserve">Select a model type (Random Forest or Gradient Boosting) and click “Train / Retrain Model.”</w:t>
      </w:r>
    </w:p>
    <w:p>
      <w:pPr>
        <w:pStyle w:val="ListParagraph"/>
        <w:numPr>
          <w:ilvl w:val="0"/>
          <w:numId w:val="5"/>
        </w:numPr>
        <w:spacing w:after="90" w:line="276"/>
      </w:pPr>
      <w:r>
        <w:rPr>
          <w:sz w:val="22"/>
          <w:szCs w:val="22"/>
        </w:rPr>
        <w:t xml:space="preserve">Review the Data Overview and Model Performance tabs to understand the data and confirm the model is performing well.</w:t>
      </w:r>
    </w:p>
    <w:p>
      <w:pPr>
        <w:pStyle w:val="ListParagraph"/>
        <w:numPr>
          <w:ilvl w:val="0"/>
          <w:numId w:val="5"/>
        </w:numPr>
        <w:spacing w:after="90" w:line="276"/>
      </w:pPr>
      <w:r>
        <w:rPr>
          <w:sz w:val="22"/>
          <w:szCs w:val="22"/>
        </w:rPr>
        <w:t xml:space="preserve">Open the Failure Risk Dashboard to see every machine ranked by risk, and export the prioritized list if needed.</w:t>
      </w:r>
    </w:p>
    <w:p>
      <w:pPr>
        <w:pStyle w:val="ListParagraph"/>
        <w:numPr>
          <w:ilvl w:val="0"/>
          <w:numId w:val="5"/>
        </w:numPr>
        <w:spacing w:after="90" w:line="276"/>
      </w:pPr>
      <w:r>
        <w:rPr>
          <w:sz w:val="22"/>
          <w:szCs w:val="22"/>
        </w:rPr>
        <w:t xml:space="preserve">Use the Explainability tab to understand what is driving risk for the fleet or for a specific machine.</w:t>
      </w:r>
    </w:p>
    <w:p>
      <w:pPr>
        <w:pStyle w:val="ListParagraph"/>
        <w:numPr>
          <w:ilvl w:val="0"/>
          <w:numId w:val="5"/>
        </w:numPr>
        <w:spacing w:after="90" w:line="276"/>
      </w:pPr>
      <w:r>
        <w:rPr>
          <w:sz w:val="22"/>
          <w:szCs w:val="22"/>
        </w:rPr>
        <w:t xml:space="preserve">Use the Maintenance Plan tab as the day-to-day action list for the maintenance team.</w:t>
      </w:r>
    </w:p>
    <w:p>
      <w:pPr>
        <w:pStyle w:val="Heading2"/>
        <w:spacing w:after="140" w:before="280"/>
      </w:pPr>
      <w:r>
        <w:t xml:space="preserve">7.5 Using Company Data</w:t>
      </w:r>
    </w:p>
    <w:p>
      <w:pPr>
        <w:spacing w:after="160" w:line="276"/>
      </w:pPr>
      <w:r>
        <w:rPr>
          <w:sz w:val="22"/>
          <w:szCs w:val="22"/>
        </w:rPr>
        <w:t xml:space="preserve">To connect the system to real operating data instead of the synthetic demo fleet, prepare a CSV with one row per machine (or per machine snapshot/observation) containing the following columns:</w:t>
      </w:r>
    </w:p>
    <w:p>
      <w:pPr>
        <w:shd w:fill="1E1E1E" w:val="clear"/>
        <w:spacing w:after="0"/>
      </w:pPr>
      <w:r>
        <w:rPr>
          <w:rFonts w:ascii="Consolas" w:cs="Consolas" w:eastAsia="Consolas" w:hAnsi="Consolas"/>
          <w:color w:val="D4D4D4"/>
          <w:sz w:val="20"/>
          <w:szCs w:val="20"/>
        </w:rPr>
        <w:t xml:space="preserve">machine_type, age_years, operational_hours,</w:t>
      </w:r>
    </w:p>
    <w:p>
      <w:pPr>
        <w:shd w:fill="1E1E1E" w:val="clear"/>
        <w:spacing w:after="0"/>
      </w:pPr>
      <w:r>
        <w:rPr>
          <w:rFonts w:ascii="Consolas" w:cs="Consolas" w:eastAsia="Consolas" w:hAnsi="Consolas"/>
          <w:color w:val="D4D4D4"/>
          <w:sz w:val="20"/>
          <w:szCs w:val="20"/>
        </w:rPr>
        <w:t xml:space="preserve">temperature_avg, temperature_std,</w:t>
      </w:r>
    </w:p>
    <w:p>
      <w:pPr>
        <w:shd w:fill="1E1E1E" w:val="clear"/>
        <w:spacing w:after="0"/>
      </w:pPr>
      <w:r>
        <w:rPr>
          <w:rFonts w:ascii="Consolas" w:cs="Consolas" w:eastAsia="Consolas" w:hAnsi="Consolas"/>
          <w:color w:val="D4D4D4"/>
          <w:sz w:val="20"/>
          <w:szCs w:val="20"/>
        </w:rPr>
        <w:t xml:space="preserve">vibration_avg, vibration_std,</w:t>
      </w:r>
    </w:p>
    <w:p>
      <w:pPr>
        <w:shd w:fill="1E1E1E" w:val="clear"/>
        <w:spacing w:after="0"/>
      </w:pPr>
      <w:r>
        <w:rPr>
          <w:rFonts w:ascii="Consolas" w:cs="Consolas" w:eastAsia="Consolas" w:hAnsi="Consolas"/>
          <w:color w:val="D4D4D4"/>
          <w:sz w:val="20"/>
          <w:szCs w:val="20"/>
        </w:rPr>
        <w:t xml:space="preserve">pressure_avg, rotation_speed_avg, humidity_avg,</w:t>
      </w:r>
    </w:p>
    <w:p>
      <w:pPr>
        <w:shd w:fill="1E1E1E" w:val="clear"/>
        <w:spacing w:after="0"/>
      </w:pPr>
      <w:r>
        <w:rPr>
          <w:rFonts w:ascii="Consolas" w:cs="Consolas" w:eastAsia="Consolas" w:hAnsi="Consolas"/>
          <w:color w:val="D4D4D4"/>
          <w:sz w:val="20"/>
          <w:szCs w:val="20"/>
        </w:rPr>
        <w:t xml:space="preserve">load_pct, oil_quality_index,</w:t>
      </w:r>
    </w:p>
    <w:p>
      <w:pPr>
        <w:shd w:fill="1E1E1E" w:val="clear"/>
        <w:spacing w:after="0"/>
      </w:pPr>
      <w:r>
        <w:rPr>
          <w:rFonts w:ascii="Consolas" w:cs="Consolas" w:eastAsia="Consolas" w:hAnsi="Consolas"/>
          <w:color w:val="D4D4D4"/>
          <w:sz w:val="20"/>
          <w:szCs w:val="20"/>
        </w:rPr>
        <w:t xml:space="preserve">days_since_last_maintenance, num_previous_failures</w:t>
      </w:r>
    </w:p>
    <w:p>
      <w:pPr>
        <w:spacing w:after="160" w:line="276"/>
      </w:pPr>
      <w:r>
        <w:rPr>
          <w:sz w:val="22"/>
          <w:szCs w:val="22"/>
        </w:rPr>
        <w:t xml:space="preserve">...plus a binary column indicating whether the machine failed within the prediction window of interest. Select “Upload my own CSV” in the sidebar and select this file.</w:t>
      </w:r>
    </w:p>
    <w:p>
      <w:r>
        <w:br w:type="page"/>
      </w:r>
    </w:p>
    <w:p>
      <w:pPr>
        <w:pStyle w:val="Heading1"/>
        <w:spacing w:after="200" w:before="360"/>
      </w:pPr>
      <w:r>
        <w:t xml:space="preserve">8. Extending the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100"/>
              <w:left w:type="dxa" w:w="120"/>
              <w:bottom w:type="dxa" w:w="100"/>
              <w:right w:type="dxa" w:w="120"/>
            </w:tcMar>
            <w:vAlign w:val="center"/>
          </w:tcPr>
          <w:p>
            <w:pPr>
              <w:jc w:val="left"/>
            </w:pPr>
            <w:r>
              <w:rPr>
                <w:b/>
                <w:bCs/>
                <w:color w:val="FFFFFF"/>
                <w:sz w:val="20"/>
                <w:szCs w:val="20"/>
              </w:rPr>
              <w:t xml:space="preserve">Goal</w:t>
            </w:r>
          </w:p>
        </w:tc>
        <w:tc>
          <w:tcPr>
            <w:tcW w:type="dxa" w:w="6500"/>
            <w:shd w:fill="1F3864" w:val="clear"/>
            <w:tcMar>
              <w:top w:type="dxa" w:w="100"/>
              <w:left w:type="dxa" w:w="120"/>
              <w:bottom w:type="dxa" w:w="100"/>
              <w:right w:type="dxa" w:w="120"/>
            </w:tcMar>
            <w:vAlign w:val="center"/>
          </w:tcPr>
          <w:p>
            <w:pPr>
              <w:jc w:val="left"/>
            </w:pPr>
            <w:r>
              <w:rPr>
                <w:b/>
                <w:bCs/>
                <w:color w:val="FFFFFF"/>
                <w:sz w:val="20"/>
                <w:szCs w:val="20"/>
              </w:rPr>
              <w:t xml:space="preserve">How</w:t>
            </w:r>
          </w:p>
        </w:tc>
      </w:tr>
      <w:tr>
        <w:tc>
          <w:tcPr>
            <w:tcW w:type="dxa" w:w="3000"/>
            <w:tcMar>
              <w:top w:type="dxa" w:w="100"/>
              <w:left w:type="dxa" w:w="120"/>
              <w:bottom w:type="dxa" w:w="100"/>
              <w:right w:type="dxa" w:w="120"/>
            </w:tcMar>
            <w:vAlign w:val="center"/>
          </w:tcPr>
          <w:p>
            <w:pPr>
              <w:jc w:val="left"/>
            </w:pPr>
            <w:r>
              <w:rPr>
                <w:b w:val="false"/>
                <w:bCs w:val="false"/>
                <w:color w:val="1A1A1A"/>
                <w:sz w:val="20"/>
                <w:szCs w:val="20"/>
              </w:rPr>
              <w:t xml:space="preserve">Use a different model (e.g. XGBoost, LightGBM)</w:t>
            </w:r>
          </w:p>
        </w:tc>
        <w:tc>
          <w:tcPr>
            <w:tcW w:type="dxa" w:w="6500"/>
            <w:tcMar>
              <w:top w:type="dxa" w:w="100"/>
              <w:left w:type="dxa" w:w="120"/>
              <w:bottom w:type="dxa" w:w="100"/>
              <w:right w:type="dxa" w:w="120"/>
            </w:tcMar>
            <w:vAlign w:val="center"/>
          </w:tcPr>
          <w:p>
            <w:pPr>
              <w:jc w:val="left"/>
            </w:pPr>
            <w:r>
              <w:rPr>
                <w:b w:val="false"/>
                <w:bCs w:val="false"/>
                <w:color w:val="1A1A1A"/>
                <w:sz w:val="20"/>
                <w:szCs w:val="20"/>
              </w:rPr>
              <w:t xml:space="preserve">Add a branch in ml_pipeline.py's train_model() function. Any scikit-learn-compatible tree ensemble works as a drop-in replacement, and SHAP's TreeExplainer supports all of them.</w:t>
            </w:r>
          </w:p>
        </w:tc>
      </w:tr>
      <w:tr>
        <w:tc>
          <w:tcPr>
            <w:tcW w:type="dxa" w:w="30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Adapt to a different sensor schema</w:t>
            </w:r>
          </w:p>
        </w:tc>
        <w:tc>
          <w:tcPr>
            <w:tcW w:type="dxa" w:w="65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Update NUMERIC_FEATURES / CATEGORICAL_FEATURES in ml_pipeline.py, and add matching entries to FEATURE_GUIDANCE so new sensors produce readable recommendations.</w:t>
            </w:r>
          </w:p>
        </w:tc>
      </w:tr>
      <w:tr>
        <w:tc>
          <w:tcPr>
            <w:tcW w:type="dxa" w:w="3000"/>
            <w:tcMar>
              <w:top w:type="dxa" w:w="100"/>
              <w:left w:type="dxa" w:w="120"/>
              <w:bottom w:type="dxa" w:w="100"/>
              <w:right w:type="dxa" w:w="120"/>
            </w:tcMar>
            <w:vAlign w:val="center"/>
          </w:tcPr>
          <w:p>
            <w:pPr>
              <w:jc w:val="left"/>
            </w:pPr>
            <w:r>
              <w:rPr>
                <w:b w:val="false"/>
                <w:bCs w:val="false"/>
                <w:color w:val="1A1A1A"/>
                <w:sz w:val="20"/>
                <w:szCs w:val="20"/>
              </w:rPr>
              <w:t xml:space="preserve">Change the prediction horizon (e.g. 7 or 30 days instead of 14)</w:t>
            </w:r>
          </w:p>
        </w:tc>
        <w:tc>
          <w:tcPr>
            <w:tcW w:type="dxa" w:w="6500"/>
            <w:tcMar>
              <w:top w:type="dxa" w:w="100"/>
              <w:left w:type="dxa" w:w="120"/>
              <w:bottom w:type="dxa" w:w="100"/>
              <w:right w:type="dxa" w:w="120"/>
            </w:tcMar>
            <w:vAlign w:val="center"/>
          </w:tcPr>
          <w:p>
            <w:pPr>
              <w:jc w:val="left"/>
            </w:pPr>
            <w:r>
              <w:rPr>
                <w:b w:val="false"/>
                <w:bCs w:val="false"/>
                <w:color w:val="1A1A1A"/>
                <w:sz w:val="20"/>
                <w:szCs w:val="20"/>
              </w:rPr>
              <w:t xml:space="preserve">Provide a target column reflecting the desired horizon; the sidebar lets a user select any binary column as the target if the default is not present.</w:t>
            </w:r>
          </w:p>
        </w:tc>
      </w:tr>
      <w:tr>
        <w:tc>
          <w:tcPr>
            <w:tcW w:type="dxa" w:w="30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Integrate with a CMMS / work-order system</w:t>
            </w:r>
          </w:p>
        </w:tc>
        <w:tc>
          <w:tcPr>
            <w:tcW w:type="dxa" w:w="65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Use the CSV export from the Failure Risk Dashboard as an input feed, or extend app.py with an API call to push high-risk machines directly into the work-order system.</w:t>
            </w:r>
          </w:p>
        </w:tc>
      </w:tr>
    </w:tbl>
    <w:p>
      <w:r>
        <w:br w:type="page"/>
      </w:r>
    </w:p>
    <w:p>
      <w:pPr>
        <w:pStyle w:val="Heading1"/>
        <w:spacing w:after="200" w:before="360"/>
      </w:pPr>
      <w:r>
        <w:t xml:space="preserve">9. Limitations &amp; Considerations</w:t>
      </w:r>
    </w:p>
    <w:p>
      <w:pPr>
        <w:pStyle w:val="ListParagraph"/>
        <w:numPr>
          <w:ilvl w:val="0"/>
          <w:numId w:val="2"/>
        </w:numPr>
        <w:spacing w:after="90" w:line="276"/>
      </w:pPr>
      <w:r>
        <w:rPr>
          <w:sz w:val="22"/>
          <w:szCs w:val="22"/>
        </w:rPr>
        <w:t xml:space="preserve">The bundled demo fleet is synthetic; production use requires real historical sensor and maintenance data with a sufficient number of past failure examples to train a reliable model.</w:t>
      </w:r>
    </w:p>
    <w:p>
      <w:pPr>
        <w:pStyle w:val="ListParagraph"/>
        <w:numPr>
          <w:ilvl w:val="0"/>
          <w:numId w:val="2"/>
        </w:numPr>
        <w:spacing w:after="90" w:line="276"/>
      </w:pPr>
      <w:r>
        <w:rPr>
          <w:sz w:val="22"/>
          <w:szCs w:val="22"/>
        </w:rPr>
        <w:t xml:space="preserve">Model quality depends on data quality and volume — model performance metrics in the Model Performance tab should be reviewed before relying on the system operationally.</w:t>
      </w:r>
    </w:p>
    <w:p>
      <w:pPr>
        <w:pStyle w:val="ListParagraph"/>
        <w:numPr>
          <w:ilvl w:val="0"/>
          <w:numId w:val="2"/>
        </w:numPr>
        <w:spacing w:after="90" w:line="276"/>
      </w:pPr>
      <w:r>
        <w:rPr>
          <w:sz w:val="22"/>
          <w:szCs w:val="22"/>
        </w:rPr>
        <w:t xml:space="preserve">Risk scores are probabilistic estimates, not guarantees; they are intended to prioritize maintenance attention, not to replace inspection and engineering judgment.</w:t>
      </w:r>
    </w:p>
    <w:p>
      <w:pPr>
        <w:pStyle w:val="ListParagraph"/>
        <w:numPr>
          <w:ilvl w:val="0"/>
          <w:numId w:val="2"/>
        </w:numPr>
        <w:spacing w:after="90" w:line="276"/>
      </w:pPr>
      <w:r>
        <w:rPr>
          <w:sz w:val="22"/>
          <w:szCs w:val="22"/>
        </w:rPr>
        <w:t xml:space="preserve">The model should be periodically retrained as new failure data becomes available, to keep pace with changing equipment conditions.</w:t>
      </w:r>
    </w:p>
    <w:p>
      <w:r>
        <w:br w:type="page"/>
      </w:r>
    </w:p>
    <w:p>
      <w:pPr>
        <w:pStyle w:val="Heading1"/>
        <w:spacing w:after="200" w:before="360"/>
      </w:pPr>
      <w:r>
        <w:t xml:space="preserve">10. Appendix</w:t>
      </w:r>
    </w:p>
    <w:p>
      <w:pPr>
        <w:pStyle w:val="Heading2"/>
        <w:spacing w:after="140" w:before="280"/>
      </w:pPr>
      <w:r>
        <w:t xml:space="preserve">10.1 Project File Structure</w:t>
      </w:r>
    </w:p>
    <w:p>
      <w:pPr>
        <w:shd w:fill="1E1E1E" w:val="clear"/>
        <w:spacing w:after="0"/>
      </w:pPr>
      <w:r>
        <w:rPr>
          <w:rFonts w:ascii="Consolas" w:cs="Consolas" w:eastAsia="Consolas" w:hAnsi="Consolas"/>
          <w:color w:val="D4D4D4"/>
          <w:sz w:val="20"/>
          <w:szCs w:val="20"/>
        </w:rPr>
        <w:t xml:space="preserve">predictive_maintenance/</w:t>
      </w:r>
    </w:p>
    <w:p>
      <w:pPr>
        <w:shd w:fill="1E1E1E" w:val="clear"/>
        <w:spacing w:after="0"/>
      </w:pPr>
      <w:r>
        <w:rPr>
          <w:rFonts w:ascii="Consolas" w:cs="Consolas" w:eastAsia="Consolas" w:hAnsi="Consolas"/>
          <w:color w:val="D4D4D4"/>
          <w:sz w:val="20"/>
          <w:szCs w:val="20"/>
        </w:rPr>
        <w:t xml:space="preserve">  app.py                   Streamlit dashboard (UI layer)</w:t>
      </w:r>
    </w:p>
    <w:p>
      <w:pPr>
        <w:shd w:fill="1E1E1E" w:val="clear"/>
        <w:spacing w:after="0"/>
      </w:pPr>
      <w:r>
        <w:rPr>
          <w:rFonts w:ascii="Consolas" w:cs="Consolas" w:eastAsia="Consolas" w:hAnsi="Consolas"/>
          <w:color w:val="D4D4D4"/>
          <w:sz w:val="20"/>
          <w:szCs w:val="20"/>
        </w:rPr>
        <w:t xml:space="preserve">  ml_pipeline.py           Training, evaluation, explainability, scoring</w:t>
      </w:r>
    </w:p>
    <w:p>
      <w:pPr>
        <w:shd w:fill="1E1E1E" w:val="clear"/>
        <w:spacing w:after="0"/>
      </w:pPr>
      <w:r>
        <w:rPr>
          <w:rFonts w:ascii="Consolas" w:cs="Consolas" w:eastAsia="Consolas" w:hAnsi="Consolas"/>
          <w:color w:val="D4D4D4"/>
          <w:sz w:val="20"/>
          <w:szCs w:val="20"/>
        </w:rPr>
        <w:t xml:space="preserve">  data_generator.py        Synthetic data generator</w:t>
      </w:r>
    </w:p>
    <w:p>
      <w:pPr>
        <w:shd w:fill="1E1E1E" w:val="clear"/>
        <w:spacing w:after="0"/>
      </w:pPr>
      <w:r>
        <w:rPr>
          <w:rFonts w:ascii="Consolas" w:cs="Consolas" w:eastAsia="Consolas" w:hAnsi="Consolas"/>
          <w:color w:val="D4D4D4"/>
          <w:sz w:val="20"/>
          <w:szCs w:val="20"/>
        </w:rPr>
        <w:t xml:space="preserve">  requirements.txt         Python dependencies</w:t>
      </w:r>
    </w:p>
    <w:p>
      <w:pPr>
        <w:shd w:fill="1E1E1E" w:val="clear"/>
        <w:spacing w:after="0"/>
      </w:pPr>
      <w:r>
        <w:rPr>
          <w:rFonts w:ascii="Consolas" w:cs="Consolas" w:eastAsia="Consolas" w:hAnsi="Consolas"/>
          <w:color w:val="D4D4D4"/>
          <w:sz w:val="20"/>
          <w:szCs w:val="20"/>
        </w:rPr>
        <w:t xml:space="preserve">  README.md                Setup instructions</w:t>
      </w:r>
    </w:p>
    <w:p>
      <w:pPr>
        <w:shd w:fill="1E1E1E" w:val="clear"/>
        <w:spacing w:after="0"/>
      </w:pPr>
      <w:r>
        <w:rPr>
          <w:rFonts w:ascii="Consolas" w:cs="Consolas" w:eastAsia="Consolas" w:hAnsi="Consolas"/>
          <w:color w:val="D4D4D4"/>
          <w:sz w:val="20"/>
          <w:szCs w:val="20"/>
        </w:rPr>
        <w:t xml:space="preserve">  CODE_DOCUMENTATION.md    Developer-level code documentation</w:t>
      </w:r>
    </w:p>
    <w:p>
      <w:pPr>
        <w:shd w:fill="1E1E1E" w:val="clear"/>
        <w:spacing w:after="0"/>
      </w:pPr>
      <w:r>
        <w:rPr>
          <w:rFonts w:ascii="Consolas" w:cs="Consolas" w:eastAsia="Consolas" w:hAnsi="Consolas"/>
          <w:color w:val="D4D4D4"/>
          <w:sz w:val="20"/>
          <w:szCs w:val="20"/>
        </w:rPr>
        <w:t xml:space="preserve">  sample_sensor_data.csv   Example dataset</w:t>
      </w:r>
    </w:p>
    <w:p>
      <w:pPr>
        <w:pStyle w:val="Heading2"/>
        <w:spacing w:after="140" w:before="280"/>
      </w:pPr>
      <w:r>
        <w:t xml:space="preserve">10.2 Required Python Packages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100"/>
              <w:left w:type="dxa" w:w="120"/>
              <w:bottom w:type="dxa" w:w="100"/>
              <w:right w:type="dxa" w:w="120"/>
            </w:tcMar>
            <w:vAlign w:val="center"/>
          </w:tcPr>
          <w:p>
            <w:pPr>
              <w:jc w:val="left"/>
            </w:pPr>
            <w:r>
              <w:rPr>
                <w:b/>
                <w:bCs/>
                <w:color w:val="FFFFFF"/>
                <w:sz w:val="20"/>
                <w:szCs w:val="20"/>
              </w:rPr>
              <w:t xml:space="preserve">Package</w:t>
            </w:r>
          </w:p>
        </w:tc>
        <w:tc>
          <w:tcPr>
            <w:tcW w:type="dxa" w:w="6500"/>
            <w:shd w:fill="1F3864" w:val="clear"/>
            <w:tcMar>
              <w:top w:type="dxa" w:w="100"/>
              <w:left w:type="dxa" w:w="120"/>
              <w:bottom w:type="dxa" w:w="100"/>
              <w:right w:type="dxa" w:w="120"/>
            </w:tcMar>
            <w:vAlign w:val="center"/>
          </w:tcPr>
          <w:p>
            <w:pPr>
              <w:jc w:val="left"/>
            </w:pPr>
            <w:r>
              <w:rPr>
                <w:b/>
                <w:bCs/>
                <w:color w:val="FFFFFF"/>
                <w:sz w:val="20"/>
                <w:szCs w:val="20"/>
              </w:rPr>
              <w:t xml:space="preserve">Purpose</w:t>
            </w:r>
          </w:p>
        </w:tc>
      </w:tr>
      <w:tr>
        <w:tc>
          <w:tcPr>
            <w:tcW w:type="dxa" w:w="3000"/>
            <w:tcMar>
              <w:top w:type="dxa" w:w="100"/>
              <w:left w:type="dxa" w:w="120"/>
              <w:bottom w:type="dxa" w:w="100"/>
              <w:right w:type="dxa" w:w="120"/>
            </w:tcMar>
            <w:vAlign w:val="center"/>
          </w:tcPr>
          <w:p>
            <w:pPr>
              <w:jc w:val="left"/>
            </w:pPr>
            <w:r>
              <w:rPr>
                <w:b w:val="false"/>
                <w:bCs w:val="false"/>
                <w:color w:val="1A1A1A"/>
                <w:sz w:val="20"/>
                <w:szCs w:val="20"/>
              </w:rPr>
              <w:t xml:space="preserve">streamlit</w:t>
            </w:r>
          </w:p>
        </w:tc>
        <w:tc>
          <w:tcPr>
            <w:tcW w:type="dxa" w:w="6500"/>
            <w:tcMar>
              <w:top w:type="dxa" w:w="100"/>
              <w:left w:type="dxa" w:w="120"/>
              <w:bottom w:type="dxa" w:w="100"/>
              <w:right w:type="dxa" w:w="120"/>
            </w:tcMar>
            <w:vAlign w:val="center"/>
          </w:tcPr>
          <w:p>
            <w:pPr>
              <w:jc w:val="left"/>
            </w:pPr>
            <w:r>
              <w:rPr>
                <w:b w:val="false"/>
                <w:bCs w:val="false"/>
                <w:color w:val="1A1A1A"/>
                <w:sz w:val="20"/>
                <w:szCs w:val="20"/>
              </w:rPr>
              <w:t xml:space="preserve">Web application framework</w:t>
            </w:r>
          </w:p>
        </w:tc>
      </w:tr>
      <w:tr>
        <w:tc>
          <w:tcPr>
            <w:tcW w:type="dxa" w:w="30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scikit-learn</w:t>
            </w:r>
          </w:p>
        </w:tc>
        <w:tc>
          <w:tcPr>
            <w:tcW w:type="dxa" w:w="65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Machine learning models and metrics</w:t>
            </w:r>
          </w:p>
        </w:tc>
      </w:tr>
      <w:tr>
        <w:tc>
          <w:tcPr>
            <w:tcW w:type="dxa" w:w="3000"/>
            <w:tcMar>
              <w:top w:type="dxa" w:w="100"/>
              <w:left w:type="dxa" w:w="120"/>
              <w:bottom w:type="dxa" w:w="100"/>
              <w:right w:type="dxa" w:w="120"/>
            </w:tcMar>
            <w:vAlign w:val="center"/>
          </w:tcPr>
          <w:p>
            <w:pPr>
              <w:jc w:val="left"/>
            </w:pPr>
            <w:r>
              <w:rPr>
                <w:b w:val="false"/>
                <w:bCs w:val="false"/>
                <w:color w:val="1A1A1A"/>
                <w:sz w:val="20"/>
                <w:szCs w:val="20"/>
              </w:rPr>
              <w:t xml:space="preserve">pandas / numpy</w:t>
            </w:r>
          </w:p>
        </w:tc>
        <w:tc>
          <w:tcPr>
            <w:tcW w:type="dxa" w:w="6500"/>
            <w:tcMar>
              <w:top w:type="dxa" w:w="100"/>
              <w:left w:type="dxa" w:w="120"/>
              <w:bottom w:type="dxa" w:w="100"/>
              <w:right w:type="dxa" w:w="120"/>
            </w:tcMar>
            <w:vAlign w:val="center"/>
          </w:tcPr>
          <w:p>
            <w:pPr>
              <w:jc w:val="left"/>
            </w:pPr>
            <w:r>
              <w:rPr>
                <w:b w:val="false"/>
                <w:bCs w:val="false"/>
                <w:color w:val="1A1A1A"/>
                <w:sz w:val="20"/>
                <w:szCs w:val="20"/>
              </w:rPr>
              <w:t xml:space="preserve">Data handling</w:t>
            </w:r>
          </w:p>
        </w:tc>
      </w:tr>
      <w:tr>
        <w:tc>
          <w:tcPr>
            <w:tcW w:type="dxa" w:w="30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plotly</w:t>
            </w:r>
          </w:p>
        </w:tc>
        <w:tc>
          <w:tcPr>
            <w:tcW w:type="dxa" w:w="6500"/>
            <w:shd w:fill="F2F2F2" w:val="clear"/>
            <w:tcMar>
              <w:top w:type="dxa" w:w="100"/>
              <w:left w:type="dxa" w:w="120"/>
              <w:bottom w:type="dxa" w:w="100"/>
              <w:right w:type="dxa" w:w="120"/>
            </w:tcMar>
            <w:vAlign w:val="center"/>
          </w:tcPr>
          <w:p>
            <w:pPr>
              <w:jc w:val="left"/>
            </w:pPr>
            <w:r>
              <w:rPr>
                <w:b w:val="false"/>
                <w:bCs w:val="false"/>
                <w:color w:val="1A1A1A"/>
                <w:sz w:val="20"/>
                <w:szCs w:val="20"/>
              </w:rPr>
              <w:t xml:space="preserve">Interactive charts</w:t>
            </w:r>
          </w:p>
        </w:tc>
      </w:tr>
      <w:tr>
        <w:tc>
          <w:tcPr>
            <w:tcW w:type="dxa" w:w="3000"/>
            <w:tcMar>
              <w:top w:type="dxa" w:w="100"/>
              <w:left w:type="dxa" w:w="120"/>
              <w:bottom w:type="dxa" w:w="100"/>
              <w:right w:type="dxa" w:w="120"/>
            </w:tcMar>
            <w:vAlign w:val="center"/>
          </w:tcPr>
          <w:p>
            <w:pPr>
              <w:jc w:val="left"/>
            </w:pPr>
            <w:r>
              <w:rPr>
                <w:b w:val="false"/>
                <w:bCs w:val="false"/>
                <w:color w:val="1A1A1A"/>
                <w:sz w:val="20"/>
                <w:szCs w:val="20"/>
              </w:rPr>
              <w:t xml:space="preserve">shap</w:t>
            </w:r>
          </w:p>
        </w:tc>
        <w:tc>
          <w:tcPr>
            <w:tcW w:type="dxa" w:w="6500"/>
            <w:tcMar>
              <w:top w:type="dxa" w:w="100"/>
              <w:left w:type="dxa" w:w="120"/>
              <w:bottom w:type="dxa" w:w="100"/>
              <w:right w:type="dxa" w:w="120"/>
            </w:tcMar>
            <w:vAlign w:val="center"/>
          </w:tcPr>
          <w:p>
            <w:pPr>
              <w:jc w:val="left"/>
            </w:pPr>
            <w:r>
              <w:rPr>
                <w:b w:val="false"/>
                <w:bCs w:val="false"/>
                <w:color w:val="1A1A1A"/>
                <w:sz w:val="20"/>
                <w:szCs w:val="20"/>
              </w:rPr>
              <w:t xml:space="preserve">Model explainability</w:t>
            </w:r>
          </w:p>
        </w:tc>
      </w:tr>
    </w:tbl>
    <w:p>
      <w:pPr>
        <w:pStyle w:val="Heading2"/>
        <w:spacing w:after="140" w:before="280"/>
      </w:pPr>
      <w:r>
        <w:t xml:space="preserve">10.3 Document Revision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0"/>
      </w:tblGrid>
      <w:tr>
        <w:trPr>
          <w:tblHeader/>
        </w:trPr>
        <w:tc>
          <w:tcPr>
            <w:tcW w:type="dxa" w:w="2000"/>
            <w:shd w:fill="1F3864" w:val="clear"/>
            <w:tcMar>
              <w:top w:type="dxa" w:w="100"/>
              <w:left w:type="dxa" w:w="120"/>
              <w:bottom w:type="dxa" w:w="100"/>
              <w:right w:type="dxa" w:w="120"/>
            </w:tcMar>
            <w:vAlign w:val="center"/>
          </w:tcPr>
          <w:p>
            <w:pPr>
              <w:jc w:val="left"/>
            </w:pPr>
            <w:r>
              <w:rPr>
                <w:b/>
                <w:bCs/>
                <w:color w:val="FFFFFF"/>
                <w:sz w:val="20"/>
                <w:szCs w:val="20"/>
              </w:rPr>
              <w:t xml:space="preserve">Version</w:t>
            </w:r>
          </w:p>
        </w:tc>
        <w:tc>
          <w:tcPr>
            <w:tcW w:type="dxa" w:w="3000"/>
            <w:shd w:fill="1F3864" w:val="clear"/>
            <w:tcMar>
              <w:top w:type="dxa" w:w="100"/>
              <w:left w:type="dxa" w:w="120"/>
              <w:bottom w:type="dxa" w:w="100"/>
              <w:right w:type="dxa" w:w="120"/>
            </w:tcMar>
            <w:vAlign w:val="center"/>
          </w:tcPr>
          <w:p>
            <w:pPr>
              <w:jc w:val="left"/>
            </w:pPr>
            <w:r>
              <w:rPr>
                <w:b/>
                <w:bCs/>
                <w:color w:val="FFFFFF"/>
                <w:sz w:val="20"/>
                <w:szCs w:val="20"/>
              </w:rPr>
              <w:t xml:space="preserve">Date</w:t>
            </w:r>
          </w:p>
        </w:tc>
        <w:tc>
          <w:tcPr>
            <w:tcW w:type="dxa" w:w="4500"/>
            <w:shd w:fill="1F3864" w:val="clear"/>
            <w:tcMar>
              <w:top w:type="dxa" w:w="100"/>
              <w:left w:type="dxa" w:w="120"/>
              <w:bottom w:type="dxa" w:w="100"/>
              <w:right w:type="dxa" w:w="120"/>
            </w:tcMar>
            <w:vAlign w:val="center"/>
          </w:tcPr>
          <w:p>
            <w:pPr>
              <w:jc w:val="left"/>
            </w:pPr>
            <w:r>
              <w:rPr>
                <w:b/>
                <w:bCs/>
                <w:color w:val="FFFFFF"/>
                <w:sz w:val="20"/>
                <w:szCs w:val="20"/>
              </w:rPr>
              <w:t xml:space="preserve">Description</w:t>
            </w:r>
          </w:p>
        </w:tc>
      </w:tr>
      <w:tr>
        <w:tc>
          <w:tcPr>
            <w:tcW w:type="dxa" w:w="2000"/>
            <w:tcMar>
              <w:top w:type="dxa" w:w="100"/>
              <w:left w:type="dxa" w:w="120"/>
              <w:bottom w:type="dxa" w:w="100"/>
              <w:right w:type="dxa" w:w="120"/>
            </w:tcMar>
            <w:vAlign w:val="center"/>
          </w:tcPr>
          <w:p>
            <w:pPr>
              <w:jc w:val="left"/>
            </w:pPr>
            <w:r>
              <w:rPr>
                <w:b w:val="false"/>
                <w:bCs w:val="false"/>
                <w:color w:val="1A1A1A"/>
                <w:sz w:val="20"/>
                <w:szCs w:val="20"/>
              </w:rPr>
              <w:t xml:space="preserve">1.0</w:t>
            </w:r>
          </w:p>
        </w:tc>
        <w:tc>
          <w:tcPr>
            <w:tcW w:type="dxa" w:w="3000"/>
            <w:tcMar>
              <w:top w:type="dxa" w:w="100"/>
              <w:left w:type="dxa" w:w="120"/>
              <w:bottom w:type="dxa" w:w="100"/>
              <w:right w:type="dxa" w:w="120"/>
            </w:tcMar>
            <w:vAlign w:val="center"/>
          </w:tcPr>
          <w:p>
            <w:pPr>
              <w:jc w:val="left"/>
            </w:pPr>
            <w:r>
              <w:rPr>
                <w:b w:val="false"/>
                <w:bCs w:val="false"/>
                <w:color w:val="1A1A1A"/>
                <w:sz w:val="20"/>
                <w:szCs w:val="20"/>
              </w:rPr>
              <w:t xml:space="preserve">September 15, 2026</w:t>
            </w:r>
          </w:p>
        </w:tc>
        <w:tc>
          <w:tcPr>
            <w:tcW w:type="dxa" w:w="4500"/>
            <w:tcMar>
              <w:top w:type="dxa" w:w="100"/>
              <w:left w:type="dxa" w:w="120"/>
              <w:bottom w:type="dxa" w:w="100"/>
              <w:right w:type="dxa" w:w="120"/>
            </w:tcMar>
            <w:vAlign w:val="center"/>
          </w:tcPr>
          <w:p>
            <w:pPr>
              <w:jc w:val="left"/>
            </w:pPr>
            <w:r>
              <w:rPr>
                <w:b w:val="false"/>
                <w:bCs w:val="false"/>
                <w:color w:val="1A1A1A"/>
                <w:sz w:val="20"/>
                <w:szCs w:val="20"/>
              </w:rPr>
              <w:t xml:space="preserve">Initial documentation release.</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B9B9B"/>
        <w:sz w:val="18"/>
        <w:szCs w:val="18"/>
      </w:rPr>
      <w:fldChar w:fldCharType="begin"/>
      <w:instrText xml:space="preserve">PAGE</w:instrText>
      <w:fldChar w:fldCharType="separate"/>
      <w:fldChar w:fldCharType="end"/>
    </w:r>
    <w:r>
      <w:rPr>
        <w:color w:val="9B9B9B"/>
        <w:sz w:val="18"/>
        <w:szCs w:val="18"/>
      </w:rPr>
      <w:t xml:space="preserve"> of </w:t>
    </w:r>
    <w:r>
      <w:rPr>
        <w:color w:val="9B9B9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B9B9B"/>
        <w:sz w:val="16"/>
        <w:szCs w:val="16"/>
      </w:rPr>
      <w:t xml:space="preserve">Predictive Maintenance AI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AB" w:sz="8" w:space="4"/>
      </w:pBdr>
      <w:spacing w:after="20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E86AB"/>
      <w:sz w:val="26"/>
      <w:szCs w:val="26"/>
    </w:rPr>
  </w:style>
  <w:style w:type="paragraph" w:styleId="Heading3">
    <w:name w:val="Heading 3"/>
    <w:basedOn w:val="Normal"/>
    <w:next w:val="Normal"/>
    <w:qFormat/>
    <w:pPr>
      <w:spacing w:after="100" w:before="200"/>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2026-09-15T06:39:30.151Z</dcterms:created>
  <dcterms:modified xsi:type="dcterms:W3CDTF">2026-09-15T06:39:30.151Z</dcterms:modified>
</cp:coreProperties>
</file>

<file path=docProps/custom.xml><?xml version="1.0" encoding="utf-8"?>
<Properties xmlns="http://schemas.openxmlformats.org/officeDocument/2006/custom-properties" xmlns:vt="http://schemas.openxmlformats.org/officeDocument/2006/docPropsVTypes"/>
</file>