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4"/>
        </w:rPr>
        <w:t>NAFISA ASLAM</w:t>
      </w:r>
    </w:p>
    <w:p>
      <w:pPr>
        <w:spacing w:before="0" w:after="160"/>
        <w:jc w:val="center"/>
      </w:pPr>
      <w:r>
        <w:rPr>
          <w:color w:val="333333"/>
          <w:sz w:val="20"/>
        </w:rPr>
        <w:t>aslamnafisa93@gmail.com  |  +91 6291970188  |  Kolkata, India</w:t>
      </w:r>
    </w:p>
    <w:p>
      <w:pPr>
        <w:spacing w:before="200" w:after="60"/>
        <w:pBdr>
          <w:bottom w:val="single" w:sz="6" w:space="2" w:color="1F4E79"/>
        </w:pBdr>
      </w:pPr>
      <w:r>
        <w:rPr>
          <w:b/>
          <w:color w:val="1F4E79"/>
          <w:sz w:val="23"/>
        </w:rPr>
        <w:t>SUMMARY</w:t>
      </w:r>
    </w:p>
    <w:p>
      <w:pPr>
        <w:spacing w:before="0" w:after="80" w:line="264" w:lineRule="auto"/>
      </w:pPr>
      <w:r>
        <w:rPr>
          <w:sz w:val="21"/>
        </w:rPr>
        <w:t>Motivated and analytical Political Science postgraduate with a strong interest in political and social processes, public affairs, and the economy. Heading to the Asian College of Journalism, Chennai to specialize in Business &amp; Finance Journalism. Possesses strong research, critical thinking, and communication skills, with the ability to analyze complex information and develop clear, well-structured stories. Adaptable, detail-oriented, and committed to continuous learning, with the goal of reporting on business, finance, and policy in a way that creates clarity and positive impact.</w:t>
      </w:r>
    </w:p>
    <w:p>
      <w:pPr>
        <w:spacing w:before="200" w:after="60"/>
        <w:pBdr>
          <w:bottom w:val="single" w:sz="6" w:space="2" w:color="1F4E79"/>
        </w:pBdr>
      </w:pPr>
      <w:r>
        <w:rPr>
          <w:b/>
          <w:color w:val="1F4E79"/>
          <w:sz w:val="23"/>
        </w:rPr>
        <w:t>EDUCATION</w:t>
      </w:r>
    </w:p>
    <w:p>
      <w:pPr>
        <w:tabs>
          <w:tab w:pos="9720" w:val="right"/>
        </w:tabs>
        <w:spacing w:before="80" w:after="0"/>
      </w:pPr>
      <w:r>
        <w:rPr>
          <w:b/>
          <w:sz w:val="21"/>
        </w:rPr>
        <w:t>P.G. Diploma, Business &amp; Finance Journalism</w:t>
      </w:r>
      <w:r>
        <w:rPr>
          <w:color w:val="1F4E79"/>
          <w:sz w:val="20"/>
        </w:rPr>
        <w:tab/>
        <w:t>2026 (Incoming)</w:t>
      </w:r>
    </w:p>
    <w:p>
      <w:pPr>
        <w:tabs>
          <w:tab w:pos="9720" w:val="right"/>
        </w:tabs>
        <w:spacing w:before="0" w:after="80"/>
      </w:pPr>
      <w:r>
        <w:rPr>
          <w:i/>
          <w:sz w:val="20"/>
        </w:rPr>
        <w:t>Asian College of Journalism, Chennai</w:t>
      </w:r>
      <w:r>
        <w:rPr>
          <w:i/>
          <w:sz w:val="20"/>
        </w:rPr>
        <w:tab/>
        <w:t>Chennai, India</w:t>
      </w:r>
    </w:p>
    <w:p>
      <w:pPr>
        <w:tabs>
          <w:tab w:pos="9720" w:val="right"/>
        </w:tabs>
        <w:spacing w:before="80" w:after="0"/>
      </w:pPr>
      <w:r>
        <w:rPr>
          <w:b/>
          <w:sz w:val="21"/>
        </w:rPr>
        <w:t>M.A. Political Science</w:t>
      </w:r>
      <w:r>
        <w:rPr>
          <w:color w:val="1F4E79"/>
          <w:sz w:val="20"/>
        </w:rPr>
        <w:tab/>
        <w:t>09/2024 - 07/2026</w:t>
      </w:r>
    </w:p>
    <w:p>
      <w:pPr>
        <w:tabs>
          <w:tab w:pos="9720" w:val="right"/>
        </w:tabs>
        <w:spacing w:before="0" w:after="80"/>
      </w:pPr>
      <w:r>
        <w:rPr>
          <w:i/>
          <w:sz w:val="20"/>
        </w:rPr>
        <w:t>Presidency University, Kolkata</w:t>
      </w:r>
      <w:r>
        <w:rPr>
          <w:i/>
          <w:sz w:val="20"/>
        </w:rPr>
        <w:tab/>
        <w:t>Kolkata, India</w:t>
      </w:r>
    </w:p>
    <w:p>
      <w:pPr>
        <w:tabs>
          <w:tab w:pos="9720" w:val="right"/>
        </w:tabs>
        <w:spacing w:before="80" w:after="0"/>
      </w:pPr>
      <w:r>
        <w:rPr>
          <w:b/>
          <w:sz w:val="21"/>
        </w:rPr>
        <w:t>B.A. (Honors) Political Science</w:t>
      </w:r>
      <w:r>
        <w:rPr>
          <w:color w:val="1F4E79"/>
          <w:sz w:val="20"/>
        </w:rPr>
        <w:tab/>
        <w:t>09/2020 - 07/2023</w:t>
      </w:r>
    </w:p>
    <w:p>
      <w:pPr>
        <w:tabs>
          <w:tab w:pos="9720" w:val="right"/>
        </w:tabs>
        <w:spacing w:before="0" w:after="80"/>
      </w:pPr>
      <w:r>
        <w:rPr>
          <w:i/>
          <w:sz w:val="20"/>
        </w:rPr>
        <w:t>Shri Shikshayatan College, Kolkata (CU)</w:t>
      </w:r>
      <w:r>
        <w:rPr>
          <w:i/>
          <w:sz w:val="20"/>
        </w:rPr>
        <w:tab/>
        <w:t>Kolkata, India</w:t>
      </w:r>
    </w:p>
    <w:p>
      <w:pPr>
        <w:spacing w:before="200" w:after="60"/>
        <w:pBdr>
          <w:bottom w:val="single" w:sz="6" w:space="2" w:color="1F4E79"/>
        </w:pBdr>
      </w:pPr>
      <w:r>
        <w:rPr>
          <w:b/>
          <w:color w:val="1F4E79"/>
          <w:sz w:val="23"/>
        </w:rPr>
        <w:t>PROJECTS</w:t>
      </w:r>
    </w:p>
    <w:p>
      <w:pPr>
        <w:spacing w:before="80" w:after="40"/>
      </w:pPr>
      <w:r>
        <w:rPr>
          <w:b/>
          <w:sz w:val="21"/>
        </w:rPr>
        <w:t>Dissertation: The Aspirational Districts Programme and Governance Transformation in India</w:t>
      </w:r>
    </w:p>
    <w:p>
      <w:pPr>
        <w:pStyle w:val="ListBullet"/>
        <w:spacing w:before="0" w:after="40" w:line="259" w:lineRule="auto"/>
      </w:pPr>
      <w:r>
        <w:rPr>
          <w:sz w:val="21"/>
        </w:rPr>
        <w:t>Conducted a qualitative research study on the Aspirational Districts Programme (ADP) to examine its impact on bureaucratic leadership, decentralised governance, and centre-state relations. Using policy analysis, thematic content analysis, and process tracing, the research found that while the ADP improves administrative accountability and development outcomes through data-driven performance monitoring, it also creates tensions between decentralisation and centralised evaluative control.</w:t>
      </w:r>
    </w:p>
    <w:p>
      <w:pPr>
        <w:spacing w:before="200" w:after="60"/>
        <w:pBdr>
          <w:bottom w:val="single" w:sz="6" w:space="2" w:color="1F4E79"/>
        </w:pBdr>
      </w:pPr>
      <w:r>
        <w:rPr>
          <w:b/>
          <w:color w:val="1F4E79"/>
          <w:sz w:val="23"/>
        </w:rPr>
        <w:t>SKILLS</w:t>
      </w:r>
    </w:p>
    <w:p>
      <w:pPr>
        <w:pStyle w:val="ListBullet"/>
        <w:spacing w:before="0" w:after="40" w:line="259" w:lineRule="auto"/>
      </w:pPr>
      <w:r>
        <w:rPr>
          <w:sz w:val="21"/>
        </w:rPr>
        <w:t>Critical Thinking</w:t>
      </w:r>
    </w:p>
    <w:p>
      <w:pPr>
        <w:pStyle w:val="ListBullet"/>
        <w:spacing w:before="0" w:after="40" w:line="259" w:lineRule="auto"/>
      </w:pPr>
      <w:r>
        <w:rPr>
          <w:sz w:val="21"/>
        </w:rPr>
        <w:t>Academic Writing</w:t>
      </w:r>
    </w:p>
    <w:p>
      <w:pPr>
        <w:pStyle w:val="ListBullet"/>
        <w:spacing w:before="0" w:after="40" w:line="259" w:lineRule="auto"/>
      </w:pPr>
      <w:r>
        <w:rPr>
          <w:sz w:val="21"/>
        </w:rPr>
        <w:t>Public Speaking &amp; Presentation</w:t>
      </w:r>
    </w:p>
    <w:p>
      <w:pPr>
        <w:pStyle w:val="ListBullet"/>
        <w:spacing w:before="0" w:after="40" w:line="259" w:lineRule="auto"/>
      </w:pPr>
      <w:r>
        <w:rPr>
          <w:sz w:val="21"/>
        </w:rPr>
        <w:t>Time Management &amp; Organization</w:t>
      </w:r>
    </w:p>
    <w:p>
      <w:pPr>
        <w:pStyle w:val="ListBullet"/>
        <w:spacing w:before="0" w:after="40" w:line="259" w:lineRule="auto"/>
      </w:pPr>
      <w:r>
        <w:rPr>
          <w:sz w:val="21"/>
        </w:rPr>
        <w:t>Multilingual Communication</w:t>
      </w:r>
    </w:p>
    <w:sectPr w:rsidR="00FC693F" w:rsidRPr="0006063C" w:rsidSect="00034616">
      <w:pgSz w:w="12240" w:h="15840"/>
      <w:pgMar w:top="800" w:right="1080" w:bottom="8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