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7"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0.787</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0.095</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0.530, 4.0</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0.849</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 Telling it which log lines are new, counted causally against the log before each window, cut BGL's false-positive rate from 0.0244 to 0.0059 but moved F1 to 0.343: the later failures are mostly not first-seen lines.</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The served retriever is smaller than the evaluated one, so its design was measured too: trained on the training sources and quantised as served, it ranks the right technique first for 0.556 of held-out behaviours, against 0.614 for the full model. Fused with the TF-IDF classifier pruned to 400 int8 weights per technique, it reaches 0.650, and the API answers "which technique is this?" from it. It does not pick the technique whose defences are listed: asked how to defend against ransomware encrypting file shares, it put Network Share Discovery first, where retrieval names Data Encrypted for Impact.</w:t>
        </w:r>
      </w:ins>
    </w:p>
    <w:p>
      <w:pPr>
        <w:spacing w:after="0" w:line="240"/>
        <w:ind w:firstLine="202"/>
        <w:jc w:val="both"/>
        <w:rPr>
          <w:ins w:id="91247" w:author="Claude" w:date="2026-10-27T00:00:00Z"/>
        </w:rPr>
      </w:pPr>
      <w:ins w:id="91248"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49" w:author="Claude" w:date="2026-10-27T00:00:00Z"/>
        </w:rPr>
      </w:pPr>
      <w:ins w:id="91250"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51" w:author="Claude" w:date="2026-10-27T00:00:00Z"/>
        </w:rPr>
      </w:pPr>
      <w:ins w:id="91252" w:author="Claude" w:date="2026-10-27T00:00:00Z">
        <w:r>
          <w:t xml:space="preserve">The models carry their own threats. A plain TF-IDF and logistic regression baseline, added after the public notebooks found it, scores R@1 0.646 against Brahmacharini's 0.614 and hit@1 0.827 against Skandamata's 0.787;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3" w:author="Claude" w:date="2026-10-27T00:00:00Z"/>
        </w:rPr>
      </w:pPr>
      <w:ins w:id="91254"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5" w:author="Claude" w:date="2026-10-27T00:00:00Z"/>
        </w:rPr>
      </w:pPr>
      <w:ins w:id="91256"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