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9FFA1" w14:textId="09254806" w:rsidR="00524422" w:rsidRDefault="00A67195" w:rsidP="00A67195">
      <w:pPr>
        <w:jc w:val="both"/>
        <w:rPr>
          <w:sz w:val="40"/>
          <w:szCs w:val="40"/>
          <w:lang w:val="en-US"/>
        </w:rPr>
      </w:pPr>
      <w:r>
        <w:rPr>
          <w:sz w:val="40"/>
          <w:szCs w:val="40"/>
          <w:lang w:val="en-US"/>
        </w:rPr>
        <w:t>Costco Wholesale</w:t>
      </w:r>
    </w:p>
    <w:p w14:paraId="5DBBF869" w14:textId="51CA0EE4" w:rsidR="00A67195" w:rsidRPr="00E572D9" w:rsidRDefault="00E572D9" w:rsidP="00E572D9">
      <w:pPr>
        <w:pStyle w:val="ListParagraph"/>
        <w:numPr>
          <w:ilvl w:val="0"/>
          <w:numId w:val="1"/>
        </w:numPr>
        <w:jc w:val="both"/>
        <w:rPr>
          <w:sz w:val="40"/>
          <w:szCs w:val="40"/>
          <w:lang w:val="en-US"/>
        </w:rPr>
      </w:pPr>
      <w:r>
        <w:rPr>
          <w:sz w:val="30"/>
          <w:szCs w:val="30"/>
          <w:lang w:val="en-US"/>
        </w:rPr>
        <w:t>American multinational corporation operating on a chain of membership-only big box warehouse club retail stores</w:t>
      </w:r>
      <w:r w:rsidR="00136FF0">
        <w:rPr>
          <w:sz w:val="30"/>
          <w:szCs w:val="30"/>
          <w:lang w:val="en-US"/>
        </w:rPr>
        <w:t>.</w:t>
      </w:r>
    </w:p>
    <w:p w14:paraId="3C9E21C3" w14:textId="4716D3D9" w:rsidR="00E572D9" w:rsidRPr="00E572D9" w:rsidRDefault="00E572D9" w:rsidP="00E572D9">
      <w:pPr>
        <w:pStyle w:val="ListParagraph"/>
        <w:numPr>
          <w:ilvl w:val="0"/>
          <w:numId w:val="1"/>
        </w:numPr>
        <w:jc w:val="both"/>
        <w:rPr>
          <w:sz w:val="40"/>
          <w:szCs w:val="40"/>
          <w:lang w:val="en-US"/>
        </w:rPr>
      </w:pPr>
      <w:r>
        <w:rPr>
          <w:sz w:val="30"/>
          <w:szCs w:val="30"/>
          <w:lang w:val="en-US"/>
        </w:rPr>
        <w:t>Third largest retailer in the world as of 2021</w:t>
      </w:r>
      <w:r w:rsidR="00136FF0">
        <w:rPr>
          <w:sz w:val="30"/>
          <w:szCs w:val="30"/>
          <w:lang w:val="en-US"/>
        </w:rPr>
        <w:t>.</w:t>
      </w:r>
    </w:p>
    <w:p w14:paraId="6BFBAF40" w14:textId="398827C5" w:rsidR="00E572D9" w:rsidRPr="00136FF0" w:rsidRDefault="00E572D9" w:rsidP="00136FF0">
      <w:pPr>
        <w:pStyle w:val="ListParagraph"/>
        <w:numPr>
          <w:ilvl w:val="0"/>
          <w:numId w:val="1"/>
        </w:numPr>
        <w:jc w:val="both"/>
        <w:rPr>
          <w:sz w:val="40"/>
          <w:szCs w:val="40"/>
          <w:lang w:val="en-US"/>
        </w:rPr>
      </w:pPr>
      <w:r>
        <w:rPr>
          <w:sz w:val="30"/>
          <w:szCs w:val="30"/>
          <w:lang w:val="en-US"/>
        </w:rPr>
        <w:t>World’s largest retailer of beef, poultry, organic produce, and wine and 1/3</w:t>
      </w:r>
      <w:r w:rsidRPr="00E572D9">
        <w:rPr>
          <w:sz w:val="30"/>
          <w:szCs w:val="30"/>
          <w:vertAlign w:val="superscript"/>
          <w:lang w:val="en-US"/>
        </w:rPr>
        <w:t>rd</w:t>
      </w:r>
      <w:r>
        <w:rPr>
          <w:sz w:val="30"/>
          <w:szCs w:val="30"/>
          <w:lang w:val="en-US"/>
        </w:rPr>
        <w:t xml:space="preserve"> of American consumers regularly shop at Costco warehouses as of august 202</w:t>
      </w:r>
      <w:r w:rsidR="00136FF0">
        <w:rPr>
          <w:sz w:val="30"/>
          <w:szCs w:val="30"/>
          <w:lang w:val="en-US"/>
        </w:rPr>
        <w:t>4.</w:t>
      </w:r>
    </w:p>
    <w:p w14:paraId="0BE8197E" w14:textId="1164DE00" w:rsidR="00136FF0" w:rsidRPr="00136FF0" w:rsidRDefault="00136FF0" w:rsidP="00136FF0">
      <w:pPr>
        <w:pStyle w:val="ListParagraph"/>
        <w:numPr>
          <w:ilvl w:val="0"/>
          <w:numId w:val="1"/>
        </w:numPr>
        <w:jc w:val="both"/>
        <w:rPr>
          <w:sz w:val="40"/>
          <w:szCs w:val="40"/>
          <w:lang w:val="en-US"/>
        </w:rPr>
      </w:pPr>
      <w:r>
        <w:rPr>
          <w:sz w:val="30"/>
          <w:szCs w:val="30"/>
          <w:lang w:val="en-US"/>
        </w:rPr>
        <w:t xml:space="preserve">Originally began with </w:t>
      </w:r>
      <w:r w:rsidRPr="00136FF0">
        <w:rPr>
          <w:sz w:val="30"/>
          <w:szCs w:val="30"/>
        </w:rPr>
        <w:t xml:space="preserve">wholesale business model aimed at enrolling businesses as members, then </w:t>
      </w:r>
      <w:r>
        <w:rPr>
          <w:sz w:val="30"/>
          <w:szCs w:val="30"/>
        </w:rPr>
        <w:t xml:space="preserve">they </w:t>
      </w:r>
      <w:r w:rsidRPr="00136FF0">
        <w:rPr>
          <w:sz w:val="30"/>
          <w:szCs w:val="30"/>
        </w:rPr>
        <w:t xml:space="preserve">began to </w:t>
      </w:r>
      <w:r w:rsidRPr="00136FF0">
        <w:rPr>
          <w:sz w:val="30"/>
          <w:szCs w:val="30"/>
        </w:rPr>
        <w:t>enrol</w:t>
      </w:r>
      <w:r w:rsidRPr="00136FF0">
        <w:rPr>
          <w:sz w:val="30"/>
          <w:szCs w:val="30"/>
        </w:rPr>
        <w:t xml:space="preserve"> individual consumers and sell products intended for them, including </w:t>
      </w:r>
      <w:r w:rsidRPr="00136FF0">
        <w:rPr>
          <w:sz w:val="30"/>
          <w:szCs w:val="30"/>
        </w:rPr>
        <w:t>their</w:t>
      </w:r>
      <w:r w:rsidRPr="00136FF0">
        <w:rPr>
          <w:sz w:val="30"/>
          <w:szCs w:val="30"/>
        </w:rPr>
        <w:t xml:space="preserve"> own private label brand</w:t>
      </w:r>
      <w:r>
        <w:rPr>
          <w:sz w:val="30"/>
          <w:szCs w:val="30"/>
        </w:rPr>
        <w:t>.</w:t>
      </w:r>
    </w:p>
    <w:p w14:paraId="1CD0483B" w14:textId="7114F33C" w:rsidR="00136FF0" w:rsidRPr="00136FF0" w:rsidRDefault="00136FF0" w:rsidP="00136FF0">
      <w:pPr>
        <w:pStyle w:val="ListParagraph"/>
        <w:numPr>
          <w:ilvl w:val="0"/>
          <w:numId w:val="1"/>
        </w:numPr>
        <w:jc w:val="both"/>
        <w:rPr>
          <w:sz w:val="40"/>
          <w:szCs w:val="40"/>
          <w:lang w:val="en-US"/>
        </w:rPr>
      </w:pPr>
      <w:r>
        <w:rPr>
          <w:sz w:val="30"/>
          <w:szCs w:val="30"/>
        </w:rPr>
        <w:t xml:space="preserve">Headquarters are in </w:t>
      </w:r>
      <w:r w:rsidRPr="00136FF0">
        <w:rPr>
          <w:sz w:val="30"/>
          <w:szCs w:val="30"/>
        </w:rPr>
        <w:t>Issaquah, Washington, an eastern suburb of Seattle</w:t>
      </w:r>
      <w:r>
        <w:rPr>
          <w:sz w:val="30"/>
          <w:szCs w:val="30"/>
        </w:rPr>
        <w:t>.</w:t>
      </w:r>
    </w:p>
    <w:p w14:paraId="3FBDEF08" w14:textId="45A5A5A7" w:rsidR="00136FF0" w:rsidRPr="00CF3052" w:rsidRDefault="00136FF0" w:rsidP="00136FF0">
      <w:pPr>
        <w:pStyle w:val="ListParagraph"/>
        <w:numPr>
          <w:ilvl w:val="0"/>
          <w:numId w:val="1"/>
        </w:numPr>
        <w:jc w:val="both"/>
        <w:rPr>
          <w:sz w:val="30"/>
          <w:szCs w:val="30"/>
          <w:lang w:val="en-US"/>
        </w:rPr>
      </w:pPr>
      <w:r w:rsidRPr="00136FF0">
        <w:rPr>
          <w:rFonts w:cs="Arial"/>
          <w:color w:val="202122"/>
          <w:sz w:val="30"/>
          <w:szCs w:val="30"/>
          <w:shd w:val="clear" w:color="auto" w:fill="FFFFFF"/>
        </w:rPr>
        <w:t>As of November 2024, Costco operates 890 warehouses worldwide: 616 in the United States and Puerto Rico, 109 in Canada, 41 in Mexico, 36 in Japan, 29 in the United Kingdom, 19 in South Korea, 15 in Australia, 14 in Taiwan, 7 in China, 5 in Spain, 2 in France, 1 in Iceland, 1 in New Zealand, and 1 in Sweden.</w:t>
      </w:r>
    </w:p>
    <w:p w14:paraId="74F48987" w14:textId="3313C682" w:rsidR="00CF3052" w:rsidRDefault="00CF3052" w:rsidP="00136FF0">
      <w:pPr>
        <w:pStyle w:val="ListParagraph"/>
        <w:numPr>
          <w:ilvl w:val="0"/>
          <w:numId w:val="1"/>
        </w:numPr>
        <w:jc w:val="both"/>
        <w:rPr>
          <w:sz w:val="30"/>
          <w:szCs w:val="30"/>
          <w:lang w:val="en-US"/>
        </w:rPr>
      </w:pPr>
      <w:r w:rsidRPr="00CF3052">
        <w:rPr>
          <w:sz w:val="30"/>
          <w:szCs w:val="30"/>
          <w:lang w:val="en-US"/>
        </w:rPr>
        <w:t>Jim Sinegal and Jeffrey H. Brotman opened the first Costco warehouse in Seattle on September 15, 1983.</w:t>
      </w:r>
    </w:p>
    <w:p w14:paraId="3B5C195F" w14:textId="5450A77C" w:rsidR="00B00957" w:rsidRPr="00B00957" w:rsidRDefault="00B00957" w:rsidP="00B00957">
      <w:pPr>
        <w:pStyle w:val="ListParagraph"/>
        <w:numPr>
          <w:ilvl w:val="0"/>
          <w:numId w:val="1"/>
        </w:numPr>
        <w:jc w:val="both"/>
        <w:rPr>
          <w:sz w:val="30"/>
          <w:szCs w:val="30"/>
          <w:lang w:val="en-US"/>
        </w:rPr>
      </w:pPr>
      <w:r w:rsidRPr="00B00957">
        <w:rPr>
          <w:sz w:val="30"/>
          <w:szCs w:val="30"/>
          <w:lang w:val="en-US"/>
        </w:rPr>
        <w:t>Costco is mainly owned by institutional investors, who own over 70% of shares. The largest shareholders as of September 2024 are:</w:t>
      </w:r>
    </w:p>
    <w:p w14:paraId="574626EE" w14:textId="77777777" w:rsidR="00B00957" w:rsidRPr="00B00957" w:rsidRDefault="00B00957" w:rsidP="00B00957">
      <w:pPr>
        <w:pStyle w:val="ListParagraph"/>
        <w:numPr>
          <w:ilvl w:val="1"/>
          <w:numId w:val="1"/>
        </w:numPr>
        <w:jc w:val="both"/>
        <w:rPr>
          <w:sz w:val="30"/>
          <w:szCs w:val="30"/>
          <w:lang w:val="en-US"/>
        </w:rPr>
      </w:pPr>
      <w:r w:rsidRPr="00B00957">
        <w:rPr>
          <w:sz w:val="30"/>
          <w:szCs w:val="30"/>
          <w:lang w:val="en-US"/>
        </w:rPr>
        <w:t>The Vanguard Group (9.40%)</w:t>
      </w:r>
    </w:p>
    <w:p w14:paraId="39505500" w14:textId="77777777" w:rsidR="00B00957" w:rsidRPr="00B00957" w:rsidRDefault="00B00957" w:rsidP="00B00957">
      <w:pPr>
        <w:pStyle w:val="ListParagraph"/>
        <w:numPr>
          <w:ilvl w:val="1"/>
          <w:numId w:val="1"/>
        </w:numPr>
        <w:jc w:val="both"/>
        <w:rPr>
          <w:sz w:val="30"/>
          <w:szCs w:val="30"/>
          <w:lang w:val="en-US"/>
        </w:rPr>
      </w:pPr>
      <w:r w:rsidRPr="00B00957">
        <w:rPr>
          <w:sz w:val="30"/>
          <w:szCs w:val="30"/>
          <w:lang w:val="en-US"/>
        </w:rPr>
        <w:t>BlackRock (7.56%)</w:t>
      </w:r>
    </w:p>
    <w:p w14:paraId="59D9A0FD" w14:textId="77777777" w:rsidR="00B00957" w:rsidRPr="00B00957" w:rsidRDefault="00B00957" w:rsidP="00B00957">
      <w:pPr>
        <w:pStyle w:val="ListParagraph"/>
        <w:numPr>
          <w:ilvl w:val="1"/>
          <w:numId w:val="1"/>
        </w:numPr>
        <w:jc w:val="both"/>
        <w:rPr>
          <w:sz w:val="30"/>
          <w:szCs w:val="30"/>
          <w:lang w:val="en-US"/>
        </w:rPr>
      </w:pPr>
      <w:r w:rsidRPr="00B00957">
        <w:rPr>
          <w:sz w:val="30"/>
          <w:szCs w:val="30"/>
          <w:lang w:val="en-US"/>
        </w:rPr>
        <w:t>State Street Corporation (4.06%)</w:t>
      </w:r>
    </w:p>
    <w:p w14:paraId="0D01E866" w14:textId="77777777" w:rsidR="00B00957" w:rsidRPr="00B00957" w:rsidRDefault="00B00957" w:rsidP="00B00957">
      <w:pPr>
        <w:pStyle w:val="ListParagraph"/>
        <w:numPr>
          <w:ilvl w:val="1"/>
          <w:numId w:val="1"/>
        </w:numPr>
        <w:jc w:val="both"/>
        <w:rPr>
          <w:sz w:val="30"/>
          <w:szCs w:val="30"/>
          <w:lang w:val="en-US"/>
        </w:rPr>
      </w:pPr>
      <w:r w:rsidRPr="00B00957">
        <w:rPr>
          <w:sz w:val="30"/>
          <w:szCs w:val="30"/>
          <w:lang w:val="en-US"/>
        </w:rPr>
        <w:t>Geode Capital Management (2.14%)</w:t>
      </w:r>
    </w:p>
    <w:p w14:paraId="1D3D4668" w14:textId="77777777" w:rsidR="00B00957" w:rsidRPr="00B00957" w:rsidRDefault="00B00957" w:rsidP="00B00957">
      <w:pPr>
        <w:pStyle w:val="ListParagraph"/>
        <w:numPr>
          <w:ilvl w:val="1"/>
          <w:numId w:val="1"/>
        </w:numPr>
        <w:jc w:val="both"/>
        <w:rPr>
          <w:sz w:val="30"/>
          <w:szCs w:val="30"/>
          <w:lang w:val="en-US"/>
        </w:rPr>
      </w:pPr>
      <w:r w:rsidRPr="00B00957">
        <w:rPr>
          <w:sz w:val="30"/>
          <w:szCs w:val="30"/>
          <w:lang w:val="en-US"/>
        </w:rPr>
        <w:t>Morgan Stanley (2.13%)</w:t>
      </w:r>
    </w:p>
    <w:p w14:paraId="52C2C3D8" w14:textId="77777777" w:rsidR="00B00957" w:rsidRPr="00B00957" w:rsidRDefault="00B00957" w:rsidP="00B00957">
      <w:pPr>
        <w:pStyle w:val="ListParagraph"/>
        <w:numPr>
          <w:ilvl w:val="1"/>
          <w:numId w:val="1"/>
        </w:numPr>
        <w:jc w:val="both"/>
        <w:rPr>
          <w:sz w:val="30"/>
          <w:szCs w:val="30"/>
          <w:lang w:val="en-US"/>
        </w:rPr>
      </w:pPr>
      <w:r w:rsidRPr="00B00957">
        <w:rPr>
          <w:sz w:val="30"/>
          <w:szCs w:val="30"/>
          <w:lang w:val="en-US"/>
        </w:rPr>
        <w:t>Fidelity Investments (FMR) (2.10%)</w:t>
      </w:r>
    </w:p>
    <w:p w14:paraId="14E01AED" w14:textId="77777777" w:rsidR="00B00957" w:rsidRPr="00B00957" w:rsidRDefault="00B00957" w:rsidP="00B00957">
      <w:pPr>
        <w:pStyle w:val="ListParagraph"/>
        <w:numPr>
          <w:ilvl w:val="1"/>
          <w:numId w:val="1"/>
        </w:numPr>
        <w:jc w:val="both"/>
        <w:rPr>
          <w:sz w:val="30"/>
          <w:szCs w:val="30"/>
          <w:lang w:val="en-US"/>
        </w:rPr>
      </w:pPr>
      <w:r w:rsidRPr="00B00957">
        <w:rPr>
          <w:sz w:val="30"/>
          <w:szCs w:val="30"/>
          <w:lang w:val="en-US"/>
        </w:rPr>
        <w:t>Bank of America (1.59%)</w:t>
      </w:r>
    </w:p>
    <w:p w14:paraId="7475A753" w14:textId="77777777" w:rsidR="00B00957" w:rsidRPr="00B00957" w:rsidRDefault="00B00957" w:rsidP="00B00957">
      <w:pPr>
        <w:pStyle w:val="ListParagraph"/>
        <w:numPr>
          <w:ilvl w:val="1"/>
          <w:numId w:val="1"/>
        </w:numPr>
        <w:jc w:val="both"/>
        <w:rPr>
          <w:sz w:val="30"/>
          <w:szCs w:val="30"/>
          <w:lang w:val="en-US"/>
        </w:rPr>
      </w:pPr>
      <w:r w:rsidRPr="00B00957">
        <w:rPr>
          <w:sz w:val="30"/>
          <w:szCs w:val="30"/>
          <w:lang w:val="en-US"/>
        </w:rPr>
        <w:t>Norges Bank (1.20%)</w:t>
      </w:r>
    </w:p>
    <w:p w14:paraId="60A101F4" w14:textId="77777777" w:rsidR="00B00957" w:rsidRPr="00B00957" w:rsidRDefault="00B00957" w:rsidP="00B00957">
      <w:pPr>
        <w:pStyle w:val="ListParagraph"/>
        <w:numPr>
          <w:ilvl w:val="1"/>
          <w:numId w:val="1"/>
        </w:numPr>
        <w:jc w:val="both"/>
        <w:rPr>
          <w:sz w:val="30"/>
          <w:szCs w:val="30"/>
          <w:lang w:val="en-US"/>
        </w:rPr>
      </w:pPr>
      <w:r w:rsidRPr="00B00957">
        <w:rPr>
          <w:sz w:val="30"/>
          <w:szCs w:val="30"/>
          <w:lang w:val="en-US"/>
        </w:rPr>
        <w:t>Northern Trust (1.05%)</w:t>
      </w:r>
    </w:p>
    <w:p w14:paraId="1BD4CF93" w14:textId="77777777" w:rsidR="00B00957" w:rsidRPr="00B00957" w:rsidRDefault="00B00957" w:rsidP="00B00957">
      <w:pPr>
        <w:pStyle w:val="ListParagraph"/>
        <w:numPr>
          <w:ilvl w:val="1"/>
          <w:numId w:val="1"/>
        </w:numPr>
        <w:jc w:val="both"/>
        <w:rPr>
          <w:sz w:val="30"/>
          <w:szCs w:val="30"/>
          <w:lang w:val="en-US"/>
        </w:rPr>
      </w:pPr>
      <w:r w:rsidRPr="00B00957">
        <w:rPr>
          <w:sz w:val="30"/>
          <w:szCs w:val="30"/>
          <w:lang w:val="en-US"/>
        </w:rPr>
        <w:t>BNY Mellon (1.01%)</w:t>
      </w:r>
    </w:p>
    <w:p w14:paraId="1425C59C" w14:textId="77777777" w:rsidR="00B00957" w:rsidRPr="00136FF0" w:rsidRDefault="00B00957" w:rsidP="00136FF0">
      <w:pPr>
        <w:pStyle w:val="ListParagraph"/>
        <w:numPr>
          <w:ilvl w:val="0"/>
          <w:numId w:val="1"/>
        </w:numPr>
        <w:jc w:val="both"/>
        <w:rPr>
          <w:sz w:val="30"/>
          <w:szCs w:val="30"/>
          <w:lang w:val="en-US"/>
        </w:rPr>
      </w:pPr>
    </w:p>
    <w:sectPr w:rsidR="00B00957" w:rsidRPr="00136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517E20"/>
    <w:multiLevelType w:val="hybridMultilevel"/>
    <w:tmpl w:val="EE1E9CC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38730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B5"/>
    <w:rsid w:val="00136FF0"/>
    <w:rsid w:val="00177CBD"/>
    <w:rsid w:val="001A4FE5"/>
    <w:rsid w:val="00524422"/>
    <w:rsid w:val="009628FE"/>
    <w:rsid w:val="009B5D0F"/>
    <w:rsid w:val="00A406A1"/>
    <w:rsid w:val="00A67195"/>
    <w:rsid w:val="00B00957"/>
    <w:rsid w:val="00B074B5"/>
    <w:rsid w:val="00CF3052"/>
    <w:rsid w:val="00E57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799C"/>
  <w15:chartTrackingRefBased/>
  <w15:docId w15:val="{2A76F941-1ACD-407D-B2BF-A17F17BD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4B5"/>
    <w:rPr>
      <w:rFonts w:eastAsiaTheme="majorEastAsia" w:cstheme="majorBidi"/>
      <w:color w:val="272727" w:themeColor="text1" w:themeTint="D8"/>
    </w:rPr>
  </w:style>
  <w:style w:type="paragraph" w:styleId="Title">
    <w:name w:val="Title"/>
    <w:basedOn w:val="Normal"/>
    <w:next w:val="Normal"/>
    <w:link w:val="TitleChar"/>
    <w:uiPriority w:val="10"/>
    <w:qFormat/>
    <w:rsid w:val="00B07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4B5"/>
    <w:pPr>
      <w:spacing w:before="160"/>
      <w:jc w:val="center"/>
    </w:pPr>
    <w:rPr>
      <w:i/>
      <w:iCs/>
      <w:color w:val="404040" w:themeColor="text1" w:themeTint="BF"/>
    </w:rPr>
  </w:style>
  <w:style w:type="character" w:customStyle="1" w:styleId="QuoteChar">
    <w:name w:val="Quote Char"/>
    <w:basedOn w:val="DefaultParagraphFont"/>
    <w:link w:val="Quote"/>
    <w:uiPriority w:val="29"/>
    <w:rsid w:val="00B074B5"/>
    <w:rPr>
      <w:i/>
      <w:iCs/>
      <w:color w:val="404040" w:themeColor="text1" w:themeTint="BF"/>
    </w:rPr>
  </w:style>
  <w:style w:type="paragraph" w:styleId="ListParagraph">
    <w:name w:val="List Paragraph"/>
    <w:basedOn w:val="Normal"/>
    <w:uiPriority w:val="34"/>
    <w:qFormat/>
    <w:rsid w:val="00B074B5"/>
    <w:pPr>
      <w:ind w:left="720"/>
      <w:contextualSpacing/>
    </w:pPr>
  </w:style>
  <w:style w:type="character" w:styleId="IntenseEmphasis">
    <w:name w:val="Intense Emphasis"/>
    <w:basedOn w:val="DefaultParagraphFont"/>
    <w:uiPriority w:val="21"/>
    <w:qFormat/>
    <w:rsid w:val="00B074B5"/>
    <w:rPr>
      <w:i/>
      <w:iCs/>
      <w:color w:val="0F4761" w:themeColor="accent1" w:themeShade="BF"/>
    </w:rPr>
  </w:style>
  <w:style w:type="paragraph" w:styleId="IntenseQuote">
    <w:name w:val="Intense Quote"/>
    <w:basedOn w:val="Normal"/>
    <w:next w:val="Normal"/>
    <w:link w:val="IntenseQuoteChar"/>
    <w:uiPriority w:val="30"/>
    <w:qFormat/>
    <w:rsid w:val="00B07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4B5"/>
    <w:rPr>
      <w:i/>
      <w:iCs/>
      <w:color w:val="0F4761" w:themeColor="accent1" w:themeShade="BF"/>
    </w:rPr>
  </w:style>
  <w:style w:type="character" w:styleId="IntenseReference">
    <w:name w:val="Intense Reference"/>
    <w:basedOn w:val="DefaultParagraphFont"/>
    <w:uiPriority w:val="32"/>
    <w:qFormat/>
    <w:rsid w:val="00B074B5"/>
    <w:rPr>
      <w:b/>
      <w:bCs/>
      <w:smallCaps/>
      <w:color w:val="0F4761" w:themeColor="accent1" w:themeShade="BF"/>
      <w:spacing w:val="5"/>
    </w:rPr>
  </w:style>
  <w:style w:type="character" w:styleId="Hyperlink">
    <w:name w:val="Hyperlink"/>
    <w:basedOn w:val="DefaultParagraphFont"/>
    <w:uiPriority w:val="99"/>
    <w:unhideWhenUsed/>
    <w:rsid w:val="00136FF0"/>
    <w:rPr>
      <w:color w:val="467886" w:themeColor="hyperlink"/>
      <w:u w:val="single"/>
    </w:rPr>
  </w:style>
  <w:style w:type="character" w:styleId="UnresolvedMention">
    <w:name w:val="Unresolved Mention"/>
    <w:basedOn w:val="DefaultParagraphFont"/>
    <w:uiPriority w:val="99"/>
    <w:semiHidden/>
    <w:unhideWhenUsed/>
    <w:rsid w:val="00136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Dh</dc:creator>
  <cp:keywords/>
  <dc:description/>
  <cp:lastModifiedBy>Hrishi Dh</cp:lastModifiedBy>
  <cp:revision>5</cp:revision>
  <dcterms:created xsi:type="dcterms:W3CDTF">2025-01-15T23:34:00Z</dcterms:created>
  <dcterms:modified xsi:type="dcterms:W3CDTF">2025-01-16T00:01:00Z</dcterms:modified>
</cp:coreProperties>
</file>