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PrivacyLens</w:t>
      </w:r>
    </w:p>
    <w:p>
      <w:pPr>
        <w:pBdr>
          <w:bottom w:val="single" w:color="1F4E79" w:sz="6" w:space="8"/>
        </w:pBdr>
        <w:spacing w:after="240"/>
        <w:jc w:val="center"/>
      </w:pPr>
      <w:r>
        <w:rPr>
          <w:color w:val="404040"/>
          <w:sz w:val="24"/>
          <w:szCs w:val="24"/>
        </w:rPr>
        <w:t xml:space="preserve">Competency Questions  |  DAMG 6300, Fall 2026</w:t>
      </w:r>
    </w:p>
    <w:p>
      <w:pPr>
        <w:spacing w:after="100"/>
      </w:pPr>
      <w:r>
        <w:t xml:space="preserve">Each question has four parts:</w:t>
      </w:r>
    </w:p>
    <w:p>
      <w:pPr>
        <w:pStyle w:val="ListParagraph"/>
        <w:numPr>
          <w:ilvl w:val="0"/>
          <w:numId w:val="2"/>
        </w:numPr>
        <w:spacing w:after="60"/>
      </w:pPr>
      <w:r>
        <w:rPr>
          <w:b/>
          <w:bCs/>
        </w:rPr>
        <w:t xml:space="preserve">Asked by:</w:t>
      </w:r>
      <w:r>
        <w:t xml:space="preserve"> the user type, or an agent</w:t>
      </w:r>
    </w:p>
    <w:p>
      <w:pPr>
        <w:pStyle w:val="ListParagraph"/>
        <w:numPr>
          <w:ilvl w:val="0"/>
          <w:numId w:val="2"/>
        </w:numPr>
        <w:spacing w:after="60"/>
      </w:pPr>
      <w:r>
        <w:rPr>
          <w:b/>
          <w:bCs/>
        </w:rPr>
        <w:t xml:space="preserve">Question:</w:t>
      </w:r>
      <w:r>
        <w:t xml:space="preserve"> the exact natural-language question</w:t>
      </w:r>
    </w:p>
    <w:p>
      <w:pPr>
        <w:pStyle w:val="ListParagraph"/>
        <w:numPr>
          <w:ilvl w:val="0"/>
          <w:numId w:val="2"/>
        </w:numPr>
        <w:spacing w:after="60"/>
      </w:pPr>
      <w:r>
        <w:rPr>
          <w:b/>
          <w:bCs/>
        </w:rPr>
        <w:t xml:space="preserve">Answer:</w:t>
      </w:r>
      <w:r>
        <w:t xml:space="preserve"> what a correct answer contains</w:t>
      </w:r>
    </w:p>
    <w:p>
      <w:pPr>
        <w:pStyle w:val="ListParagraph"/>
        <w:numPr>
          <w:ilvl w:val="0"/>
          <w:numId w:val="2"/>
        </w:numPr>
        <w:spacing w:after="60"/>
      </w:pPr>
      <w:r>
        <w:rPr>
          <w:b/>
          <w:bCs/>
        </w:rPr>
        <w:t xml:space="preserve">Requires:</w:t>
      </w:r>
      <w:r>
        <w:t xml:space="preserve"> which ontology concepts and stores the system needs to answer it</w:t>
      </w:r>
    </w:p>
    <w:p>
      <w:pPr>
        <w:spacing w:after="160"/>
      </w:pPr>
    </w:p>
    <w:p>
      <w:pPr>
        <w:pStyle w:val="Heading1"/>
      </w:pPr>
      <w:r>
        <w:t xml:space="preserve">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consumer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services in the corpus state that they use user-provided content (posts, messages, photos, files) to train AI models, and does each one offer an opt-out?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(service, data type, opt-out: yes / no / not stated,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Service, Flow, DataType, Purpose = AIModelTraining, opt-out condition, Statement (Neo4j)</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CQ2</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consumer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For service X, is allowing my content to be used for AI training a condition of using the service, or can I refuse and keep my account? Does the answer differ between the EU and California?</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for each jurisdiction: (mandatory / optional / not stated, applicable law, related right,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Flow with purpose AIModelTraining and its condition; Jurisdiction, Law, Right (Neo4j + GraphDB)</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CQ3</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consumer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services share any form of location data (precise location, IP address, Wi-Fi data) with third parties whose purpose is advertising?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(service, location data type, third party,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Flow, DataType hierarchy under location data, ThirdParty, Purpose = Advertising (Neo4j + GraphDB for the hierarchy)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CQ4</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consumer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data types does service X collect that count as personal data under the ontology, including types the policy itself doesn’t call personal?</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(data type, inferred category, whether the policy labels it personal: yes/no,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Flow, DataType, the DPV hierarchy and reasoning, the policy’s local definitions (Neo4j + GraphDB)</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CQ5</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consumer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If I live in California, what rights do I have over service X’s use of my data for advertising, and which of those rights also apply in the EU and India?</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(jurisdiction, law, right, applies: yes/no)</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Jurisdiction, Law, Right, Purpose = Advertising, the service’s flows (GraphDB + Neo4j)</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CQ6</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consumer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How do services X and Y differ in the data types they collect, the third parties they share with, and whether they use data for AI training? And does service X’s EU policy differ from its US policy on these points?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comparison of (data types, third parties, AI-training use) for each service or policy version, with differences highlighted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Service, Policy with its region, Flow, DataType, ThirdParty, Purpose (Neo4j)</w:t>
            </w:r>
          </w:p>
        </w:tc>
      </w:tr>
    </w:tbl>
    <w:p>
      <w:pPr>
        <w:spacing w:after="160"/>
      </w:pPr>
    </w:p>
    <w:p>
      <w:pPr>
        <w:pStyle w:val="Heading1"/>
      </w:pPr>
      <w:r>
        <w:t xml:space="preserve">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CQ7</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policy-audit agent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disclosures required by GDPR are missing from this draft policy?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(missing requirement, related data type or purpose, the relevant part of the draft or “not mentioned”)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draft-policy Flows, Law = GDPR, Requirement, SHACL rules for GDPR (GraphDB + validation)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CQ8</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policy-audit agent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data types collected in this draft policy have no stated purpose?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(data type, sentence where it’s collected)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Flow, DataType, Purpose (missing), SHACL rule “every collected data type must have a purpose” (validation)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CQ9</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developer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My policy already meets the California requirements in the ontology. What additional disclosures would I need to launch in India?</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(requirement under India’s DPDP Act not covered by the CCPA requirements, related data type or purpose)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Law, Requirement, Jurisdiction, comparison between two laws’ requirements (GraphDB)</w:t>
            </w:r>
          </w:p>
        </w:tc>
      </w:tr>
    </w:tbl>
    <w:p>
      <w:pPr>
        <w:spacing w:after="160"/>
      </w:pPr>
    </w:p>
    <w:p>
      <w:pPr>
        <w:pStyle w:val="Heading1"/>
      </w:pPr>
      <w:r>
        <w:t xml:space="preserve">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CQ10</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business evaluating a vendor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If we use vendor X, which third parties does its policy say it shares customer data with, which data types, and for what purposes?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(third party, data type, purpose,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Service, Flow, ThirdParty, DataType, Purpose (Neo4j)</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CQ11</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business evaluating a vendor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Does vendor X’s policy allow it to use customer data to train AI models, and can that be turned off?</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(yes / no / not stated, data types involved, opt-out available,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Flow, Purpose = AIModelTraining, opt-out condition (Neo4j)</w:t>
            </w:r>
          </w:p>
        </w:tc>
      </w:tr>
    </w:tbl>
    <w:p>
      <w:pPr>
        <w:spacing w:after="160"/>
      </w:pPr>
    </w:p>
    <w:p>
      <w:pPr>
        <w:pStyle w:val="Heading1"/>
      </w:pPr>
      <w:r>
        <w:t xml:space="preserve">Researchers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CQ12</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researcher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third parties receive data from the largest number of services in the corpus, and what types of data do they receive?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ranked list of (third party, number of services, PageRank score, data types)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ThirdParty, Flow, DataType, PageRank (Neo4j Graph Data Science)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CQ13</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researcher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How many services in the corpus mention using data for AI training, which data types are involved, and how many of them offer an opt-out?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totals plus a breakdown by data type, and the opt-out count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Flow, Purpose = AIModelTraining, DataType, opt-out condition (Neo4j)</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CQ14</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researcher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policies describe a data type as “non-personal” or “anonymous” when the ontology classifies it as personal data?</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(service, data type, the policy’s label, the ontology’s category,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the policy’s local definitions, the DPV hierarchy and reasoning (Neo4j + GraphDB)</w:t>
            </w:r>
          </w:p>
        </w:tc>
      </w:tr>
    </w:tbl>
    <w:p>
      <w:pPr>
        <w:spacing w:after="160"/>
      </w:pPr>
    </w:p>
    <w:p>
      <w:pPr>
        <w:pStyle w:val="Heading1"/>
      </w:pPr>
      <w:r>
        <w:t xml:space="preserve">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CQ15</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consumer or researcher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Which exact sentence, from which policy and collection date, supports this claim about service X?</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(policy, collection date, source sentence)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Flow, Statement, Policy with its date (Neo4j)</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keepNext/>
              <w:keepLines/>
            </w:pPr>
            <w:r>
              <w:rPr>
                <w:b/>
                <w:bCs/>
                <w:color w:val="1F4E79"/>
              </w:rPr>
              <w:t xml:space="preserve">CQ16</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Asked by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answering agent, checking its own grounding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Question</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For each right or requirement in my answer, which law and jurisdiction does it come from in the ontology?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keepLines/>
            </w:pPr>
            <w:r>
              <w:rPr>
                <w:b/>
                <w:bCs/>
              </w:rPr>
              <w:t xml:space="preserve">Answer</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pPr>
            <w:r>
              <w:t xml:space="preserve">a list of (right or requirement, law, jurisdiction)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keepNext w:val="false"/>
              <w:keepLines/>
            </w:pPr>
            <w:r>
              <w:rPr>
                <w:b/>
                <w:bCs/>
              </w:rPr>
              <w:t xml:space="preserve">Requires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pPr>
            <w:r>
              <w:t xml:space="preserve">Right, Requirement, Law, Jurisdiction (GraphDB)</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2026-10-18T04:01:11.836Z</dcterms:created>
  <dcterms:modified xsi:type="dcterms:W3CDTF">2026-10-18T04:01:11.837Z</dcterms:modified>
</cp:coreProperties>
</file>

<file path=docProps/custom.xml><?xml version="1.0" encoding="utf-8"?>
<Properties xmlns="http://schemas.openxmlformats.org/officeDocument/2006/custom-properties" xmlns:vt="http://schemas.openxmlformats.org/officeDocument/2006/docPropsVTypes"/>
</file>