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Organization X detected a cyber breach on 15 August 2026 affecting 240 systems.</w:t>
      </w:r>
    </w:p>
    <w:p>
      <w:pPr>
        <w:pStyle w:val="Heading2"/>
      </w:pPr>
      <w:r>
        <w:t>Threat Vector &amp; Vulnerability</w:t>
      </w:r>
    </w:p>
    <w:p>
      <w:r>
        <w:t>The attack exploited CVE-2026-4418 in the Identity Gateway service.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Systems Impacted</w:t>
            </w:r>
          </w:p>
        </w:tc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Contained</w:t>
            </w:r>
          </w:p>
        </w:tc>
      </w:tr>
      <w:tr>
        <w:tc>
          <w:tcPr>
            <w:tcW w:type="dxa" w:w="2880"/>
          </w:tcPr>
          <w:p>
            <w:r>
              <w:t>CVSS Score</w:t>
            </w:r>
          </w:p>
        </w:tc>
        <w:tc>
          <w:tcPr>
            <w:tcW w:type="dxa" w:w="2880"/>
          </w:tcPr>
          <w:p>
            <w:r>
              <w:t>9.8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Cyber Security Brief</dc:title>
  <dc:subject/>
  <dc:creator>Security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