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Brain Tumor Detection Image Classification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objective of this project is to develop a reliable and efficient image classification system for detecting brain tumors using deep learning techniques. The project leverages Convolutional Neural Networks (CNN) to classify medical images into four distinct categories of brain tumors: pituitary, notumor, meningioma, and glioma.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Total Number of Classes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Total Classes: 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Class Names:</w:t>
      </w:r>
    </w:p>
    <w:p w:rsidR="00000000" w:rsidDel="00000000" w:rsidP="00000000" w:rsidRDefault="00000000" w:rsidRPr="00000000" w14:paraId="0000000C">
      <w:pPr>
        <w:rPr/>
      </w:pPr>
      <w:r w:rsidDel="00000000" w:rsidR="00000000" w:rsidRPr="00000000">
        <w:rPr>
          <w:rtl w:val="0"/>
        </w:rPr>
        <w:t xml:space="preserve">Pituitary</w:t>
      </w:r>
    </w:p>
    <w:p w:rsidR="00000000" w:rsidDel="00000000" w:rsidP="00000000" w:rsidRDefault="00000000" w:rsidRPr="00000000" w14:paraId="0000000D">
      <w:pPr>
        <w:rPr/>
      </w:pPr>
      <w:r w:rsidDel="00000000" w:rsidR="00000000" w:rsidRPr="00000000">
        <w:rPr>
          <w:rtl w:val="0"/>
        </w:rPr>
        <w:t xml:space="preserve">Notumor</w:t>
      </w:r>
    </w:p>
    <w:p w:rsidR="00000000" w:rsidDel="00000000" w:rsidP="00000000" w:rsidRDefault="00000000" w:rsidRPr="00000000" w14:paraId="0000000E">
      <w:pPr>
        <w:rPr/>
      </w:pPr>
      <w:r w:rsidDel="00000000" w:rsidR="00000000" w:rsidRPr="00000000">
        <w:rPr>
          <w:rtl w:val="0"/>
        </w:rPr>
        <w:t xml:space="preserve">Meningioma</w:t>
      </w:r>
    </w:p>
    <w:p w:rsidR="00000000" w:rsidDel="00000000" w:rsidP="00000000" w:rsidRDefault="00000000" w:rsidRPr="00000000" w14:paraId="0000000F">
      <w:pPr>
        <w:rPr/>
      </w:pPr>
      <w:r w:rsidDel="00000000" w:rsidR="00000000" w:rsidRPr="00000000">
        <w:rPr>
          <w:rtl w:val="0"/>
        </w:rPr>
        <w:t xml:space="preserve">Glioma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Methodology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Collection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Images were collected from various medical databases and public repositories, ensuring a diverse set of samples for each class. The dataset was split into training, validation, and testing sets to facilitate model training and evaluation.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Model Selection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project experimented with three deep learning models to identify the best-performing architecture: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VGG16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Accuracy Achieved: 96%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ResNet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Accuracy Achieved: 92%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Traditional CNN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Accuracy Achieved: 89%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 Preprocessing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Before training, the images were preprocessed to ensure consistency in input size and format: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Resizing images to a standard dimension.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Normalizing pixel values to fall between 0 and 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Applying data augmentation techniques (such as rotation, flipping, and zooming) to increase dataset diversity and combat overfitting.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Model Training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selected models were trained using high-performance GPUs. The training process involved: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Specifying loss functions appropriate for multi-class classification.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Utilizing class weights to address class imbalance.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Implementing early stopping and model checkpoints to prevent overfitting and ensure optimal performance.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Performance Evaluation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models were evaluated on a separate test dataset to determine their accuracy and reliability in classifying unseen data. The metrics used for evaluation included:</w:t>
      </w:r>
    </w:p>
    <w:p w:rsidR="00000000" w:rsidDel="00000000" w:rsidP="00000000" w:rsidRDefault="00000000" w:rsidRPr="00000000" w14:paraId="00000042">
      <w:pPr>
        <w:rPr/>
      </w:pPr>
      <w:r w:rsidDel="00000000" w:rsidR="00000000" w:rsidRPr="00000000">
        <w:rPr>
          <w:rtl w:val="0"/>
        </w:rPr>
        <w:t xml:space="preserve">Accuracy, precision, recall, F1- score.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Challenges Faced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Class Imbalance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of the most significant challenges encountered during this project was the imbalance in the dataset. Certain classes contained significantly more images than others, which could lead to biased predictions favoring the majority class.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Solutions Implemented: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Class Weight Calculation: To address class imbalance, class weights were calculated based on the frequency of each class in the dataset. This adjustment helped ensure that the loss function during training gave appropriate importance to the minority classes, effectively reducing bias in predictions.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Computing Class Weights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Calculating appropriate class weights required careful consideration of the dataset's distribution. Incorrect weight calculations could lead to further imbalances in the model's predictions.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Class Indices Establishment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Establishing clear class indices was another challenge, particularly when dealing with a multi-class classification problem. The mapping of class names to indices needed to be precise to avoid misinterpretations during model evaluation and inference.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Solutions Implemented: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Class Mapping: A mapping of class names to indices was created, providing a structured approach for the model to understand which predictions corresponded to which classes.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 Data Augmentation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Selecting the right types and levels of augmentation was challenging. Over-augmentation could lead to unrealistic images that do not represent actual cases.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Solutions Implemented: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Careful Selection of Techniques: A balanced approach was taken to select augmentation techniques that provided realistic variations while preserving the underlying characteristics of the images.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5. Computational Resources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Training deep learning models, particularly with architectures like VGG16 and ResNet, required significant computational resources. Limited computational power could lead to longer training times and hinder experimentation with various configurations.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Solutions Implemented: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Utilization of High-Performance GPUs: Access to high-performance GPU resources was secured to enable efficient model training.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Conclusion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Brain Tumor Detection Image Classification project successfully demonstrated the efficacy of deep learning techniques in medical image classification. The VGG16 model achieved the highest accuracy of 96%, making it a promising tool for assisting in the early detection of brain tumors. Despite challenges related to class imbalance and resource limitations, strategic approaches were implemented to enhance model performance and reliability.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