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Planning Logic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Details</w:t>
      </w:r>
    </w:p>
    <w:p>
      <w:r>
        <w:t>Project Title: Script-Controlled ACL – Restrict Record Access Based on Field Value</w:t>
      </w:r>
    </w:p>
    <w:p>
      <w:r>
        <w:t>Project Area: ServiceNow Administrator – Incident Access Control</w:t>
      </w:r>
    </w:p>
    <w:p>
      <w:pPr>
        <w:pStyle w:val="Heading1"/>
      </w:pPr>
      <w:r>
        <w:t>Project Content</w:t>
      </w:r>
    </w:p>
    <w:p>
      <w:pPr>
        <w:pStyle w:val="ListBullet"/>
      </w:pPr>
      <w:r>
        <w:t>1. Identify the Incident field that controls access.</w:t>
      </w:r>
    </w:p>
    <w:p>
      <w:pPr>
        <w:pStyle w:val="ListBullet"/>
      </w:pPr>
      <w:r>
        <w:t>2. Define authorized and unauthorized cases.</w:t>
      </w:r>
    </w:p>
    <w:p>
      <w:pPr>
        <w:pStyle w:val="ListBullet"/>
      </w:pPr>
      <w:r>
        <w:t>3. Select the Incident ACL operation to protect.</w:t>
      </w:r>
    </w:p>
    <w:p>
      <w:pPr>
        <w:pStyle w:val="ListBullet"/>
      </w:pPr>
      <w:r>
        <w:t>4. Configure the ACL and script.</w:t>
      </w:r>
    </w:p>
    <w:p>
      <w:pPr>
        <w:pStyle w:val="ListBullet"/>
      </w:pPr>
      <w:r>
        <w:t>5. Test positive and negative cases.</w:t>
      </w:r>
    </w:p>
    <w:p>
      <w:pPr>
        <w:pStyle w:val="ListBullet"/>
      </w:pPr>
      <w:r>
        <w:t>Decision logic: If the required authorization and permitted field value are satisfied → Allow. Otherwise → Deny.</w:t>
      </w:r>
    </w:p>
    <w:p>
      <w:pPr>
        <w:pStyle w:val="ListBullet"/>
      </w:pPr>
      <w:r>
        <w:t>Document the final configuration and test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