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Problem Solution Fit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Problem: Incident access may need to depend on information stored in the record.</w:t>
      </w:r>
    </w:p>
    <w:p>
      <w:pPr>
        <w:pStyle w:val="ListBullet"/>
      </w:pPr>
      <w:r>
        <w:t>Target users: ServiceNow administrators and authorized Incident users.</w:t>
      </w:r>
    </w:p>
    <w:p>
      <w:pPr>
        <w:pStyle w:val="ListBullet"/>
      </w:pPr>
      <w:r>
        <w:t>Solution: A Script-Controlled ACL evaluates the selected Incident field and authorization conditions before allowing the protected operation.</w:t>
      </w:r>
    </w:p>
    <w:p>
      <w:pPr>
        <w:pStyle w:val="ListBullet"/>
      </w:pPr>
      <w:r>
        <w:t>Fit: Field-dependent restriction is addressed by script evaluation; unauthorized access is denied; enforcement occurs through the ACL; behavior can be validated with test cases.</w:t>
      </w:r>
    </w:p>
    <w:p>
      <w:pPr>
        <w:pStyle w:val="ListBullet"/>
      </w:pPr>
      <w:r>
        <w:t>Success indicator: The ACL consistently produces the expected allow/deny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