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Project Documentation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Overview: This project demonstrates field-dependent access control on ServiceNow Incident records using a Script-Controlled ACL.</w:t>
      </w:r>
    </w:p>
    <w:p>
      <w:pPr>
        <w:pStyle w:val="ListBullet"/>
      </w:pPr>
      <w:r>
        <w:t>Objective: Provide controlled access to a protected Incident operation.</w:t>
      </w:r>
    </w:p>
    <w:p>
      <w:pPr>
        <w:pStyle w:val="ListBullet"/>
      </w:pPr>
      <w:r>
        <w:t>Scope: Incident ACL configuration, field-value authorization, scripting, testing, and documentation.</w:t>
      </w:r>
    </w:p>
    <w:p>
      <w:pPr>
        <w:pStyle w:val="ListBullet"/>
      </w:pPr>
      <w:r>
        <w:t>Components: Incident table, ACL, ACL script, user/role authorization, record field.</w:t>
      </w:r>
    </w:p>
    <w:p>
      <w:pPr>
        <w:pStyle w:val="ListBullet"/>
      </w:pPr>
      <w:r>
        <w:t>Expected benefit: More targeted access control and consistent enforcement of the defined security rule.</w:t>
      </w:r>
    </w:p>
    <w:p>
      <w:pPr>
        <w:pStyle w:val="ListBullet"/>
      </w:pPr>
      <w:r>
        <w:t>Conclusion: The project demonstrates a practical approach for restricting Incident access according to a record field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