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Proposed Solution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Configure a Script-Controlled ACL on the Incident table.</w:t>
      </w:r>
    </w:p>
    <w:p>
      <w:pPr>
        <w:pStyle w:val="ListBullet"/>
      </w:pPr>
      <w:r>
        <w:t>Flow: User attempts operation → ServiceNow evaluates ACL → script checks field value and authorization → true allows access / false denies access.</w:t>
      </w:r>
    </w:p>
    <w:p>
      <w:pPr>
        <w:pStyle w:val="ListBullet"/>
      </w:pPr>
      <w:r>
        <w:t>Configuration elements: Incident table; required ACL operation; conditions/role as applicable; script; authorized and unauthorized test cases.</w:t>
      </w:r>
    </w:p>
    <w:p>
      <w:pPr>
        <w:pStyle w:val="ListBullet"/>
      </w:pPr>
      <w:r>
        <w:t>Expected outcome: The defined field-dependent access rule is consistently enforced.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