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EMPATHY MAP CANVAS</w:t>
      </w:r>
    </w:p>
    <w:p>
      <w:pPr>
        <w:jc w:val="center"/>
      </w:pPr>
      <w:r>
        <w:rPr>
          <w:i/>
          <w:sz w:val="22"/>
        </w:rPr>
        <w:t>Script-Controlled ACL – Restrict Record Access Based on Field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/>
                <w:sz w:val="20"/>
              </w:rPr>
              <w:t>Project Context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Think &amp; Feel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Needs Incident information to be available to authorized users while restricted records remain protected.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See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Incident forms, list views, roles, Incident field values and different access outcomes.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Hear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Business requirements about confidentiality, least privilege and controlled Incident access.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Say &amp; 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Open, read, update and manage Incident records according to assigned responsibilities.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Pain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Overly broad access, manual checking, inconsistent security rules and accidental exposure of restricted records.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Gain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A predictable, centrally configured access decision based on record data and authorization.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Script-Controlled ACL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