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SOLUTION REQUIREMENTS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p>
      <w:pPr>
        <w:pStyle w:val="Heading1"/>
      </w:pPr>
      <w:r>
        <w:t>1. Functional Requirements</w:t>
      </w:r>
    </w:p>
    <w:p>
      <w:pPr>
        <w:pStyle w:val="ListBullet"/>
      </w:pPr>
      <w:r>
        <w:t>FR-01: The system shall provide an ACL for the Incident table.</w:t>
      </w:r>
    </w:p>
    <w:p>
      <w:pPr>
        <w:pStyle w:val="ListBullet"/>
      </w:pPr>
      <w:r>
        <w:t>FR-02: The ACL shall evaluate the configured Incident field value.</w:t>
      </w:r>
    </w:p>
    <w:p>
      <w:pPr>
        <w:pStyle w:val="ListBullet"/>
      </w:pPr>
      <w:r>
        <w:t>FR-03: The ACL script shall return an allow/deny decision.</w:t>
      </w:r>
    </w:p>
    <w:p>
      <w:pPr>
        <w:pStyle w:val="ListBullet"/>
      </w:pPr>
      <w:r>
        <w:t>FR-04: Authorized access shall be permitted when the configured condition is satisfied.</w:t>
      </w:r>
    </w:p>
    <w:p>
      <w:pPr>
        <w:pStyle w:val="ListBullet"/>
      </w:pPr>
      <w:r>
        <w:t>FR-05: Unauthorized access shall be denied when the configured condition is not satisfied.</w:t>
      </w:r>
    </w:p>
    <w:p>
      <w:pPr>
        <w:pStyle w:val="ListBullet"/>
      </w:pPr>
      <w:r>
        <w:t>FR-06: The rule shall be testable using multiple Incident records and field values.</w:t>
      </w:r>
    </w:p>
    <w:p>
      <w:pPr>
        <w:pStyle w:val="ListBullet"/>
      </w:pPr>
      <w:r>
        <w:t>FR-07: Separate ACLs may be configured for Read, Write, Create or Delete operations when required.</w:t>
      </w:r>
    </w:p>
    <w:p>
      <w:pPr>
        <w:pStyle w:val="Heading1"/>
      </w:pPr>
      <w:r>
        <w:t>2.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Security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Follow the principle of least privilege.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Maintainability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Keep the script simple, readable and documented.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Reliability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Produce predictable access decisions for the same inputs.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Performance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Avoid unnecessary database queries inside ACL scripts.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Usability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Provide a predictable access experience for authorized users.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Auditability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Make configuration changes traceable through normal ServiceNow administration.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