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2FA0" w:rsidRPr="00382FA0" w:rsidRDefault="00382FA0" w:rsidP="00382FA0">
      <w:pPr>
        <w:spacing w:before="100" w:beforeAutospacing="1" w:after="270" w:line="300" w:lineRule="atLeast"/>
        <w:rPr>
          <w:rFonts w:ascii="Arial" w:eastAsia="Times New Roman" w:hAnsi="Arial" w:cs="Arial"/>
          <w:color w:val="1A1C1E"/>
          <w:sz w:val="21"/>
          <w:szCs w:val="21"/>
        </w:rPr>
      </w:pPr>
      <w:r w:rsidRPr="00382FA0">
        <w:rPr>
          <w:rFonts w:ascii="Arial" w:eastAsia="Times New Roman" w:hAnsi="Arial" w:cs="Arial"/>
          <w:b/>
          <w:bCs/>
          <w:color w:val="1A1C1E"/>
          <w:sz w:val="21"/>
          <w:szCs w:val="21"/>
        </w:rPr>
        <w:t>Decision Number:</w:t>
      </w:r>
      <w:r w:rsidRPr="00382FA0">
        <w:rPr>
          <w:rFonts w:ascii="Arial" w:eastAsia="Times New Roman" w:hAnsi="Arial" w:cs="Arial"/>
          <w:color w:val="1A1C1E"/>
          <w:sz w:val="21"/>
          <w:szCs w:val="21"/>
        </w:rPr>
        <w:t> 10725</w:t>
      </w:r>
    </w:p>
    <w:p w:rsidR="00382FA0" w:rsidRPr="00382FA0" w:rsidRDefault="00382FA0" w:rsidP="00382FA0">
      <w:pPr>
        <w:spacing w:before="100" w:beforeAutospacing="1" w:after="270" w:line="300" w:lineRule="atLeast"/>
        <w:rPr>
          <w:rFonts w:ascii="Arial" w:eastAsia="Times New Roman" w:hAnsi="Arial" w:cs="Arial"/>
          <w:color w:val="1A1C1E"/>
          <w:sz w:val="21"/>
          <w:szCs w:val="21"/>
        </w:rPr>
      </w:pPr>
      <w:r w:rsidRPr="00382FA0">
        <w:rPr>
          <w:rFonts w:ascii="Arial" w:eastAsia="Times New Roman" w:hAnsi="Arial" w:cs="Arial"/>
          <w:b/>
          <w:bCs/>
          <w:color w:val="1A1C1E"/>
          <w:sz w:val="21"/>
          <w:szCs w:val="21"/>
        </w:rPr>
        <w:t>Decision Date:</w:t>
      </w:r>
      <w:r w:rsidRPr="00382FA0">
        <w:rPr>
          <w:rFonts w:ascii="Arial" w:eastAsia="Times New Roman" w:hAnsi="Arial" w:cs="Arial"/>
          <w:color w:val="1A1C1E"/>
          <w:sz w:val="21"/>
          <w:szCs w:val="21"/>
        </w:rPr>
        <w:t> 2077/04/16 B.S. (31/07/2020 A.D.)</w:t>
      </w:r>
    </w:p>
    <w:p w:rsidR="00382FA0" w:rsidRPr="00382FA0" w:rsidRDefault="00382FA0" w:rsidP="00382FA0">
      <w:pPr>
        <w:spacing w:before="100" w:beforeAutospacing="1" w:after="270" w:line="300" w:lineRule="atLeast"/>
        <w:rPr>
          <w:rFonts w:ascii="Arial" w:eastAsia="Times New Roman" w:hAnsi="Arial" w:cs="Arial"/>
          <w:color w:val="1A1C1E"/>
          <w:sz w:val="21"/>
          <w:szCs w:val="21"/>
        </w:rPr>
      </w:pPr>
      <w:r w:rsidRPr="00382FA0">
        <w:rPr>
          <w:rFonts w:ascii="Arial" w:eastAsia="Times New Roman" w:hAnsi="Arial" w:cs="Arial"/>
          <w:b/>
          <w:bCs/>
          <w:color w:val="1A1C1E"/>
          <w:sz w:val="21"/>
          <w:szCs w:val="21"/>
        </w:rPr>
        <w:t>Final Decision:</w:t>
      </w:r>
      <w:r w:rsidRPr="00382FA0">
        <w:rPr>
          <w:rFonts w:ascii="Arial" w:eastAsia="Times New Roman" w:hAnsi="Arial" w:cs="Arial"/>
          <w:color w:val="1A1C1E"/>
          <w:sz w:val="21"/>
          <w:szCs w:val="21"/>
        </w:rPr>
        <w:t> Supreme Court of Nepal, Joint Bench</w:t>
      </w:r>
    </w:p>
    <w:p w:rsidR="00382FA0" w:rsidRPr="00382FA0" w:rsidRDefault="00382FA0" w:rsidP="00382FA0">
      <w:pPr>
        <w:spacing w:before="100" w:beforeAutospacing="1" w:after="270" w:line="300" w:lineRule="atLeast"/>
        <w:rPr>
          <w:rFonts w:ascii="Arial" w:eastAsia="Times New Roman" w:hAnsi="Arial" w:cs="Arial"/>
          <w:color w:val="1A1C1E"/>
          <w:sz w:val="21"/>
          <w:szCs w:val="21"/>
        </w:rPr>
      </w:pPr>
      <w:r w:rsidRPr="00382FA0">
        <w:rPr>
          <w:rFonts w:ascii="Arial" w:eastAsia="Times New Roman" w:hAnsi="Arial" w:cs="Arial"/>
          <w:b/>
          <w:bCs/>
          <w:color w:val="1A1C1E"/>
          <w:sz w:val="21"/>
          <w:szCs w:val="21"/>
        </w:rPr>
        <w:t>Pre-Decisions:</w:t>
      </w:r>
      <w:r w:rsidRPr="00382FA0">
        <w:rPr>
          <w:rFonts w:ascii="Arial" w:eastAsia="Times New Roman" w:hAnsi="Arial" w:cs="Arial"/>
          <w:color w:val="1A1C1E"/>
          <w:sz w:val="21"/>
          <w:szCs w:val="21"/>
        </w:rPr>
        <w:t xml:space="preserve"> Appellate Court, </w:t>
      </w:r>
      <w:proofErr w:type="spellStart"/>
      <w:r w:rsidRPr="00382FA0">
        <w:rPr>
          <w:rFonts w:ascii="Arial" w:eastAsia="Times New Roman" w:hAnsi="Arial" w:cs="Arial"/>
          <w:color w:val="1A1C1E"/>
          <w:sz w:val="21"/>
          <w:szCs w:val="21"/>
        </w:rPr>
        <w:t>Tulsipur</w:t>
      </w:r>
      <w:proofErr w:type="spellEnd"/>
    </w:p>
    <w:p w:rsidR="00382FA0" w:rsidRPr="00382FA0" w:rsidRDefault="00382FA0" w:rsidP="00382FA0">
      <w:pPr>
        <w:spacing w:before="100" w:beforeAutospacing="1" w:after="270" w:line="300" w:lineRule="atLeast"/>
        <w:rPr>
          <w:rFonts w:ascii="Arial" w:eastAsia="Times New Roman" w:hAnsi="Arial" w:cs="Arial"/>
          <w:color w:val="1A1C1E"/>
          <w:sz w:val="21"/>
          <w:szCs w:val="21"/>
        </w:rPr>
      </w:pPr>
      <w:r w:rsidRPr="00382FA0">
        <w:rPr>
          <w:rFonts w:ascii="Arial" w:eastAsia="Times New Roman" w:hAnsi="Arial" w:cs="Arial"/>
          <w:b/>
          <w:bCs/>
          <w:color w:val="1A1C1E"/>
          <w:sz w:val="21"/>
          <w:szCs w:val="21"/>
        </w:rPr>
        <w:t>Petitioner:</w:t>
      </w:r>
      <w:r w:rsidRPr="00382FA0">
        <w:rPr>
          <w:rFonts w:ascii="Arial" w:eastAsia="Times New Roman" w:hAnsi="Arial" w:cs="Arial"/>
          <w:color w:val="1A1C1E"/>
          <w:sz w:val="21"/>
          <w:szCs w:val="21"/>
        </w:rPr>
        <w:t> District Development Committee, Dang, et al.</w:t>
      </w:r>
    </w:p>
    <w:p w:rsidR="00382FA0" w:rsidRPr="00382FA0" w:rsidRDefault="00382FA0" w:rsidP="00382FA0">
      <w:pPr>
        <w:spacing w:before="100" w:beforeAutospacing="1" w:after="270" w:line="300" w:lineRule="atLeast"/>
        <w:rPr>
          <w:rFonts w:ascii="Arial" w:eastAsia="Times New Roman" w:hAnsi="Arial" w:cs="Arial"/>
          <w:color w:val="1A1C1E"/>
          <w:sz w:val="21"/>
          <w:szCs w:val="21"/>
        </w:rPr>
      </w:pPr>
      <w:r w:rsidRPr="00382FA0">
        <w:rPr>
          <w:rFonts w:ascii="Arial" w:eastAsia="Times New Roman" w:hAnsi="Arial" w:cs="Arial"/>
          <w:b/>
          <w:bCs/>
          <w:color w:val="1A1C1E"/>
          <w:sz w:val="21"/>
          <w:szCs w:val="21"/>
        </w:rPr>
        <w:t>Respondent:</w:t>
      </w:r>
      <w:r w:rsidRPr="00382FA0">
        <w:rPr>
          <w:rFonts w:ascii="Arial" w:eastAsia="Times New Roman" w:hAnsi="Arial" w:cs="Arial"/>
          <w:color w:val="1A1C1E"/>
          <w:sz w:val="21"/>
          <w:szCs w:val="21"/>
        </w:rPr>
        <w:t> </w:t>
      </w:r>
      <w:proofErr w:type="spellStart"/>
      <w:r w:rsidRPr="00382FA0">
        <w:rPr>
          <w:rFonts w:ascii="Arial" w:eastAsia="Times New Roman" w:hAnsi="Arial" w:cs="Arial"/>
          <w:color w:val="1A1C1E"/>
          <w:sz w:val="21"/>
          <w:szCs w:val="21"/>
        </w:rPr>
        <w:t>Dilli</w:t>
      </w:r>
      <w:proofErr w:type="spellEnd"/>
      <w:r w:rsidRPr="00382FA0">
        <w:rPr>
          <w:rFonts w:ascii="Arial" w:eastAsia="Times New Roman" w:hAnsi="Arial" w:cs="Arial"/>
          <w:color w:val="1A1C1E"/>
          <w:sz w:val="21"/>
          <w:szCs w:val="21"/>
        </w:rPr>
        <w:t xml:space="preserve"> Bahadur </w:t>
      </w:r>
      <w:proofErr w:type="spellStart"/>
      <w:r w:rsidRPr="00382FA0">
        <w:rPr>
          <w:rFonts w:ascii="Arial" w:eastAsia="Times New Roman" w:hAnsi="Arial" w:cs="Arial"/>
          <w:color w:val="1A1C1E"/>
          <w:sz w:val="21"/>
          <w:szCs w:val="21"/>
        </w:rPr>
        <w:t>Dangi</w:t>
      </w:r>
      <w:proofErr w:type="spellEnd"/>
      <w:r w:rsidRPr="00382FA0">
        <w:rPr>
          <w:rFonts w:ascii="Arial" w:eastAsia="Times New Roman" w:hAnsi="Arial" w:cs="Arial"/>
          <w:color w:val="1A1C1E"/>
          <w:sz w:val="21"/>
          <w:szCs w:val="21"/>
        </w:rPr>
        <w:t xml:space="preserve"> (Proprietor, </w:t>
      </w:r>
      <w:proofErr w:type="spellStart"/>
      <w:r w:rsidRPr="00382FA0">
        <w:rPr>
          <w:rFonts w:ascii="Arial" w:eastAsia="Times New Roman" w:hAnsi="Arial" w:cs="Arial"/>
          <w:color w:val="1A1C1E"/>
          <w:sz w:val="21"/>
          <w:szCs w:val="21"/>
        </w:rPr>
        <w:t>Shubh</w:t>
      </w:r>
      <w:proofErr w:type="spellEnd"/>
      <w:r w:rsidRPr="00382FA0">
        <w:rPr>
          <w:rFonts w:ascii="Arial" w:eastAsia="Times New Roman" w:hAnsi="Arial" w:cs="Arial"/>
          <w:color w:val="1A1C1E"/>
          <w:sz w:val="21"/>
          <w:szCs w:val="21"/>
        </w:rPr>
        <w:t xml:space="preserve"> Sandesh Poultry Farm and Hatchery), et al.</w:t>
      </w:r>
    </w:p>
    <w:p w:rsidR="00382FA0" w:rsidRPr="00382FA0" w:rsidRDefault="00382FA0" w:rsidP="00382FA0">
      <w:pPr>
        <w:spacing w:before="100" w:beforeAutospacing="1" w:after="270" w:line="300" w:lineRule="atLeast"/>
        <w:rPr>
          <w:rFonts w:ascii="Arial" w:eastAsia="Times New Roman" w:hAnsi="Arial" w:cs="Arial"/>
          <w:color w:val="1A1C1E"/>
          <w:sz w:val="21"/>
          <w:szCs w:val="21"/>
        </w:rPr>
      </w:pPr>
      <w:r w:rsidRPr="00382FA0">
        <w:rPr>
          <w:rFonts w:ascii="Arial" w:eastAsia="Times New Roman" w:hAnsi="Arial" w:cs="Arial"/>
          <w:b/>
          <w:bCs/>
          <w:color w:val="1A1C1E"/>
          <w:sz w:val="21"/>
          <w:szCs w:val="21"/>
        </w:rPr>
        <w:t>Key Words:</w:t>
      </w:r>
      <w:r w:rsidRPr="00382FA0">
        <w:rPr>
          <w:rFonts w:ascii="Arial" w:eastAsia="Times New Roman" w:hAnsi="Arial" w:cs="Arial"/>
          <w:color w:val="1A1C1E"/>
          <w:sz w:val="21"/>
          <w:szCs w:val="21"/>
        </w:rPr>
        <w:t> Taxation, Local Governance, Statutory Interpretation, Jurisdiction, Export Tax, Certiorari, Local Self-Governance Act, 2055 B.S.</w:t>
      </w:r>
    </w:p>
    <w:p w:rsidR="00382FA0" w:rsidRPr="00382FA0" w:rsidRDefault="00382FA0" w:rsidP="00382FA0">
      <w:pPr>
        <w:spacing w:before="100" w:beforeAutospacing="1" w:after="270" w:line="300" w:lineRule="atLeast"/>
        <w:rPr>
          <w:rFonts w:ascii="Arial" w:eastAsia="Times New Roman" w:hAnsi="Arial" w:cs="Arial"/>
          <w:color w:val="1A1C1E"/>
          <w:sz w:val="21"/>
          <w:szCs w:val="21"/>
        </w:rPr>
      </w:pPr>
      <w:r w:rsidRPr="00382FA0">
        <w:rPr>
          <w:rFonts w:ascii="Arial" w:eastAsia="Times New Roman" w:hAnsi="Arial" w:cs="Arial"/>
          <w:b/>
          <w:bCs/>
          <w:color w:val="1A1C1E"/>
          <w:sz w:val="21"/>
          <w:szCs w:val="21"/>
        </w:rPr>
        <w:t>Key Points:</w:t>
      </w:r>
    </w:p>
    <w:p w:rsidR="00382FA0" w:rsidRPr="00382FA0" w:rsidRDefault="00382FA0" w:rsidP="00382FA0">
      <w:pPr>
        <w:numPr>
          <w:ilvl w:val="0"/>
          <w:numId w:val="1"/>
        </w:numPr>
        <w:spacing w:after="45" w:line="300" w:lineRule="atLeast"/>
        <w:rPr>
          <w:rFonts w:ascii="Arial" w:eastAsia="Times New Roman" w:hAnsi="Arial" w:cs="Arial"/>
          <w:color w:val="1A1C1E"/>
          <w:sz w:val="21"/>
          <w:szCs w:val="21"/>
        </w:rPr>
      </w:pPr>
      <w:r w:rsidRPr="00382FA0">
        <w:rPr>
          <w:rFonts w:ascii="Arial" w:eastAsia="Times New Roman" w:hAnsi="Arial" w:cs="Arial"/>
          <w:color w:val="1A1C1E"/>
          <w:sz w:val="21"/>
          <w:szCs w:val="21"/>
        </w:rPr>
        <w:t>The constitutional principle that no tax shall be levied or collected except in accordance with the law means that citizens bear no tax liability in the absence of clear legal authority.</w:t>
      </w:r>
    </w:p>
    <w:p w:rsidR="00382FA0" w:rsidRPr="00382FA0" w:rsidRDefault="00382FA0" w:rsidP="00382FA0">
      <w:pPr>
        <w:numPr>
          <w:ilvl w:val="0"/>
          <w:numId w:val="1"/>
        </w:numPr>
        <w:spacing w:after="45" w:line="300" w:lineRule="atLeast"/>
        <w:rPr>
          <w:rFonts w:ascii="Arial" w:eastAsia="Times New Roman" w:hAnsi="Arial" w:cs="Arial"/>
          <w:color w:val="1A1C1E"/>
          <w:sz w:val="21"/>
          <w:szCs w:val="21"/>
        </w:rPr>
      </w:pPr>
      <w:r w:rsidRPr="00382FA0">
        <w:rPr>
          <w:rFonts w:ascii="Arial" w:eastAsia="Times New Roman" w:hAnsi="Arial" w:cs="Arial"/>
          <w:color w:val="1A1C1E"/>
          <w:sz w:val="21"/>
          <w:szCs w:val="21"/>
        </w:rPr>
        <w:t>For a tax to be validly collected, it must meet four conditions: (a) a specific law authorizing the tax must exist, (b) the item or service being taxed must be explicitly covered by that law, (c) the procedure for collecting the tax must be defined in the law, and (d) that prescribed procedure must be followed.</w:t>
      </w:r>
    </w:p>
    <w:p w:rsidR="00382FA0" w:rsidRPr="00382FA0" w:rsidRDefault="00382FA0" w:rsidP="00382FA0">
      <w:pPr>
        <w:numPr>
          <w:ilvl w:val="0"/>
          <w:numId w:val="1"/>
        </w:numPr>
        <w:spacing w:after="45" w:line="300" w:lineRule="atLeast"/>
        <w:rPr>
          <w:rFonts w:ascii="Arial" w:eastAsia="Times New Roman" w:hAnsi="Arial" w:cs="Arial"/>
          <w:color w:val="1A1C1E"/>
          <w:sz w:val="21"/>
          <w:szCs w:val="21"/>
        </w:rPr>
      </w:pPr>
      <w:r w:rsidRPr="00382FA0">
        <w:rPr>
          <w:rFonts w:ascii="Arial" w:eastAsia="Times New Roman" w:hAnsi="Arial" w:cs="Arial"/>
          <w:color w:val="1A1C1E"/>
          <w:sz w:val="21"/>
          <w:szCs w:val="21"/>
        </w:rPr>
        <w:t>The principle of "No taxation without representation" and the jurisprudential standard that tax laws should be interpreted in favor of the taxpayer require government bodies to exercise special caution when imposing taxes.</w:t>
      </w:r>
    </w:p>
    <w:p w:rsidR="00382FA0" w:rsidRPr="00382FA0" w:rsidRDefault="00382FA0" w:rsidP="00382FA0">
      <w:pPr>
        <w:numPr>
          <w:ilvl w:val="0"/>
          <w:numId w:val="1"/>
        </w:numPr>
        <w:spacing w:after="45" w:line="300" w:lineRule="atLeast"/>
        <w:rPr>
          <w:rFonts w:ascii="Arial" w:eastAsia="Times New Roman" w:hAnsi="Arial" w:cs="Arial"/>
          <w:color w:val="1A1C1E"/>
          <w:sz w:val="21"/>
          <w:szCs w:val="21"/>
        </w:rPr>
      </w:pPr>
      <w:r w:rsidRPr="00382FA0">
        <w:rPr>
          <w:rFonts w:ascii="Arial" w:eastAsia="Times New Roman" w:hAnsi="Arial" w:cs="Arial"/>
          <w:color w:val="1A1C1E"/>
          <w:sz w:val="21"/>
          <w:szCs w:val="21"/>
        </w:rPr>
        <w:t>Elected representatives and local bodies must conduct a thorough study of the constitution and laws before creating financial liabilities for their constituents.</w:t>
      </w:r>
    </w:p>
    <w:p w:rsidR="00382FA0" w:rsidRPr="00382FA0" w:rsidRDefault="00382FA0" w:rsidP="00382FA0">
      <w:pPr>
        <w:numPr>
          <w:ilvl w:val="0"/>
          <w:numId w:val="1"/>
        </w:numPr>
        <w:spacing w:after="45" w:line="300" w:lineRule="atLeast"/>
        <w:rPr>
          <w:rFonts w:ascii="Arial" w:eastAsia="Times New Roman" w:hAnsi="Arial" w:cs="Arial"/>
          <w:color w:val="1A1C1E"/>
          <w:sz w:val="21"/>
          <w:szCs w:val="21"/>
        </w:rPr>
      </w:pPr>
      <w:r w:rsidRPr="00382FA0">
        <w:rPr>
          <w:rFonts w:ascii="Arial" w:eastAsia="Times New Roman" w:hAnsi="Arial" w:cs="Arial"/>
          <w:color w:val="1A1C1E"/>
          <w:sz w:val="21"/>
          <w:szCs w:val="21"/>
        </w:rPr>
        <w:t>Public authorities must not use their power to gain an unfair advantage, and a fraudulent or abusive interpretation of the law to impose unauthorized taxes is legally unacceptable.</w:t>
      </w:r>
    </w:p>
    <w:p w:rsidR="00382FA0" w:rsidRPr="00382FA0" w:rsidRDefault="00382FA0" w:rsidP="00382FA0">
      <w:pPr>
        <w:spacing w:before="100" w:beforeAutospacing="1" w:after="270" w:line="300" w:lineRule="atLeast"/>
        <w:rPr>
          <w:rFonts w:ascii="Arial" w:eastAsia="Times New Roman" w:hAnsi="Arial" w:cs="Arial"/>
          <w:color w:val="1A1C1E"/>
          <w:sz w:val="21"/>
          <w:szCs w:val="21"/>
        </w:rPr>
      </w:pPr>
      <w:r w:rsidRPr="00382FA0">
        <w:rPr>
          <w:rFonts w:ascii="Arial" w:eastAsia="Times New Roman" w:hAnsi="Arial" w:cs="Arial"/>
          <w:b/>
          <w:bCs/>
          <w:color w:val="1A1C1E"/>
          <w:sz w:val="21"/>
          <w:szCs w:val="21"/>
        </w:rPr>
        <w:t>Facts of the Case</w:t>
      </w:r>
    </w:p>
    <w:p w:rsidR="00382FA0" w:rsidRPr="00382FA0" w:rsidRDefault="00382FA0" w:rsidP="00382FA0">
      <w:pPr>
        <w:numPr>
          <w:ilvl w:val="0"/>
          <w:numId w:val="2"/>
        </w:numPr>
        <w:spacing w:after="45" w:line="300" w:lineRule="atLeast"/>
        <w:rPr>
          <w:rFonts w:ascii="Arial" w:eastAsia="Times New Roman" w:hAnsi="Arial" w:cs="Arial"/>
          <w:color w:val="1A1C1E"/>
          <w:sz w:val="21"/>
          <w:szCs w:val="21"/>
        </w:rPr>
      </w:pPr>
      <w:r w:rsidRPr="00382FA0">
        <w:rPr>
          <w:rFonts w:ascii="Arial" w:eastAsia="Times New Roman" w:hAnsi="Arial" w:cs="Arial"/>
          <w:color w:val="1A1C1E"/>
          <w:sz w:val="21"/>
          <w:szCs w:val="21"/>
        </w:rPr>
        <w:t>The respondents are legally registered poultry farmers operating various farms and hatcheries in the Dang district.</w:t>
      </w:r>
    </w:p>
    <w:p w:rsidR="00382FA0" w:rsidRPr="00382FA0" w:rsidRDefault="00382FA0" w:rsidP="00382FA0">
      <w:pPr>
        <w:numPr>
          <w:ilvl w:val="0"/>
          <w:numId w:val="2"/>
        </w:numPr>
        <w:spacing w:after="45" w:line="300" w:lineRule="atLeast"/>
        <w:rPr>
          <w:rFonts w:ascii="Arial" w:eastAsia="Times New Roman" w:hAnsi="Arial" w:cs="Arial"/>
          <w:color w:val="1A1C1E"/>
          <w:sz w:val="21"/>
          <w:szCs w:val="21"/>
        </w:rPr>
      </w:pPr>
      <w:r w:rsidRPr="00382FA0">
        <w:rPr>
          <w:rFonts w:ascii="Arial" w:eastAsia="Times New Roman" w:hAnsi="Arial" w:cs="Arial"/>
          <w:color w:val="1A1C1E"/>
          <w:sz w:val="21"/>
          <w:szCs w:val="21"/>
        </w:rPr>
        <w:t>On 2072/02/26 B.S., the District Development Committee (DDC) of Dang published a tender notice for the fiscal year 2072/073 to award a contract for the collection of various taxes.</w:t>
      </w:r>
    </w:p>
    <w:p w:rsidR="00382FA0" w:rsidRPr="00382FA0" w:rsidRDefault="00382FA0" w:rsidP="00382FA0">
      <w:pPr>
        <w:numPr>
          <w:ilvl w:val="0"/>
          <w:numId w:val="2"/>
        </w:numPr>
        <w:spacing w:after="45" w:line="300" w:lineRule="atLeast"/>
        <w:rPr>
          <w:rFonts w:ascii="Arial" w:eastAsia="Times New Roman" w:hAnsi="Arial" w:cs="Arial"/>
          <w:color w:val="1A1C1E"/>
          <w:sz w:val="21"/>
          <w:szCs w:val="21"/>
        </w:rPr>
      </w:pPr>
      <w:r w:rsidRPr="00382FA0">
        <w:rPr>
          <w:rFonts w:ascii="Arial" w:eastAsia="Times New Roman" w:hAnsi="Arial" w:cs="Arial"/>
          <w:color w:val="1A1C1E"/>
          <w:sz w:val="21"/>
          <w:szCs w:val="21"/>
        </w:rPr>
        <w:t>The tender included a new export/exit tax on live chickens, chicks, eggs, and chicken feed produced within and exported from the district.</w:t>
      </w:r>
    </w:p>
    <w:p w:rsidR="00382FA0" w:rsidRPr="00382FA0" w:rsidRDefault="00382FA0" w:rsidP="00382FA0">
      <w:pPr>
        <w:numPr>
          <w:ilvl w:val="0"/>
          <w:numId w:val="2"/>
        </w:numPr>
        <w:spacing w:after="45" w:line="300" w:lineRule="atLeast"/>
        <w:rPr>
          <w:rFonts w:ascii="Arial" w:eastAsia="Times New Roman" w:hAnsi="Arial" w:cs="Arial"/>
          <w:color w:val="1A1C1E"/>
          <w:sz w:val="21"/>
          <w:szCs w:val="21"/>
        </w:rPr>
      </w:pPr>
      <w:r w:rsidRPr="00382FA0">
        <w:rPr>
          <w:rFonts w:ascii="Arial" w:eastAsia="Times New Roman" w:hAnsi="Arial" w:cs="Arial"/>
          <w:color w:val="1A1C1E"/>
          <w:sz w:val="21"/>
          <w:szCs w:val="21"/>
        </w:rPr>
        <w:t xml:space="preserve">The poultry farmers filed a writ petition of Certiorari at the Appellate Court, </w:t>
      </w:r>
      <w:proofErr w:type="spellStart"/>
      <w:r w:rsidRPr="00382FA0">
        <w:rPr>
          <w:rFonts w:ascii="Arial" w:eastAsia="Times New Roman" w:hAnsi="Arial" w:cs="Arial"/>
          <w:color w:val="1A1C1E"/>
          <w:sz w:val="21"/>
          <w:szCs w:val="21"/>
        </w:rPr>
        <w:t>Tulsipur</w:t>
      </w:r>
      <w:proofErr w:type="spellEnd"/>
      <w:r w:rsidRPr="00382FA0">
        <w:rPr>
          <w:rFonts w:ascii="Arial" w:eastAsia="Times New Roman" w:hAnsi="Arial" w:cs="Arial"/>
          <w:color w:val="1A1C1E"/>
          <w:sz w:val="21"/>
          <w:szCs w:val="21"/>
        </w:rPr>
        <w:t>, challenging the DDC's authority to levy this specific tax.</w:t>
      </w:r>
    </w:p>
    <w:p w:rsidR="00382FA0" w:rsidRPr="00382FA0" w:rsidRDefault="00382FA0" w:rsidP="00382FA0">
      <w:pPr>
        <w:numPr>
          <w:ilvl w:val="0"/>
          <w:numId w:val="2"/>
        </w:numPr>
        <w:spacing w:after="45" w:line="300" w:lineRule="atLeast"/>
        <w:rPr>
          <w:rFonts w:ascii="Arial" w:eastAsia="Times New Roman" w:hAnsi="Arial" w:cs="Arial"/>
          <w:color w:val="1A1C1E"/>
          <w:sz w:val="21"/>
          <w:szCs w:val="21"/>
        </w:rPr>
      </w:pPr>
      <w:r w:rsidRPr="00382FA0">
        <w:rPr>
          <w:rFonts w:ascii="Arial" w:eastAsia="Times New Roman" w:hAnsi="Arial" w:cs="Arial"/>
          <w:color w:val="1A1C1E"/>
          <w:sz w:val="21"/>
          <w:szCs w:val="21"/>
        </w:rPr>
        <w:lastRenderedPageBreak/>
        <w:t>On 2072/03/24 B.S., the Appellate Court issued an interim order, temporarily halting the collection of the disputed tax.</w:t>
      </w:r>
    </w:p>
    <w:p w:rsidR="00382FA0" w:rsidRPr="00382FA0" w:rsidRDefault="00382FA0" w:rsidP="00382FA0">
      <w:pPr>
        <w:numPr>
          <w:ilvl w:val="0"/>
          <w:numId w:val="2"/>
        </w:numPr>
        <w:spacing w:after="45" w:line="300" w:lineRule="atLeast"/>
        <w:rPr>
          <w:rFonts w:ascii="Arial" w:eastAsia="Times New Roman" w:hAnsi="Arial" w:cs="Arial"/>
          <w:color w:val="1A1C1E"/>
          <w:sz w:val="21"/>
          <w:szCs w:val="21"/>
        </w:rPr>
      </w:pPr>
      <w:r w:rsidRPr="00382FA0">
        <w:rPr>
          <w:rFonts w:ascii="Arial" w:eastAsia="Times New Roman" w:hAnsi="Arial" w:cs="Arial"/>
          <w:color w:val="1A1C1E"/>
          <w:sz w:val="21"/>
          <w:szCs w:val="21"/>
        </w:rPr>
        <w:t>On 2072/07/15 B.S., the Appellate Court issued a final order, quashing the tender notice to the extent that it applied to the taxation of chickens, chicks, eggs, and chicken feed.</w:t>
      </w:r>
    </w:p>
    <w:p w:rsidR="00382FA0" w:rsidRPr="00382FA0" w:rsidRDefault="00382FA0" w:rsidP="00382FA0">
      <w:pPr>
        <w:numPr>
          <w:ilvl w:val="0"/>
          <w:numId w:val="2"/>
        </w:numPr>
        <w:spacing w:after="45" w:line="300" w:lineRule="atLeast"/>
        <w:rPr>
          <w:rFonts w:ascii="Arial" w:eastAsia="Times New Roman" w:hAnsi="Arial" w:cs="Arial"/>
          <w:color w:val="1A1C1E"/>
          <w:sz w:val="21"/>
          <w:szCs w:val="21"/>
        </w:rPr>
      </w:pPr>
      <w:r w:rsidRPr="00382FA0">
        <w:rPr>
          <w:rFonts w:ascii="Arial" w:eastAsia="Times New Roman" w:hAnsi="Arial" w:cs="Arial"/>
          <w:color w:val="1A1C1E"/>
          <w:sz w:val="21"/>
          <w:szCs w:val="21"/>
        </w:rPr>
        <w:t>The petitioner, District Development Committee, Dang, appealed the Appellate Court's final decision to the Supreme Court.</w:t>
      </w:r>
    </w:p>
    <w:p w:rsidR="00382FA0" w:rsidRPr="00382FA0" w:rsidRDefault="00382FA0" w:rsidP="00382FA0">
      <w:pPr>
        <w:spacing w:before="100" w:beforeAutospacing="1" w:after="270" w:line="300" w:lineRule="atLeast"/>
        <w:rPr>
          <w:rFonts w:ascii="Arial" w:eastAsia="Times New Roman" w:hAnsi="Arial" w:cs="Arial"/>
          <w:color w:val="1A1C1E"/>
          <w:sz w:val="21"/>
          <w:szCs w:val="21"/>
        </w:rPr>
      </w:pPr>
      <w:r w:rsidRPr="00382FA0">
        <w:rPr>
          <w:rFonts w:ascii="Arial" w:eastAsia="Times New Roman" w:hAnsi="Arial" w:cs="Arial"/>
          <w:b/>
          <w:bCs/>
          <w:color w:val="1A1C1E"/>
          <w:sz w:val="21"/>
          <w:szCs w:val="21"/>
        </w:rPr>
        <w:t>Petitioner’s Arguments (District Development Committee, Dang)</w:t>
      </w:r>
    </w:p>
    <w:p w:rsidR="00382FA0" w:rsidRPr="00382FA0" w:rsidRDefault="00382FA0" w:rsidP="00382FA0">
      <w:pPr>
        <w:numPr>
          <w:ilvl w:val="0"/>
          <w:numId w:val="3"/>
        </w:numPr>
        <w:spacing w:after="45" w:line="300" w:lineRule="atLeast"/>
        <w:rPr>
          <w:rFonts w:ascii="Arial" w:eastAsia="Times New Roman" w:hAnsi="Arial" w:cs="Arial"/>
          <w:color w:val="1A1C1E"/>
          <w:sz w:val="21"/>
          <w:szCs w:val="21"/>
        </w:rPr>
      </w:pPr>
      <w:r w:rsidRPr="00382FA0">
        <w:rPr>
          <w:rFonts w:ascii="Arial" w:eastAsia="Times New Roman" w:hAnsi="Arial" w:cs="Arial"/>
          <w:color w:val="1A1C1E"/>
          <w:sz w:val="21"/>
          <w:szCs w:val="21"/>
        </w:rPr>
        <w:t>The tax rates were determined by the 23rd District Council based on recommendations from the Revenue Advisory Committee and were necessary for local development projects.</w:t>
      </w:r>
    </w:p>
    <w:p w:rsidR="00382FA0" w:rsidRPr="00382FA0" w:rsidRDefault="00382FA0" w:rsidP="00382FA0">
      <w:pPr>
        <w:numPr>
          <w:ilvl w:val="0"/>
          <w:numId w:val="3"/>
        </w:numPr>
        <w:spacing w:after="45" w:line="300" w:lineRule="atLeast"/>
        <w:rPr>
          <w:rFonts w:ascii="Arial" w:eastAsia="Times New Roman" w:hAnsi="Arial" w:cs="Arial"/>
          <w:color w:val="1A1C1E"/>
          <w:sz w:val="21"/>
          <w:szCs w:val="21"/>
        </w:rPr>
      </w:pPr>
      <w:r w:rsidRPr="00382FA0">
        <w:rPr>
          <w:rFonts w:ascii="Arial" w:eastAsia="Times New Roman" w:hAnsi="Arial" w:cs="Arial"/>
          <w:color w:val="1A1C1E"/>
          <w:sz w:val="21"/>
          <w:szCs w:val="21"/>
        </w:rPr>
        <w:t>Authority to tax is derived from the Local Self-Governance Act, 2055, and its Rules, 2056.</w:t>
      </w:r>
    </w:p>
    <w:p w:rsidR="00382FA0" w:rsidRPr="00382FA0" w:rsidRDefault="00382FA0" w:rsidP="00382FA0">
      <w:pPr>
        <w:numPr>
          <w:ilvl w:val="0"/>
          <w:numId w:val="3"/>
        </w:numPr>
        <w:spacing w:after="45" w:line="300" w:lineRule="atLeast"/>
        <w:rPr>
          <w:rFonts w:ascii="Arial" w:eastAsia="Times New Roman" w:hAnsi="Arial" w:cs="Arial"/>
          <w:color w:val="1A1C1E"/>
          <w:sz w:val="21"/>
          <w:szCs w:val="21"/>
        </w:rPr>
      </w:pPr>
      <w:r w:rsidRPr="00382FA0">
        <w:rPr>
          <w:rFonts w:ascii="Arial" w:eastAsia="Times New Roman" w:hAnsi="Arial" w:cs="Arial"/>
          <w:color w:val="1A1C1E"/>
          <w:sz w:val="21"/>
          <w:szCs w:val="21"/>
        </w:rPr>
        <w:t>The law permits taxing the "feathers" of birds like chickens (Rule 207(</w:t>
      </w:r>
      <w:proofErr w:type="spellStart"/>
      <w:proofErr w:type="gramStart"/>
      <w:r w:rsidRPr="00382FA0">
        <w:rPr>
          <w:rFonts w:ascii="Arial" w:eastAsia="Times New Roman" w:hAnsi="Arial" w:cs="Arial"/>
          <w:color w:val="1A1C1E"/>
          <w:sz w:val="21"/>
          <w:szCs w:val="21"/>
        </w:rPr>
        <w:t>gh</w:t>
      </w:r>
      <w:proofErr w:type="spellEnd"/>
      <w:proofErr w:type="gramEnd"/>
      <w:r w:rsidRPr="00382FA0">
        <w:rPr>
          <w:rFonts w:ascii="Arial" w:eastAsia="Times New Roman" w:hAnsi="Arial" w:cs="Arial"/>
          <w:color w:val="1A1C1E"/>
          <w:sz w:val="21"/>
          <w:szCs w:val="21"/>
        </w:rPr>
        <w:t>) and Schedule 23(5)). Therefore, by extension, a tax can be levied on the whole chicken and chick.</w:t>
      </w:r>
    </w:p>
    <w:p w:rsidR="00382FA0" w:rsidRPr="00382FA0" w:rsidRDefault="00382FA0" w:rsidP="00382FA0">
      <w:pPr>
        <w:numPr>
          <w:ilvl w:val="0"/>
          <w:numId w:val="3"/>
        </w:numPr>
        <w:spacing w:after="45" w:line="300" w:lineRule="atLeast"/>
        <w:rPr>
          <w:rFonts w:ascii="Arial" w:eastAsia="Times New Roman" w:hAnsi="Arial" w:cs="Arial"/>
          <w:color w:val="1A1C1E"/>
          <w:sz w:val="21"/>
          <w:szCs w:val="21"/>
        </w:rPr>
      </w:pPr>
      <w:r w:rsidRPr="00382FA0">
        <w:rPr>
          <w:rFonts w:ascii="Arial" w:eastAsia="Times New Roman" w:hAnsi="Arial" w:cs="Arial"/>
          <w:color w:val="1A1C1E"/>
          <w:sz w:val="21"/>
          <w:szCs w:val="21"/>
        </w:rPr>
        <w:t>A general provision (Rule 207(</w:t>
      </w:r>
      <w:proofErr w:type="spellStart"/>
      <w:r w:rsidRPr="00382FA0">
        <w:rPr>
          <w:rFonts w:ascii="Arial" w:eastAsia="Times New Roman" w:hAnsi="Arial" w:cs="Arial"/>
          <w:color w:val="1A1C1E"/>
          <w:sz w:val="21"/>
          <w:szCs w:val="21"/>
        </w:rPr>
        <w:t>ch</w:t>
      </w:r>
      <w:proofErr w:type="spellEnd"/>
      <w:r w:rsidRPr="00382FA0">
        <w:rPr>
          <w:rFonts w:ascii="Arial" w:eastAsia="Times New Roman" w:hAnsi="Arial" w:cs="Arial"/>
          <w:color w:val="1A1C1E"/>
          <w:sz w:val="21"/>
          <w:szCs w:val="21"/>
        </w:rPr>
        <w:t>)) allows for taxing other agricultural and animal products based on the District Council's decision.</w:t>
      </w:r>
    </w:p>
    <w:p w:rsidR="00382FA0" w:rsidRPr="00382FA0" w:rsidRDefault="00382FA0" w:rsidP="00382FA0">
      <w:pPr>
        <w:numPr>
          <w:ilvl w:val="0"/>
          <w:numId w:val="3"/>
        </w:numPr>
        <w:spacing w:after="45" w:line="300" w:lineRule="atLeast"/>
        <w:rPr>
          <w:rFonts w:ascii="Arial" w:eastAsia="Times New Roman" w:hAnsi="Arial" w:cs="Arial"/>
          <w:color w:val="1A1C1E"/>
          <w:sz w:val="21"/>
          <w:szCs w:val="21"/>
        </w:rPr>
      </w:pPr>
      <w:r w:rsidRPr="00382FA0">
        <w:rPr>
          <w:rFonts w:ascii="Arial" w:eastAsia="Times New Roman" w:hAnsi="Arial" w:cs="Arial"/>
          <w:color w:val="1A1C1E"/>
          <w:sz w:val="21"/>
          <w:szCs w:val="21"/>
        </w:rPr>
        <w:t>The decision of the Appellate Court to quash the tax is flawed and will negatively impact revenue collection and development activities in the district.</w:t>
      </w:r>
    </w:p>
    <w:p w:rsidR="00382FA0" w:rsidRPr="00382FA0" w:rsidRDefault="00382FA0" w:rsidP="00382FA0">
      <w:pPr>
        <w:spacing w:before="100" w:beforeAutospacing="1" w:after="270" w:line="300" w:lineRule="atLeast"/>
        <w:rPr>
          <w:rFonts w:ascii="Arial" w:eastAsia="Times New Roman" w:hAnsi="Arial" w:cs="Arial"/>
          <w:color w:val="1A1C1E"/>
          <w:sz w:val="21"/>
          <w:szCs w:val="21"/>
        </w:rPr>
      </w:pPr>
      <w:r w:rsidRPr="00382FA0">
        <w:rPr>
          <w:rFonts w:ascii="Arial" w:eastAsia="Times New Roman" w:hAnsi="Arial" w:cs="Arial"/>
          <w:b/>
          <w:bCs/>
          <w:color w:val="1A1C1E"/>
          <w:sz w:val="21"/>
          <w:szCs w:val="21"/>
        </w:rPr>
        <w:t>Respondent’s Arguments (</w:t>
      </w:r>
      <w:proofErr w:type="spellStart"/>
      <w:r w:rsidRPr="00382FA0">
        <w:rPr>
          <w:rFonts w:ascii="Arial" w:eastAsia="Times New Roman" w:hAnsi="Arial" w:cs="Arial"/>
          <w:b/>
          <w:bCs/>
          <w:color w:val="1A1C1E"/>
          <w:sz w:val="21"/>
          <w:szCs w:val="21"/>
        </w:rPr>
        <w:t>Dilli</w:t>
      </w:r>
      <w:proofErr w:type="spellEnd"/>
      <w:r w:rsidRPr="00382FA0">
        <w:rPr>
          <w:rFonts w:ascii="Arial" w:eastAsia="Times New Roman" w:hAnsi="Arial" w:cs="Arial"/>
          <w:b/>
          <w:bCs/>
          <w:color w:val="1A1C1E"/>
          <w:sz w:val="21"/>
          <w:szCs w:val="21"/>
        </w:rPr>
        <w:t xml:space="preserve"> Bahadur </w:t>
      </w:r>
      <w:proofErr w:type="spellStart"/>
      <w:r w:rsidRPr="00382FA0">
        <w:rPr>
          <w:rFonts w:ascii="Arial" w:eastAsia="Times New Roman" w:hAnsi="Arial" w:cs="Arial"/>
          <w:b/>
          <w:bCs/>
          <w:color w:val="1A1C1E"/>
          <w:sz w:val="21"/>
          <w:szCs w:val="21"/>
        </w:rPr>
        <w:t>Dangi</w:t>
      </w:r>
      <w:proofErr w:type="spellEnd"/>
      <w:r w:rsidRPr="00382FA0">
        <w:rPr>
          <w:rFonts w:ascii="Arial" w:eastAsia="Times New Roman" w:hAnsi="Arial" w:cs="Arial"/>
          <w:b/>
          <w:bCs/>
          <w:color w:val="1A1C1E"/>
          <w:sz w:val="21"/>
          <w:szCs w:val="21"/>
        </w:rPr>
        <w:t xml:space="preserve"> et al.)</w:t>
      </w:r>
    </w:p>
    <w:p w:rsidR="00382FA0" w:rsidRPr="00382FA0" w:rsidRDefault="00382FA0" w:rsidP="00382FA0">
      <w:pPr>
        <w:numPr>
          <w:ilvl w:val="0"/>
          <w:numId w:val="4"/>
        </w:numPr>
        <w:spacing w:after="45" w:line="300" w:lineRule="atLeast"/>
        <w:rPr>
          <w:rFonts w:ascii="Arial" w:eastAsia="Times New Roman" w:hAnsi="Arial" w:cs="Arial"/>
          <w:color w:val="1A1C1E"/>
          <w:sz w:val="21"/>
          <w:szCs w:val="21"/>
        </w:rPr>
      </w:pPr>
      <w:r w:rsidRPr="00382FA0">
        <w:rPr>
          <w:rFonts w:ascii="Arial" w:eastAsia="Times New Roman" w:hAnsi="Arial" w:cs="Arial"/>
          <w:color w:val="1A1C1E"/>
          <w:sz w:val="21"/>
          <w:szCs w:val="21"/>
        </w:rPr>
        <w:t>Live chickens, chicks, eggs, and chicken feed are not listed as taxable items in the schedules of the Local Self-Governance Act or its Rules.</w:t>
      </w:r>
    </w:p>
    <w:p w:rsidR="00382FA0" w:rsidRPr="00382FA0" w:rsidRDefault="00382FA0" w:rsidP="00382FA0">
      <w:pPr>
        <w:numPr>
          <w:ilvl w:val="0"/>
          <w:numId w:val="4"/>
        </w:numPr>
        <w:spacing w:after="45" w:line="300" w:lineRule="atLeast"/>
        <w:rPr>
          <w:rFonts w:ascii="Arial" w:eastAsia="Times New Roman" w:hAnsi="Arial" w:cs="Arial"/>
          <w:color w:val="1A1C1E"/>
          <w:sz w:val="21"/>
          <w:szCs w:val="21"/>
        </w:rPr>
      </w:pPr>
      <w:r w:rsidRPr="00382FA0">
        <w:rPr>
          <w:rFonts w:ascii="Arial" w:eastAsia="Times New Roman" w:hAnsi="Arial" w:cs="Arial"/>
          <w:color w:val="1A1C1E"/>
          <w:sz w:val="21"/>
          <w:szCs w:val="21"/>
        </w:rPr>
        <w:t>The DDC's attempt to justify taxing whole chickens based on a provision for taxing "feathers" is a gross misinterpretation of the law.</w:t>
      </w:r>
    </w:p>
    <w:p w:rsidR="00382FA0" w:rsidRPr="00382FA0" w:rsidRDefault="00382FA0" w:rsidP="00382FA0">
      <w:pPr>
        <w:numPr>
          <w:ilvl w:val="0"/>
          <w:numId w:val="4"/>
        </w:numPr>
        <w:spacing w:after="45" w:line="300" w:lineRule="atLeast"/>
        <w:rPr>
          <w:rFonts w:ascii="Arial" w:eastAsia="Times New Roman" w:hAnsi="Arial" w:cs="Arial"/>
          <w:color w:val="1A1C1E"/>
          <w:sz w:val="21"/>
          <w:szCs w:val="21"/>
        </w:rPr>
      </w:pPr>
      <w:r w:rsidRPr="00382FA0">
        <w:rPr>
          <w:rFonts w:ascii="Arial" w:eastAsia="Times New Roman" w:hAnsi="Arial" w:cs="Arial"/>
          <w:color w:val="1A1C1E"/>
          <w:sz w:val="21"/>
          <w:szCs w:val="21"/>
        </w:rPr>
        <w:t>The DDC has no legal jurisdiction or authority to impose this tax, and doing so is an illegal act that harms their legally established businesses and violates their rights.</w:t>
      </w:r>
    </w:p>
    <w:p w:rsidR="00382FA0" w:rsidRPr="00382FA0" w:rsidRDefault="00382FA0" w:rsidP="00382FA0">
      <w:pPr>
        <w:numPr>
          <w:ilvl w:val="0"/>
          <w:numId w:val="4"/>
        </w:numPr>
        <w:spacing w:after="45" w:line="300" w:lineRule="atLeast"/>
        <w:rPr>
          <w:rFonts w:ascii="Arial" w:eastAsia="Times New Roman" w:hAnsi="Arial" w:cs="Arial"/>
          <w:color w:val="1A1C1E"/>
          <w:sz w:val="21"/>
          <w:szCs w:val="21"/>
        </w:rPr>
      </w:pPr>
      <w:r w:rsidRPr="00382FA0">
        <w:rPr>
          <w:rFonts w:ascii="Arial" w:eastAsia="Times New Roman" w:hAnsi="Arial" w:cs="Arial"/>
          <w:color w:val="1A1C1E"/>
          <w:sz w:val="21"/>
          <w:szCs w:val="21"/>
        </w:rPr>
        <w:t>The tender notice, to the extent it includes these items, is illegal and should be quashed by an order of Certiorari.</w:t>
      </w:r>
    </w:p>
    <w:p w:rsidR="00382FA0" w:rsidRPr="00382FA0" w:rsidRDefault="00382FA0" w:rsidP="00382FA0">
      <w:pPr>
        <w:spacing w:before="100" w:beforeAutospacing="1" w:after="270" w:line="300" w:lineRule="atLeast"/>
        <w:rPr>
          <w:rFonts w:ascii="Arial" w:eastAsia="Times New Roman" w:hAnsi="Arial" w:cs="Arial"/>
          <w:color w:val="1A1C1E"/>
          <w:sz w:val="21"/>
          <w:szCs w:val="21"/>
        </w:rPr>
      </w:pPr>
      <w:r w:rsidRPr="00382FA0">
        <w:rPr>
          <w:rFonts w:ascii="Arial" w:eastAsia="Times New Roman" w:hAnsi="Arial" w:cs="Arial"/>
          <w:b/>
          <w:bCs/>
          <w:color w:val="1A1C1E"/>
          <w:sz w:val="21"/>
          <w:szCs w:val="21"/>
        </w:rPr>
        <w:t>Legal Issues</w:t>
      </w:r>
    </w:p>
    <w:p w:rsidR="00382FA0" w:rsidRPr="00382FA0" w:rsidRDefault="00382FA0" w:rsidP="00382FA0">
      <w:pPr>
        <w:numPr>
          <w:ilvl w:val="0"/>
          <w:numId w:val="5"/>
        </w:numPr>
        <w:spacing w:after="45" w:line="300" w:lineRule="atLeast"/>
        <w:rPr>
          <w:rFonts w:ascii="Arial" w:eastAsia="Times New Roman" w:hAnsi="Arial" w:cs="Arial"/>
          <w:color w:val="1A1C1E"/>
          <w:sz w:val="21"/>
          <w:szCs w:val="21"/>
        </w:rPr>
      </w:pPr>
      <w:r w:rsidRPr="00382FA0">
        <w:rPr>
          <w:rFonts w:ascii="Arial" w:eastAsia="Times New Roman" w:hAnsi="Arial" w:cs="Arial"/>
          <w:color w:val="1A1C1E"/>
          <w:sz w:val="21"/>
          <w:szCs w:val="21"/>
        </w:rPr>
        <w:t>Does the Local Self-Governance Act, 2055, and its associated rules grant the District Development Committee the authority to impose an export/exit tax on live chickens, chicks, eggs, and chicken feed?</w:t>
      </w:r>
    </w:p>
    <w:p w:rsidR="00382FA0" w:rsidRPr="00382FA0" w:rsidRDefault="00382FA0" w:rsidP="00382FA0">
      <w:pPr>
        <w:numPr>
          <w:ilvl w:val="0"/>
          <w:numId w:val="5"/>
        </w:numPr>
        <w:spacing w:after="45" w:line="300" w:lineRule="atLeast"/>
        <w:rPr>
          <w:rFonts w:ascii="Arial" w:eastAsia="Times New Roman" w:hAnsi="Arial" w:cs="Arial"/>
          <w:color w:val="1A1C1E"/>
          <w:sz w:val="21"/>
          <w:szCs w:val="21"/>
        </w:rPr>
      </w:pPr>
      <w:r w:rsidRPr="00382FA0">
        <w:rPr>
          <w:rFonts w:ascii="Arial" w:eastAsia="Times New Roman" w:hAnsi="Arial" w:cs="Arial"/>
          <w:color w:val="1A1C1E"/>
          <w:sz w:val="21"/>
          <w:szCs w:val="21"/>
        </w:rPr>
        <w:t>Did the District Development Committee follow the prescribed legal procedure for imposing a new tax on agricultural and animal products?</w:t>
      </w:r>
    </w:p>
    <w:p w:rsidR="00382FA0" w:rsidRPr="00382FA0" w:rsidRDefault="00382FA0" w:rsidP="00382FA0">
      <w:pPr>
        <w:numPr>
          <w:ilvl w:val="0"/>
          <w:numId w:val="5"/>
        </w:numPr>
        <w:spacing w:after="45" w:line="300" w:lineRule="atLeast"/>
        <w:rPr>
          <w:rFonts w:ascii="Arial" w:eastAsia="Times New Roman" w:hAnsi="Arial" w:cs="Arial"/>
          <w:color w:val="1A1C1E"/>
          <w:sz w:val="21"/>
          <w:szCs w:val="21"/>
        </w:rPr>
      </w:pPr>
      <w:r w:rsidRPr="00382FA0">
        <w:rPr>
          <w:rFonts w:ascii="Arial" w:eastAsia="Times New Roman" w:hAnsi="Arial" w:cs="Arial"/>
          <w:color w:val="1A1C1E"/>
          <w:sz w:val="21"/>
          <w:szCs w:val="21"/>
        </w:rPr>
        <w:t xml:space="preserve">Is the decision of the Appellate Court, </w:t>
      </w:r>
      <w:proofErr w:type="spellStart"/>
      <w:r w:rsidRPr="00382FA0">
        <w:rPr>
          <w:rFonts w:ascii="Arial" w:eastAsia="Times New Roman" w:hAnsi="Arial" w:cs="Arial"/>
          <w:color w:val="1A1C1E"/>
          <w:sz w:val="21"/>
          <w:szCs w:val="21"/>
        </w:rPr>
        <w:t>Tulsipur</w:t>
      </w:r>
      <w:proofErr w:type="spellEnd"/>
      <w:r w:rsidRPr="00382FA0">
        <w:rPr>
          <w:rFonts w:ascii="Arial" w:eastAsia="Times New Roman" w:hAnsi="Arial" w:cs="Arial"/>
          <w:color w:val="1A1C1E"/>
          <w:sz w:val="21"/>
          <w:szCs w:val="21"/>
        </w:rPr>
        <w:t>, to quash the tender notice legally sound and just?</w:t>
      </w:r>
    </w:p>
    <w:p w:rsidR="00382FA0" w:rsidRPr="00382FA0" w:rsidRDefault="00382FA0" w:rsidP="00382FA0">
      <w:pPr>
        <w:spacing w:before="100" w:beforeAutospacing="1" w:after="270" w:line="300" w:lineRule="atLeast"/>
        <w:rPr>
          <w:rFonts w:ascii="Arial" w:eastAsia="Times New Roman" w:hAnsi="Arial" w:cs="Arial"/>
          <w:color w:val="1A1C1E"/>
          <w:sz w:val="21"/>
          <w:szCs w:val="21"/>
        </w:rPr>
      </w:pPr>
      <w:r w:rsidRPr="00382FA0">
        <w:rPr>
          <w:rFonts w:ascii="Arial" w:eastAsia="Times New Roman" w:hAnsi="Arial" w:cs="Arial"/>
          <w:b/>
          <w:bCs/>
          <w:color w:val="1A1C1E"/>
          <w:sz w:val="21"/>
          <w:szCs w:val="21"/>
        </w:rPr>
        <w:t>Judgment</w:t>
      </w:r>
    </w:p>
    <w:p w:rsidR="00382FA0" w:rsidRPr="00382FA0" w:rsidRDefault="00382FA0" w:rsidP="00382FA0">
      <w:pPr>
        <w:numPr>
          <w:ilvl w:val="0"/>
          <w:numId w:val="6"/>
        </w:numPr>
        <w:spacing w:after="45" w:line="300" w:lineRule="atLeast"/>
        <w:rPr>
          <w:rFonts w:ascii="Arial" w:eastAsia="Times New Roman" w:hAnsi="Arial" w:cs="Arial"/>
          <w:color w:val="1A1C1E"/>
          <w:sz w:val="21"/>
          <w:szCs w:val="21"/>
        </w:rPr>
      </w:pPr>
      <w:r w:rsidRPr="00382FA0">
        <w:rPr>
          <w:rFonts w:ascii="Arial" w:eastAsia="Times New Roman" w:hAnsi="Arial" w:cs="Arial"/>
          <w:color w:val="1A1C1E"/>
          <w:sz w:val="21"/>
          <w:szCs w:val="21"/>
        </w:rPr>
        <w:lastRenderedPageBreak/>
        <w:t>The Supreme Court examined the relevant legal provisions, namely Section 215 of the Local Self-Governance Act, 2055, and Rule 207 and Schedule 23 of the Local Self-Governance Rules, 2056.</w:t>
      </w:r>
    </w:p>
    <w:p w:rsidR="00382FA0" w:rsidRPr="00382FA0" w:rsidRDefault="00382FA0" w:rsidP="00382FA0">
      <w:pPr>
        <w:numPr>
          <w:ilvl w:val="0"/>
          <w:numId w:val="6"/>
        </w:numPr>
        <w:spacing w:after="45" w:line="300" w:lineRule="atLeast"/>
        <w:rPr>
          <w:rFonts w:ascii="Arial" w:eastAsia="Times New Roman" w:hAnsi="Arial" w:cs="Arial"/>
          <w:color w:val="1A1C1E"/>
          <w:sz w:val="21"/>
          <w:szCs w:val="21"/>
        </w:rPr>
      </w:pPr>
      <w:r w:rsidRPr="00382FA0">
        <w:rPr>
          <w:rFonts w:ascii="Arial" w:eastAsia="Times New Roman" w:hAnsi="Arial" w:cs="Arial"/>
          <w:color w:val="1A1C1E"/>
          <w:sz w:val="21"/>
          <w:szCs w:val="21"/>
        </w:rPr>
        <w:t>The Court found that the law explicitly lists taxable items. Schedule 23(5) allows for a tax on the </w:t>
      </w:r>
      <w:r w:rsidRPr="00382FA0">
        <w:rPr>
          <w:rFonts w:ascii="Arial" w:eastAsia="Times New Roman" w:hAnsi="Arial" w:cs="Arial"/>
          <w:i/>
          <w:iCs/>
          <w:color w:val="1A1C1E"/>
          <w:sz w:val="21"/>
          <w:szCs w:val="21"/>
        </w:rPr>
        <w:t>feathers</w:t>
      </w:r>
      <w:r w:rsidRPr="00382FA0">
        <w:rPr>
          <w:rFonts w:ascii="Arial" w:eastAsia="Times New Roman" w:hAnsi="Arial" w:cs="Arial"/>
          <w:color w:val="1A1C1E"/>
          <w:sz w:val="21"/>
          <w:szCs w:val="21"/>
        </w:rPr>
        <w:t> of birds like chickens and ducks, not the birds themselves. There is no provision in the schedules for taxing live chickens, chicks, eggs, or their feed.</w:t>
      </w:r>
    </w:p>
    <w:p w:rsidR="00382FA0" w:rsidRPr="00382FA0" w:rsidRDefault="00382FA0" w:rsidP="00382FA0">
      <w:pPr>
        <w:numPr>
          <w:ilvl w:val="0"/>
          <w:numId w:val="6"/>
        </w:numPr>
        <w:spacing w:after="45" w:line="300" w:lineRule="atLeast"/>
        <w:rPr>
          <w:rFonts w:ascii="Arial" w:eastAsia="Times New Roman" w:hAnsi="Arial" w:cs="Arial"/>
          <w:color w:val="1A1C1E"/>
          <w:sz w:val="21"/>
          <w:szCs w:val="21"/>
        </w:rPr>
      </w:pPr>
      <w:r w:rsidRPr="00382FA0">
        <w:rPr>
          <w:rFonts w:ascii="Arial" w:eastAsia="Times New Roman" w:hAnsi="Arial" w:cs="Arial"/>
          <w:color w:val="1A1C1E"/>
          <w:sz w:val="21"/>
          <w:szCs w:val="21"/>
        </w:rPr>
        <w:t>The Court then analyzed the alternative provision in Rule 207(</w:t>
      </w:r>
      <w:proofErr w:type="spellStart"/>
      <w:r w:rsidRPr="00382FA0">
        <w:rPr>
          <w:rFonts w:ascii="Arial" w:eastAsia="Times New Roman" w:hAnsi="Arial" w:cs="Arial"/>
          <w:color w:val="1A1C1E"/>
          <w:sz w:val="21"/>
          <w:szCs w:val="21"/>
        </w:rPr>
        <w:t>ch</w:t>
      </w:r>
      <w:proofErr w:type="spellEnd"/>
      <w:r w:rsidRPr="00382FA0">
        <w:rPr>
          <w:rFonts w:ascii="Arial" w:eastAsia="Times New Roman" w:hAnsi="Arial" w:cs="Arial"/>
          <w:color w:val="1A1C1E"/>
          <w:sz w:val="21"/>
          <w:szCs w:val="21"/>
        </w:rPr>
        <w:t>), which allows for taxing other agricultural/animal products not listed in the schedules. However, this provision imposes a strict and mandatory procedure, including consultation with a revenue advisory committee, farmer groups, and civil society, and limits the tax rate to 1% of the market value. The DDC failed to provide any evidence that it had followed this mandatory consultation process.</w:t>
      </w:r>
    </w:p>
    <w:p w:rsidR="00382FA0" w:rsidRPr="00382FA0" w:rsidRDefault="00382FA0" w:rsidP="00382FA0">
      <w:pPr>
        <w:numPr>
          <w:ilvl w:val="0"/>
          <w:numId w:val="6"/>
        </w:numPr>
        <w:spacing w:after="45" w:line="300" w:lineRule="atLeast"/>
        <w:rPr>
          <w:rFonts w:ascii="Arial" w:eastAsia="Times New Roman" w:hAnsi="Arial" w:cs="Arial"/>
          <w:color w:val="1A1C1E"/>
          <w:sz w:val="21"/>
          <w:szCs w:val="21"/>
        </w:rPr>
      </w:pPr>
      <w:r w:rsidRPr="00382FA0">
        <w:rPr>
          <w:rFonts w:ascii="Arial" w:eastAsia="Times New Roman" w:hAnsi="Arial" w:cs="Arial"/>
          <w:color w:val="1A1C1E"/>
          <w:sz w:val="21"/>
          <w:szCs w:val="21"/>
        </w:rPr>
        <w:t>The Court heavily criticized the DDC's primary argument, stating that the attempt to justify taxing live chickens because they have feathers is a "deplorable and laughable" (</w:t>
      </w:r>
      <w:r w:rsidRPr="00382FA0">
        <w:rPr>
          <w:rFonts w:ascii="Courier New" w:eastAsia="Times New Roman" w:hAnsi="Courier New" w:cs="Mangal"/>
          <w:color w:val="1A1C1E"/>
          <w:sz w:val="20"/>
          <w:bdr w:val="single" w:sz="6" w:space="0" w:color="FFFFFF" w:frame="1"/>
          <w:cs/>
        </w:rPr>
        <w:t>दयनीय र हास्यास्पद विषय हो</w:t>
      </w:r>
      <w:r w:rsidRPr="00382FA0">
        <w:rPr>
          <w:rFonts w:ascii="Arial" w:eastAsia="Times New Roman" w:hAnsi="Arial" w:cs="Arial"/>
          <w:color w:val="1A1C1E"/>
          <w:sz w:val="21"/>
          <w:szCs w:val="21"/>
        </w:rPr>
        <w:t>) argument and constitutes a "fraudulent application of the law" (</w:t>
      </w:r>
      <w:r w:rsidRPr="00382FA0">
        <w:rPr>
          <w:rFonts w:ascii="Courier New" w:eastAsia="Times New Roman" w:hAnsi="Courier New" w:cs="Mangal"/>
          <w:color w:val="1A1C1E"/>
          <w:sz w:val="20"/>
          <w:bdr w:val="single" w:sz="6" w:space="0" w:color="FFFFFF" w:frame="1"/>
          <w:cs/>
        </w:rPr>
        <w:t>कानूनको जालसाजपूर्ण प्रयोग</w:t>
      </w:r>
      <w:r w:rsidRPr="00382FA0">
        <w:rPr>
          <w:rFonts w:ascii="Arial" w:eastAsia="Times New Roman" w:hAnsi="Arial" w:cs="Arial"/>
          <w:color w:val="1A1C1E"/>
          <w:sz w:val="21"/>
          <w:szCs w:val="21"/>
        </w:rPr>
        <w:t>).</w:t>
      </w:r>
    </w:p>
    <w:p w:rsidR="00382FA0" w:rsidRPr="00382FA0" w:rsidRDefault="00382FA0" w:rsidP="00382FA0">
      <w:pPr>
        <w:numPr>
          <w:ilvl w:val="0"/>
          <w:numId w:val="6"/>
        </w:numPr>
        <w:spacing w:after="45" w:line="300" w:lineRule="atLeast"/>
        <w:rPr>
          <w:rFonts w:ascii="Arial" w:eastAsia="Times New Roman" w:hAnsi="Arial" w:cs="Arial"/>
          <w:color w:val="1A1C1E"/>
          <w:sz w:val="21"/>
          <w:szCs w:val="21"/>
        </w:rPr>
      </w:pPr>
      <w:r w:rsidRPr="00382FA0">
        <w:rPr>
          <w:rFonts w:ascii="Arial" w:eastAsia="Times New Roman" w:hAnsi="Arial" w:cs="Arial"/>
          <w:color w:val="1A1C1E"/>
          <w:sz w:val="21"/>
          <w:szCs w:val="21"/>
        </w:rPr>
        <w:t>The Court held that such a forced and abusive interpretation of the law by a responsible public body is unacceptable.</w:t>
      </w:r>
    </w:p>
    <w:p w:rsidR="00382FA0" w:rsidRPr="00382FA0" w:rsidRDefault="00382FA0" w:rsidP="00382FA0">
      <w:pPr>
        <w:numPr>
          <w:ilvl w:val="0"/>
          <w:numId w:val="6"/>
        </w:numPr>
        <w:spacing w:after="45" w:line="300" w:lineRule="atLeast"/>
        <w:rPr>
          <w:rFonts w:ascii="Arial" w:eastAsia="Times New Roman" w:hAnsi="Arial" w:cs="Arial"/>
          <w:color w:val="1A1C1E"/>
          <w:sz w:val="21"/>
          <w:szCs w:val="21"/>
        </w:rPr>
      </w:pPr>
      <w:r w:rsidRPr="00382FA0">
        <w:rPr>
          <w:rFonts w:ascii="Arial" w:eastAsia="Times New Roman" w:hAnsi="Arial" w:cs="Arial"/>
          <w:color w:val="1A1C1E"/>
          <w:sz w:val="21"/>
          <w:szCs w:val="21"/>
        </w:rPr>
        <w:t>Concluding that the DDC acted without legal authority and failed to follow the prescribed procedure, the Court found that the tender notice was illegal to the extent it imposed a tax on the respondents' products.</w:t>
      </w:r>
    </w:p>
    <w:p w:rsidR="00382FA0" w:rsidRPr="00382FA0" w:rsidRDefault="00382FA0" w:rsidP="00382FA0">
      <w:pPr>
        <w:numPr>
          <w:ilvl w:val="0"/>
          <w:numId w:val="6"/>
        </w:numPr>
        <w:spacing w:after="45" w:line="300" w:lineRule="atLeast"/>
        <w:rPr>
          <w:rFonts w:ascii="Arial" w:eastAsia="Times New Roman" w:hAnsi="Arial" w:cs="Arial"/>
          <w:color w:val="1A1C1E"/>
          <w:sz w:val="21"/>
          <w:szCs w:val="21"/>
        </w:rPr>
      </w:pPr>
      <w:r w:rsidRPr="00382FA0">
        <w:rPr>
          <w:rFonts w:ascii="Arial" w:eastAsia="Times New Roman" w:hAnsi="Arial" w:cs="Arial"/>
          <w:color w:val="1A1C1E"/>
          <w:sz w:val="21"/>
          <w:szCs w:val="21"/>
        </w:rPr>
        <w:t xml:space="preserve">Therefore, the final order of the Appellate Court, </w:t>
      </w:r>
      <w:proofErr w:type="spellStart"/>
      <w:r w:rsidRPr="00382FA0">
        <w:rPr>
          <w:rFonts w:ascii="Arial" w:eastAsia="Times New Roman" w:hAnsi="Arial" w:cs="Arial"/>
          <w:color w:val="1A1C1E"/>
          <w:sz w:val="21"/>
          <w:szCs w:val="21"/>
        </w:rPr>
        <w:t>Tulsipur</w:t>
      </w:r>
      <w:proofErr w:type="spellEnd"/>
      <w:r w:rsidRPr="00382FA0">
        <w:rPr>
          <w:rFonts w:ascii="Arial" w:eastAsia="Times New Roman" w:hAnsi="Arial" w:cs="Arial"/>
          <w:color w:val="1A1C1E"/>
          <w:sz w:val="21"/>
          <w:szCs w:val="21"/>
        </w:rPr>
        <w:t xml:space="preserve">, which quashed the illegal portion of the tender notice, was found to be consistent with law and justice. The Supreme Court upheld the decision of the Appellate Court and dismissed the </w:t>
      </w:r>
      <w:proofErr w:type="spellStart"/>
      <w:r w:rsidRPr="00382FA0">
        <w:rPr>
          <w:rFonts w:ascii="Arial" w:eastAsia="Times New Roman" w:hAnsi="Arial" w:cs="Arial"/>
          <w:color w:val="1A1C1E"/>
          <w:sz w:val="21"/>
          <w:szCs w:val="21"/>
        </w:rPr>
        <w:t>D.evelopment</w:t>
      </w:r>
      <w:proofErr w:type="spellEnd"/>
      <w:r w:rsidRPr="00382FA0">
        <w:rPr>
          <w:rFonts w:ascii="Arial" w:eastAsia="Times New Roman" w:hAnsi="Arial" w:cs="Arial"/>
          <w:color w:val="1A1C1E"/>
          <w:sz w:val="21"/>
          <w:szCs w:val="21"/>
        </w:rPr>
        <w:t xml:space="preserve"> Committee's appeal.</w:t>
      </w:r>
    </w:p>
    <w:p w:rsidR="00382FA0" w:rsidRPr="00382FA0" w:rsidRDefault="00382FA0" w:rsidP="00382FA0">
      <w:pPr>
        <w:spacing w:before="100" w:beforeAutospacing="1" w:after="270" w:line="300" w:lineRule="atLeast"/>
        <w:rPr>
          <w:rFonts w:ascii="Arial" w:eastAsia="Times New Roman" w:hAnsi="Arial" w:cs="Arial"/>
          <w:color w:val="1A1C1E"/>
          <w:sz w:val="21"/>
          <w:szCs w:val="21"/>
        </w:rPr>
      </w:pPr>
      <w:r w:rsidRPr="00382FA0">
        <w:rPr>
          <w:rFonts w:ascii="Arial" w:eastAsia="Times New Roman" w:hAnsi="Arial" w:cs="Arial"/>
          <w:b/>
          <w:bCs/>
          <w:color w:val="1A1C1E"/>
          <w:sz w:val="21"/>
          <w:szCs w:val="21"/>
        </w:rPr>
        <w:t>Significance</w:t>
      </w:r>
    </w:p>
    <w:p w:rsidR="00382FA0" w:rsidRPr="00382FA0" w:rsidRDefault="00382FA0" w:rsidP="00382FA0">
      <w:pPr>
        <w:numPr>
          <w:ilvl w:val="0"/>
          <w:numId w:val="7"/>
        </w:numPr>
        <w:spacing w:after="45" w:line="300" w:lineRule="atLeast"/>
        <w:rPr>
          <w:rFonts w:ascii="Arial" w:eastAsia="Times New Roman" w:hAnsi="Arial" w:cs="Arial"/>
          <w:color w:val="1A1C1E"/>
          <w:sz w:val="21"/>
          <w:szCs w:val="21"/>
        </w:rPr>
      </w:pPr>
      <w:r w:rsidRPr="00382FA0">
        <w:rPr>
          <w:rFonts w:ascii="Arial" w:eastAsia="Times New Roman" w:hAnsi="Arial" w:cs="Arial"/>
          <w:color w:val="1A1C1E"/>
          <w:sz w:val="21"/>
          <w:szCs w:val="21"/>
        </w:rPr>
        <w:t>This decision strongly reinforces the constitutional principle that no tax can be levied or collected except in accordance with a clear and specific law.</w:t>
      </w:r>
    </w:p>
    <w:p w:rsidR="00382FA0" w:rsidRPr="00382FA0" w:rsidRDefault="00382FA0" w:rsidP="00382FA0">
      <w:pPr>
        <w:numPr>
          <w:ilvl w:val="0"/>
          <w:numId w:val="7"/>
        </w:numPr>
        <w:spacing w:after="45" w:line="300" w:lineRule="atLeast"/>
        <w:rPr>
          <w:rFonts w:ascii="Arial" w:eastAsia="Times New Roman" w:hAnsi="Arial" w:cs="Arial"/>
          <w:color w:val="1A1C1E"/>
          <w:sz w:val="21"/>
          <w:szCs w:val="21"/>
        </w:rPr>
      </w:pPr>
      <w:r w:rsidRPr="00382FA0">
        <w:rPr>
          <w:rFonts w:ascii="Arial" w:eastAsia="Times New Roman" w:hAnsi="Arial" w:cs="Arial"/>
          <w:color w:val="1A1C1E"/>
          <w:sz w:val="21"/>
          <w:szCs w:val="21"/>
        </w:rPr>
        <w:t>It clarifies that local government bodies must strictly adhere to the list of taxable items and mandatory procedures specified in governing acts and regulations. They cannot expand their taxing powers through misinterpretation.</w:t>
      </w:r>
    </w:p>
    <w:p w:rsidR="00382FA0" w:rsidRPr="00382FA0" w:rsidRDefault="00382FA0" w:rsidP="00382FA0">
      <w:pPr>
        <w:numPr>
          <w:ilvl w:val="0"/>
          <w:numId w:val="7"/>
        </w:numPr>
        <w:spacing w:after="45" w:line="300" w:lineRule="atLeast"/>
        <w:rPr>
          <w:rFonts w:ascii="Arial" w:eastAsia="Times New Roman" w:hAnsi="Arial" w:cs="Arial"/>
          <w:color w:val="1A1C1E"/>
          <w:sz w:val="21"/>
          <w:szCs w:val="21"/>
        </w:rPr>
      </w:pPr>
      <w:r w:rsidRPr="00382FA0">
        <w:rPr>
          <w:rFonts w:ascii="Arial" w:eastAsia="Times New Roman" w:hAnsi="Arial" w:cs="Arial"/>
          <w:color w:val="1A1C1E"/>
          <w:sz w:val="21"/>
          <w:szCs w:val="21"/>
        </w:rPr>
        <w:t>The judgment sets a precedent against the abusive or fraudulent interpretation of legal provisions by public authorities to justify unauthorized actions, particularly in the realm of taxation.</w:t>
      </w:r>
    </w:p>
    <w:p w:rsidR="00382FA0" w:rsidRPr="00382FA0" w:rsidRDefault="00382FA0" w:rsidP="00382FA0">
      <w:pPr>
        <w:numPr>
          <w:ilvl w:val="0"/>
          <w:numId w:val="7"/>
        </w:numPr>
        <w:spacing w:after="45" w:line="300" w:lineRule="atLeast"/>
        <w:rPr>
          <w:rFonts w:ascii="Arial" w:eastAsia="Times New Roman" w:hAnsi="Arial" w:cs="Arial"/>
          <w:color w:val="1A1C1E"/>
          <w:sz w:val="21"/>
          <w:szCs w:val="21"/>
        </w:rPr>
      </w:pPr>
      <w:r w:rsidRPr="00382FA0">
        <w:rPr>
          <w:rFonts w:ascii="Arial" w:eastAsia="Times New Roman" w:hAnsi="Arial" w:cs="Arial"/>
          <w:color w:val="1A1C1E"/>
          <w:sz w:val="21"/>
          <w:szCs w:val="21"/>
        </w:rPr>
        <w:t>It highlights the critical importance of procedural fairness, including mandatory consultations with affected stakeholders, before new financial burdens can be imposed on citizens by local governments.</w:t>
      </w:r>
    </w:p>
    <w:p w:rsidR="00382FA0" w:rsidRPr="00382FA0" w:rsidRDefault="00382FA0" w:rsidP="00382FA0">
      <w:pPr>
        <w:spacing w:before="100" w:beforeAutospacing="1" w:after="270" w:line="300" w:lineRule="atLeast"/>
        <w:rPr>
          <w:rFonts w:ascii="Arial" w:eastAsia="Times New Roman" w:hAnsi="Arial" w:cs="Arial"/>
          <w:color w:val="1A1C1E"/>
          <w:sz w:val="21"/>
          <w:szCs w:val="21"/>
        </w:rPr>
      </w:pPr>
      <w:r w:rsidRPr="00382FA0">
        <w:rPr>
          <w:rFonts w:ascii="Arial" w:eastAsia="Times New Roman" w:hAnsi="Arial" w:cs="Arial"/>
          <w:b/>
          <w:bCs/>
          <w:color w:val="1A1C1E"/>
          <w:sz w:val="21"/>
          <w:szCs w:val="21"/>
        </w:rPr>
        <w:t>Source</w:t>
      </w:r>
    </w:p>
    <w:p w:rsidR="00382FA0" w:rsidRPr="00382FA0" w:rsidRDefault="00382FA0" w:rsidP="00382FA0">
      <w:pPr>
        <w:numPr>
          <w:ilvl w:val="0"/>
          <w:numId w:val="8"/>
        </w:numPr>
        <w:spacing w:after="45" w:line="300" w:lineRule="atLeast"/>
        <w:rPr>
          <w:rFonts w:ascii="Arial" w:eastAsia="Times New Roman" w:hAnsi="Arial" w:cs="Arial"/>
          <w:color w:val="1A1C1E"/>
          <w:sz w:val="21"/>
          <w:szCs w:val="21"/>
        </w:rPr>
      </w:pPr>
      <w:r w:rsidRPr="00382FA0">
        <w:rPr>
          <w:rFonts w:ascii="Arial" w:eastAsia="Times New Roman" w:hAnsi="Arial" w:cs="Arial"/>
          <w:color w:val="1A1C1E"/>
          <w:sz w:val="21"/>
          <w:szCs w:val="21"/>
        </w:rPr>
        <w:lastRenderedPageBreak/>
        <w:t>Local Self-Governance Act, 2055 B.S. </w:t>
      </w:r>
      <w:hyperlink r:id="rId5" w:tgtFrame="_blank" w:history="1">
        <w:r w:rsidRPr="00382FA0">
          <w:rPr>
            <w:rFonts w:ascii="Arial" w:eastAsia="Times New Roman" w:hAnsi="Arial" w:cs="Arial"/>
            <w:color w:val="076EFF"/>
            <w:sz w:val="21"/>
            <w:szCs w:val="21"/>
          </w:rPr>
          <w:t>https://www.lawcommission.gov.np/en/archives/category/local-self-governance-act-2055-1999</w:t>
        </w:r>
      </w:hyperlink>
    </w:p>
    <w:p w:rsidR="00382FA0" w:rsidRPr="00382FA0" w:rsidRDefault="00382FA0" w:rsidP="00382FA0">
      <w:pPr>
        <w:numPr>
          <w:ilvl w:val="0"/>
          <w:numId w:val="8"/>
        </w:numPr>
        <w:spacing w:after="45" w:line="300" w:lineRule="atLeast"/>
        <w:rPr>
          <w:rFonts w:ascii="Arial" w:eastAsia="Times New Roman" w:hAnsi="Arial" w:cs="Arial"/>
          <w:color w:val="1A1C1E"/>
          <w:sz w:val="21"/>
          <w:szCs w:val="21"/>
        </w:rPr>
      </w:pPr>
      <w:r w:rsidRPr="00382FA0">
        <w:rPr>
          <w:rFonts w:ascii="Arial" w:eastAsia="Times New Roman" w:hAnsi="Arial" w:cs="Arial"/>
          <w:color w:val="1A1C1E"/>
          <w:sz w:val="21"/>
          <w:szCs w:val="21"/>
        </w:rPr>
        <w:t xml:space="preserve">NKP, 2078, District Development Committee, Dang v. </w:t>
      </w:r>
      <w:proofErr w:type="spellStart"/>
      <w:r w:rsidRPr="00382FA0">
        <w:rPr>
          <w:rFonts w:ascii="Arial" w:eastAsia="Times New Roman" w:hAnsi="Arial" w:cs="Arial"/>
          <w:color w:val="1A1C1E"/>
          <w:sz w:val="21"/>
          <w:szCs w:val="21"/>
        </w:rPr>
        <w:t>Dilli</w:t>
      </w:r>
      <w:proofErr w:type="spellEnd"/>
      <w:r w:rsidRPr="00382FA0">
        <w:rPr>
          <w:rFonts w:ascii="Arial" w:eastAsia="Times New Roman" w:hAnsi="Arial" w:cs="Arial"/>
          <w:color w:val="1A1C1E"/>
          <w:sz w:val="21"/>
          <w:szCs w:val="21"/>
        </w:rPr>
        <w:t xml:space="preserve"> Bahadur </w:t>
      </w:r>
      <w:proofErr w:type="spellStart"/>
      <w:r w:rsidRPr="00382FA0">
        <w:rPr>
          <w:rFonts w:ascii="Arial" w:eastAsia="Times New Roman" w:hAnsi="Arial" w:cs="Arial"/>
          <w:color w:val="1A1C1E"/>
          <w:sz w:val="21"/>
          <w:szCs w:val="21"/>
        </w:rPr>
        <w:t>Dangi</w:t>
      </w:r>
      <w:proofErr w:type="spellEnd"/>
      <w:r w:rsidRPr="00382FA0">
        <w:rPr>
          <w:rFonts w:ascii="Arial" w:eastAsia="Times New Roman" w:hAnsi="Arial" w:cs="Arial"/>
          <w:color w:val="1A1C1E"/>
          <w:sz w:val="21"/>
          <w:szCs w:val="21"/>
        </w:rPr>
        <w:t xml:space="preserve"> et al. (Decision No. 10725, Decided on 2077/04/16 B.S.); </w:t>
      </w:r>
      <w:hyperlink r:id="rId6" w:tgtFrame="_blank" w:history="1">
        <w:r w:rsidRPr="00382FA0">
          <w:rPr>
            <w:rFonts w:ascii="Arial" w:eastAsia="Times New Roman" w:hAnsi="Arial" w:cs="Arial"/>
            <w:color w:val="076EFF"/>
            <w:sz w:val="21"/>
            <w:szCs w:val="21"/>
          </w:rPr>
          <w:t>https://nkp.gov.np/full_detail/10725</w:t>
        </w:r>
      </w:hyperlink>
    </w:p>
    <w:p w:rsidR="00382FA0" w:rsidRPr="00382FA0" w:rsidRDefault="00382FA0" w:rsidP="00382FA0">
      <w:pPr>
        <w:shd w:val="clear" w:color="auto" w:fill="FFFFFF"/>
        <w:spacing w:after="0" w:line="240" w:lineRule="auto"/>
        <w:rPr>
          <w:rFonts w:ascii="Arial" w:eastAsia="Times New Roman" w:hAnsi="Arial" w:cs="Arial"/>
          <w:color w:val="1A1C1E"/>
          <w:sz w:val="21"/>
          <w:szCs w:val="21"/>
        </w:rPr>
      </w:pPr>
      <w:bookmarkStart w:id="0" w:name="_GoBack"/>
      <w:bookmarkEnd w:id="0"/>
    </w:p>
    <w:p w:rsidR="00583E23" w:rsidRDefault="00583E23"/>
    <w:sectPr w:rsidR="00583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412D2"/>
    <w:multiLevelType w:val="multilevel"/>
    <w:tmpl w:val="4D006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54908"/>
    <w:multiLevelType w:val="multilevel"/>
    <w:tmpl w:val="E7369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FB2F47"/>
    <w:multiLevelType w:val="multilevel"/>
    <w:tmpl w:val="C7CC6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B01800"/>
    <w:multiLevelType w:val="multilevel"/>
    <w:tmpl w:val="BAEEB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F42C57"/>
    <w:multiLevelType w:val="multilevel"/>
    <w:tmpl w:val="70B43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540DF3"/>
    <w:multiLevelType w:val="multilevel"/>
    <w:tmpl w:val="ABA69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642614"/>
    <w:multiLevelType w:val="multilevel"/>
    <w:tmpl w:val="01DEF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6613EF"/>
    <w:multiLevelType w:val="multilevel"/>
    <w:tmpl w:val="C49AC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5"/>
  </w:num>
  <w:num w:numId="5">
    <w:abstractNumId w:val="7"/>
  </w:num>
  <w:num w:numId="6">
    <w:abstractNumId w:val="4"/>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FA0"/>
    <w:rsid w:val="00382FA0"/>
    <w:rsid w:val="00583E2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2A2842-A36D-4DEB-8C39-C2E718089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tar-inserted">
    <w:name w:val="ng-star-inserted"/>
    <w:basedOn w:val="Normal"/>
    <w:rsid w:val="00382F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382FA0"/>
  </w:style>
  <w:style w:type="character" w:customStyle="1" w:styleId="inline-code">
    <w:name w:val="inline-code"/>
    <w:basedOn w:val="DefaultParagraphFont"/>
    <w:rsid w:val="00382F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4307929">
      <w:bodyDiv w:val="1"/>
      <w:marLeft w:val="0"/>
      <w:marRight w:val="0"/>
      <w:marTop w:val="0"/>
      <w:marBottom w:val="0"/>
      <w:divBdr>
        <w:top w:val="none" w:sz="0" w:space="0" w:color="auto"/>
        <w:left w:val="none" w:sz="0" w:space="0" w:color="auto"/>
        <w:bottom w:val="none" w:sz="0" w:space="0" w:color="auto"/>
        <w:right w:val="none" w:sz="0" w:space="0" w:color="auto"/>
      </w:divBdr>
      <w:divsChild>
        <w:div w:id="250819032">
          <w:marLeft w:val="0"/>
          <w:marRight w:val="0"/>
          <w:marTop w:val="0"/>
          <w:marBottom w:val="0"/>
          <w:divBdr>
            <w:top w:val="none" w:sz="0" w:space="0" w:color="auto"/>
            <w:left w:val="none" w:sz="0" w:space="0" w:color="auto"/>
            <w:bottom w:val="none" w:sz="0" w:space="0" w:color="auto"/>
            <w:right w:val="none" w:sz="0" w:space="0" w:color="auto"/>
          </w:divBdr>
          <w:divsChild>
            <w:div w:id="958147157">
              <w:marLeft w:val="0"/>
              <w:marRight w:val="0"/>
              <w:marTop w:val="0"/>
              <w:marBottom w:val="0"/>
              <w:divBdr>
                <w:top w:val="none" w:sz="0" w:space="0" w:color="auto"/>
                <w:left w:val="none" w:sz="0" w:space="0" w:color="auto"/>
                <w:bottom w:val="none" w:sz="0" w:space="0" w:color="auto"/>
                <w:right w:val="none" w:sz="0" w:space="0" w:color="auto"/>
              </w:divBdr>
              <w:divsChild>
                <w:div w:id="1142044684">
                  <w:marLeft w:val="0"/>
                  <w:marRight w:val="0"/>
                  <w:marTop w:val="0"/>
                  <w:marBottom w:val="0"/>
                  <w:divBdr>
                    <w:top w:val="none" w:sz="0" w:space="0" w:color="auto"/>
                    <w:left w:val="none" w:sz="0" w:space="0" w:color="auto"/>
                    <w:bottom w:val="none" w:sz="0" w:space="0" w:color="auto"/>
                    <w:right w:val="none" w:sz="0" w:space="0" w:color="auto"/>
                  </w:divBdr>
                  <w:divsChild>
                    <w:div w:id="1155216763">
                      <w:marLeft w:val="0"/>
                      <w:marRight w:val="0"/>
                      <w:marTop w:val="0"/>
                      <w:marBottom w:val="0"/>
                      <w:divBdr>
                        <w:top w:val="none" w:sz="0" w:space="0" w:color="auto"/>
                        <w:left w:val="none" w:sz="0" w:space="0" w:color="auto"/>
                        <w:bottom w:val="none" w:sz="0" w:space="0" w:color="auto"/>
                        <w:right w:val="none" w:sz="0" w:space="0" w:color="auto"/>
                      </w:divBdr>
                      <w:divsChild>
                        <w:div w:id="932275877">
                          <w:marLeft w:val="0"/>
                          <w:marRight w:val="0"/>
                          <w:marTop w:val="0"/>
                          <w:marBottom w:val="0"/>
                          <w:divBdr>
                            <w:top w:val="none" w:sz="0" w:space="0" w:color="auto"/>
                            <w:left w:val="none" w:sz="0" w:space="0" w:color="auto"/>
                            <w:bottom w:val="none" w:sz="0" w:space="0" w:color="auto"/>
                            <w:right w:val="none" w:sz="0" w:space="0" w:color="auto"/>
                          </w:divBdr>
                          <w:divsChild>
                            <w:div w:id="1703241697">
                              <w:marLeft w:val="0"/>
                              <w:marRight w:val="0"/>
                              <w:marTop w:val="0"/>
                              <w:marBottom w:val="0"/>
                              <w:divBdr>
                                <w:top w:val="none" w:sz="0" w:space="0" w:color="auto"/>
                                <w:left w:val="none" w:sz="0" w:space="0" w:color="auto"/>
                                <w:bottom w:val="none" w:sz="0" w:space="0" w:color="auto"/>
                                <w:right w:val="none" w:sz="0" w:space="0" w:color="auto"/>
                              </w:divBdr>
                            </w:div>
                          </w:divsChild>
                        </w:div>
                        <w:div w:id="166870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sa=E&amp;q=https%3A%2F%2Fnkp.gov.np%2Ffull_detail%2F10725" TargetMode="External"/><Relationship Id="rId5" Type="http://schemas.openxmlformats.org/officeDocument/2006/relationships/hyperlink" Target="https://www.google.com/url?sa=E&amp;q=https%3A%2F%2Fwww.lawcommission.gov.np%2Fen%2Farchives%2Fcategory%2Flocal-self-governance-act-2055-199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1135</Words>
  <Characters>6472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2025-06-10T16:29:00Z</dcterms:created>
  <dcterms:modified xsi:type="dcterms:W3CDTF">2025-06-10T16:30:00Z</dcterms:modified>
</cp:coreProperties>
</file>