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40"/>
      </w:pPr>
      <w:r>
        <w:t xml:space="preserve"/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64"/>
          <w:szCs w:val="64"/>
        </w:rPr>
        <w:t xml:space="preserve">MedLedger</w:t>
      </w:r>
    </w:p>
    <w:p>
      <w:pPr>
        <w:spacing w:after="400"/>
        <w:jc w:val="center"/>
      </w:pPr>
      <w:r>
        <w:rPr>
          <w:rFonts w:ascii="Arial" w:cs="Arial" w:eastAsia="Arial" w:hAnsi="Arial"/>
          <w:color w:val="595959"/>
          <w:sz w:val="32"/>
          <w:szCs w:val="32"/>
        </w:rPr>
        <w:t xml:space="preserve">Architecture Design Document</w:t>
      </w:r>
    </w:p>
    <w:p>
      <w:pPr>
        <w:pBdr>
          <w:bottom w:val="single" w:color="2E75B6" w:sz="4" w:space="1"/>
        </w:pBdr>
        <w:spacing w:after="160"/>
      </w:pPr>
      <w:r>
        <w:t xml:space="preserve"/>
      </w:r>
    </w:p>
    <w:p>
      <w:pPr>
        <w:spacing w:after="12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Version 0.2  |  April 2026</w:t>
      </w:r>
    </w:p>
    <w:p>
      <w:pPr>
        <w:spacing w:after="12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CypherAegis / MedLedger</w:t>
      </w:r>
    </w:p>
    <w:p>
      <w:pPr>
        <w:spacing w:after="144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1.  Executive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MedLedger is a patient-controlled healthcare data vault. Its guiding principle is that sensitive health data never leaves the patient's control — identity is anchored by a cryptographic keypair the patient owns, and all access grants are signed data structures verified by math, not institutional trust.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system is composed of two independent layers that are intentionally decoupled so that either can be replaced without touching the other: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CypherAegis — the cryptographic engine.</w:t>
      </w:r>
      <w:r>
        <w:rPr>
          <w:rFonts w:ascii="Arial" w:cs="Arial" w:eastAsia="Arial" w:hAnsi="Arial"/>
          <w:sz w:val="22"/>
          <w:szCs w:val="22"/>
        </w:rPr>
        <w:t xml:space="preserve">  P-256 key generation, ECIES encryption, ECDSA signing, Shamir secret sharing.  No database, no auth, no config.  A standalone library.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MedLedger — the application layer.</w:t>
      </w:r>
      <w:r>
        <w:rPr>
          <w:rFonts w:ascii="Arial" w:cs="Arial" w:eastAsia="Arial" w:hAnsi="Arial"/>
          <w:sz w:val="22"/>
          <w:szCs w:val="22"/>
        </w:rPr>
        <w:t xml:space="preserve">  User accounts, encrypted file vault, permission grants, JWT auth, FastAPI HTTP interface.  Uses CypherAegis as a dependency.</w:t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Author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Premananda (Team Praxis)</w:t>
            </w:r>
          </w:p>
        </w:tc>
      </w:tr>
      <w:tr>
        <w:tc>
          <w:tcPr>
            <w:tcW w:type="dxa" w:w="2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Status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Draft — Pre-Implementation</w:t>
            </w:r>
          </w:p>
        </w:tc>
      </w:tr>
      <w:tr>
        <w:tc>
          <w:tcPr>
            <w:tcW w:type="dxa" w:w="2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0.2</w:t>
            </w:r>
          </w:p>
        </w:tc>
      </w:tr>
      <w:tr>
        <w:tc>
          <w:tcPr>
            <w:tcW w:type="dxa" w:w="2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April 2026</w:t>
            </w:r>
          </w:p>
        </w:tc>
      </w:tr>
    </w:tbl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2.  Design Principles</w:t>
      </w:r>
    </w:p>
    <w:p>
      <w:pPr>
        <w:pStyle w:val="Heading2"/>
      </w:pPr>
      <w:r>
        <w:t xml:space="preserve">2.1  Five Non-Negotiable Invariants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These invariants are enforced by the implementation. Any change that violates them invalidates the security model: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Private keys never leave the client.</w:t>
      </w:r>
      <w:r>
        <w:rPr>
          <w:rFonts w:ascii="Arial" w:cs="Arial" w:eastAsia="Arial" w:hAnsi="Arial"/>
          <w:sz w:val="22"/>
          <w:szCs w:val="22"/>
        </w:rPr>
        <w:t xml:space="preserve">  Generated client-side and never transmitted.  The server has no copy.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server stores only public material.</w:t>
      </w:r>
      <w:r>
        <w:rPr>
          <w:rFonts w:ascii="Arial" w:cs="Arial" w:eastAsia="Arial" w:hAnsi="Arial"/>
          <w:sz w:val="22"/>
          <w:szCs w:val="22"/>
        </w:rPr>
        <w:t xml:space="preserve">  Public keys, encrypted records, and permission signatures.  No plaintext data, no private keys.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On-chain data is minimal.</w:t>
      </w:r>
      <w:r>
        <w:rPr>
          <w:rFonts w:ascii="Arial" w:cs="Arial" w:eastAsia="Arial" w:hAnsi="Arial"/>
          <w:sz w:val="22"/>
          <w:szCs w:val="22"/>
        </w:rPr>
        <w:t xml:space="preserve">  Only public key registrations, permission grant hashes, and revocation events.  No health data — even encrypted — lives on-chain.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Every permission grant is a signed data structure.</w:t>
      </w:r>
      <w:r>
        <w:rPr>
          <w:rFonts w:ascii="Arial" w:cs="Arial" w:eastAsia="Arial" w:hAnsi="Arial"/>
          <w:sz w:val="22"/>
          <w:szCs w:val="22"/>
        </w:rPr>
        <w:t xml:space="preserve">  The ECDSA signature is verified before the grant is persisted.  A database row without a valid signature is not a valid permission.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DEKs are always ECIES-wrapped.</w:t>
      </w:r>
      <w:r>
        <w:rPr>
          <w:rFonts w:ascii="Arial" w:cs="Arial" w:eastAsia="Arial" w:hAnsi="Arial"/>
          <w:sz w:val="22"/>
          <w:szCs w:val="22"/>
        </w:rPr>
        <w:t xml:space="preserve">  Record Encryption Keys are always encrypted under a public key.  Re-encryption for a grantee produces a separate ECIES bundle.  The plaintext DEK never exists server-side.</w:t>
      </w:r>
    </w:p>
    <w:p>
      <w:pPr>
        <w:spacing w:after="160"/>
      </w:pPr>
      <w:r>
        <w:t xml:space="preserve"/>
      </w:r>
    </w:p>
    <w:p>
      <w:pPr>
        <w:pStyle w:val="Heading2"/>
      </w:pPr>
      <w:r>
        <w:t xml:space="preserve">2.2  Separation of Concerns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80"/>
        <w:gridCol w:w="3280"/>
      </w:tblGrid>
      <w:tr>
        <w:trPr>
          <w:tblHeader/>
        </w:trPr>
        <w:tc>
          <w:tcPr>
            <w:tcW w:type="dxa" w:w="3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Concern</w:t>
            </w:r>
          </w:p>
        </w:tc>
        <w:tc>
          <w:tcPr>
            <w:tcW w:type="dxa" w:w="28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Owned By</w:t>
            </w:r>
          </w:p>
        </w:tc>
        <w:tc>
          <w:tcPr>
            <w:tcW w:type="dxa" w:w="32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Key generation + crypto ops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CypherAegis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Isolated, auditable, reusable across products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User accounts + sessions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MedLedger (registration.py)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Application-specific, not crypto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Encrypted file storage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MedLedger (transceiver.py)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Business logic, not crypto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HTTP routing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MedLedger (api/)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Thin wire layer, no business logic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Persistence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MedLedger (database/)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Swappable without touching crypto or services</w:t>
            </w:r>
          </w:p>
        </w:tc>
      </w:tr>
    </w:tbl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3.  System Layers</w:t>
      </w:r>
    </w:p>
    <w:p>
      <w:pPr>
        <w:pStyle w:val="Heading2"/>
      </w:pPr>
      <w:r>
        <w:t xml:space="preserve">3.1  Layer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500"/>
        <w:gridCol w:w="2860"/>
      </w:tblGrid>
      <w:tr>
        <w:trPr>
          <w:tblHeader/>
        </w:trPr>
        <w:tc>
          <w:tcPr>
            <w:tcW w:type="dxa" w:w="2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45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28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 It Runs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 — Identity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Key generation, registration, public key anchoring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Client + (future) Blockchain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 — Crypto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ECIES encryption, ECDSA signing, SSS key recovery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Client-side exclusively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 — Access Control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Permission grants, verification, revocation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Server (validates) + Blockchain (anchors)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4 — Storage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Encrypted record storage, DEK management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Server (off-chain)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t xml:space="preserve">3.2  CypherAegis — Crypto Layer (Layer 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crypto layer is intentionally stateless and dependency-free.  It accepts inputs, performs cryptographic operations, and returns outputs.  It never reads from or writes to a database, never issues tokens, never reads config.</w:t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3160"/>
      </w:tblGrid>
      <w:tr>
        <w:trPr>
          <w:tblHeader/>
        </w:trPr>
        <w:tc>
          <w:tcPr>
            <w:tcW w:type="dxa" w:w="2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4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31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Algorithms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key_manager.py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P-256 keypair generation, key backup encryption, QR code output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ECDSA P-256, AES-256-GCM, PBKDF2-SHA256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ecies.py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ECIES encrypt/decrypt for DEK wrapping; AES-GCM for file encryption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ECIES (ECDH + HKDF-SHA256 + AES-256-GCM)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signature_verifier.py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Sign and verify permission grants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ECDSA P-256, SHA-256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secret_sharing.py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Shamir 3-of-5 key recovery over GF(256)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Lagrange interpolation, GF(256)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recovery_key_manager.py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Fragment generation and encrypted storage for recovery flow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AES-256-GCM, PBKDF2-SHA256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t xml:space="preserve">3.3  Application Layer (Layers 1, 3, 4)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application layer owns all stateful concerns.  It imports CypherAegis as a library and adds the following:</w:t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68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registration.py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Register, verify email, login — returns JWT.  Calls KeyManager.generate_keypair(); stores only public key material.  Never stores private key.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transceiver.py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Vault operations — upload, download, grant, revoke, rotate key.  Wires ECIES + AES-GCM through the VaultStore.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user_store.py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CRUD for UserRecord.  Backed by data/users.json (swappable to SQLite/Postgres).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vault_store.py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CRUD for VaultRecord, CiphertextRecord, Grant, VaultAuditEntry.  Backed by database/vault.json.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auth.py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FastAPI router for /api/auth/* — thin HTTP wrapper over RegistrationService.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vault.py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FastAPI router for /api/vault/* — thin HTTP wrapper over Transceiver.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deps.py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require_auth dependency — validates Bearer JWT, returns CallerIdentity.</w:t>
            </w:r>
          </w:p>
        </w:tc>
      </w:tr>
    </w:tbl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4.  Key Data Flows</w:t>
      </w:r>
    </w:p>
    <w:p>
      <w:pPr>
        <w:pStyle w:val="Heading2"/>
      </w:pPr>
      <w:r>
        <w:t xml:space="preserve">4.1  Registration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000"/>
        <w:gridCol w:w="3860"/>
      </w:tblGrid>
      <w:tr>
        <w:trPr>
          <w:tblHeader/>
        </w:trPr>
        <w:tc>
          <w:tcPr>
            <w:tcW w:type="dxa" w:w="5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5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38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Security Note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Client POSTs email + password + username to /api/auth/register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Password never stored in plaintext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Server hashes password with PBKDF2-HMAC-SHA256 (100k iterations, 32-byte random salt)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Format: sha256$iter$salt_hex$hash_hex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Server creates inactive user record, generates 12-hour verification token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Token is URL-safe random, 32 bytes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4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Token returned to client (in production: sent by email)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Account inactive until verified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Client POSTs token to /api/auth/verify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6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Server generates P-256 keypair via KeyManager.generate_keypair()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keygen_on_server=true (dev); false in production SSI mode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7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Server stores public_key_hex, public_key_compressed, public_key_hash; activates account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Private key NEVER stored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8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private_key_pem returned to client once — never stored server-side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Client must save immediately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t xml:space="preserve">4.2  Login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860"/>
      </w:tblGrid>
      <w:tr>
        <w:trPr>
          <w:tblHeader/>
        </w:trPr>
        <w:tc>
          <w:tcPr>
            <w:tcW w:type="dxa" w:w="5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88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8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Client POSTs email + password to /api/auth/login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  <w:tc>
          <w:tcPr>
            <w:tcW w:type="dxa" w:w="8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Server looks up user by email, verifies password with PBKDF2 using hmac.compare_digest (constant-time)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8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Server stamps last_login, appends LOGIN_SUCCESS to audit trail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4</w:t>
            </w:r>
          </w:p>
        </w:tc>
        <w:tc>
          <w:tcPr>
            <w:tcW w:type="dxa" w:w="8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Server issues HS256 JWT with sub (user_id), email, iat, exp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  <w:tc>
          <w:tcPr>
            <w:tcW w:type="dxa" w:w="8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Client stores JWT; subsequent requests carry it as Bearer token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t xml:space="preserve">4.3  File Upload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600"/>
        <w:gridCol w:w="4260"/>
      </w:tblGrid>
      <w:tr>
        <w:trPr>
          <w:tblHeader/>
        </w:trPr>
        <w:tc>
          <w:tcPr>
            <w:tcW w:type="dxa" w:w="5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46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42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Security Note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Client sends private_key_pem + plaintext_hex + filename to /api/vault/upload (JWT required)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Private key used locally on server; never stored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Server derives owner's public key from private key via KeyManager.get_public_key_from_private()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Server generates fresh 256-bit DEK via os.urandom(32)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New DEK per file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4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Server AES-256-GCM encrypts file with DEK; produces iv_hex + ciphertext_hex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GCM tag appended to ciphertext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Server ECIES-wraps DEK under owner's public key; produces dek_bundle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Plaintext DEK zeroed immediately after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6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VaultStore.save_record() atomically writes VaultRecord + CiphertextRecord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Metadata and ciphertext written together or not at all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7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Returns record_id to client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t xml:space="preserve">4.4  Grant + Access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860"/>
      </w:tblGrid>
      <w:tr>
        <w:trPr>
          <w:tblHeader/>
        </w:trPr>
        <w:tc>
          <w:tcPr>
            <w:tcW w:type="dxa" w:w="5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88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8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Owner POSTs private_key_pem + record_id + grantee_public_key_hex + permission_level + duration_hours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  <w:tc>
          <w:tcPr>
            <w:tcW w:type="dxa" w:w="8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Server decrypts record DEK using owner's private key via ECIES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8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Server re-encrypts DEK under grantee's public key — new ECIES bundle (dek_bundle_grantee)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4</w:t>
            </w:r>
          </w:p>
        </w:tc>
        <w:tc>
          <w:tcPr>
            <w:tcW w:type="dxa" w:w="8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Server constructs canonical permission payload (sorted-key JSON): grantor, grantee, record_id, time_start, time_end, level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  <w:tc>
          <w:tcPr>
            <w:tcW w:type="dxa" w:w="8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Server signs payload with owner's private key via ECDSA P-256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6</w:t>
            </w:r>
          </w:p>
        </w:tc>
        <w:tc>
          <w:tcPr>
            <w:tcW w:type="dxa" w:w="8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Grant record written: dek_bundle_grantee + signature_hex + time window + revoked=false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7</w:t>
            </w:r>
          </w:p>
        </w:tc>
        <w:tc>
          <w:tcPr>
            <w:tcW w:type="dxa" w:w="8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On grantee download: server finds grant, verifies ECDSA signature, checks time window, decrypts dek_bundle_grantee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8</w:t>
            </w:r>
          </w:p>
        </w:tc>
        <w:tc>
          <w:tcPr>
            <w:tcW w:type="dxa" w:w="8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On revoke: grant.revoked set to True with timestamp; all future access checks reject immediately</w:t>
            </w:r>
          </w:p>
        </w:tc>
      </w:tr>
    </w:tbl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5.  Data Model &amp; File Separation</w:t>
      </w:r>
    </w:p>
    <w:p>
      <w:pPr>
        <w:pStyle w:val="Heading2"/>
      </w:pPr>
      <w:r>
        <w:t xml:space="preserve">5.1  File Layout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Data is split across two files for a deliberate reason: identity information must never co-reside with encrypted medical records.</w:t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980"/>
        <w:gridCol w:w="2980"/>
      </w:tblGrid>
      <w:tr>
        <w:trPr>
          <w:tblHeader/>
        </w:trPr>
        <w:tc>
          <w:tcPr>
            <w:tcW w:type="dxa" w:w="2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39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Contains</w:t>
            </w:r>
          </w:p>
        </w:tc>
        <w:tc>
          <w:tcPr>
            <w:tcW w:type="dxa" w:w="29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Never Contains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data/users.json</w:t>
            </w:r>
          </w:p>
        </w:tc>
        <w:tc>
          <w:tcPr>
            <w:tcW w:type="dxa" w:w="3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UserRecord: id, email, username, full_name, role, password_hash, public_key_hex, public_key_hash, is_active, last_login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Ciphertext, DEK bundles, grants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database/vault.json</w:t>
            </w:r>
          </w:p>
        </w:tc>
        <w:tc>
          <w:tcPr>
            <w:tcW w:type="dxa" w:w="3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VaultRecord, CiphertextRecord, Grant, VaultAuditEntry — all encrypted vault state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Plaintext data, private keys, passwords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t xml:space="preserve">5.2  Schema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Schema Class</w:t>
            </w:r>
          </w:p>
        </w:tc>
        <w:tc>
          <w:tcPr>
            <w:tcW w:type="dxa" w:w="69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Fields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UserRecord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id, email, username, full_name, role, password_hash, public_key_hex, public_key_compressed, public_key_hash, is_verified, is_active, verification_token, last_login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VaultRecord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record_id (UUID), owner_key_hash, owner_public_key_hex, filename, mime_type, size_bytes, iv_hex, tags, created_at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CiphertextRecord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record_id (FK), ciphertext (bytes), dek_bundle (ECIES dict for owner)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Grant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grant_id, record_id, grantor_key_hash, grantee_key_hash, grantee_public_key_hex, permission_level, time_start, time_end, dek_bundle_grantee, signature_hex, revoked, revoked_at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AuditEntry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id, user_id, action, description, timestamp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VaultAuditEntry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id, action, actor_key_hash, record_id, detail, timestamp</w:t>
            </w:r>
          </w:p>
        </w:tc>
      </w:tr>
    </w:tbl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6.  Security Properties</w:t>
      </w:r>
    </w:p>
    <w:p>
      <w:pPr>
        <w:pStyle w:val="Heading2"/>
      </w:pPr>
      <w:r>
        <w:t xml:space="preserve">6.1  Cryptographic Guarantees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360"/>
      </w:tblGrid>
      <w:tr>
        <w:trPr>
          <w:tblHeader/>
        </w:trPr>
        <w:tc>
          <w:tcPr>
            <w:tcW w:type="dxa" w:w="2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3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Mechanism</w:t>
            </w:r>
          </w:p>
        </w:tc>
        <w:tc>
          <w:tcPr>
            <w:tcW w:type="dxa" w:w="3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Confidentiality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AES-256-GCM for file content; ECIES for DEK wrapping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ecies.py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Integrity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GCM authentication tag on every encrypted record; ECDSA sig on every grant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ecies.py, signature_verifier.py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Non-repudiation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Owner's ECDSA signature over permission payload is stored with the grant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transceiver.py grant()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Forward secrecy (per-file)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Fresh ephemeral keypair generated for each ECIES encryption call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ecies.py ecies_encrypt()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Key recovery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Shamir 3-of-5 split of private key across independent custody locations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secret_sharing.py, recovery_key_manager.py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Brute-force resistance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PBKDF2-HMAC-SHA256 with 100k iterations and 32-byte random salt for passwords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registration.py _hash_password()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Timing-safe comparison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hmac.compare_digest() for password verification — prevents timing oracle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registration.py _verify_password()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t xml:space="preserve">6.2  Threat Model — What This Architecture Defeats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Threat</w:t>
            </w:r>
          </w:p>
        </w:tc>
        <w:tc>
          <w:tcPr>
            <w:tcW w:type="dxa" w:w="6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Database breach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Ciphertext is useless without the DEK; DEK is useless without the private key; private key is never on the server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Server compromise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Private keys were never transmitted to the server (in production SSI mode); compromise yields only public material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Permission forgery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Every grant carries an ECDSA signature from the owner; a forged row without a valid signature is rejected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Replay attack on grants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Grants have a cryptographically-signed time window; expired grants are rejected even with a valid signature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Insider access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Any employee with DB access sees only ciphertext and public keys; they cannot decrypt without the patient's private key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Custody risk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Patient controls their private key; no central party can revoke or deny access to the patient's own records</w:t>
            </w:r>
          </w:p>
        </w:tc>
      </w:tr>
    </w:tbl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7.  Current State &amp; Roadmap</w:t>
      </w:r>
    </w:p>
    <w:p>
      <w:pPr>
        <w:pStyle w:val="Heading2"/>
      </w:pPr>
      <w:r>
        <w:t xml:space="preserve">7.1  Implementation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200"/>
        <w:gridCol w:w="3360"/>
      </w:tblGrid>
      <w:tr>
        <w:trPr>
          <w:tblHeader/>
        </w:trPr>
        <w:tc>
          <w:tcPr>
            <w:tcW w:type="dxa" w:w="3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2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Crypto core — key generation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Complete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key_manager.py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Crypto core — ECIES encryption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Complete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ecies.py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Crypto core — ECDSA signing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Complete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signature_verifier.py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Crypto core — Shamir secret sharing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Complete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secret_sharing.py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Crypto core — key recovery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Complete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recovery_key_manager.py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Registration + email verification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Complete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registration.py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JWT authentication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Complete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registration.py + auth.py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Vault — upload/download/grant/revoke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Complete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transceiver.py + vault.py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Key rotation (re-wrap all DEKs)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Complete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transceiver.py rotate_key()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Typed schemas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Complete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schemas/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Configurable storage backends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JSON complete; SQLite/Postgres wired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database/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CLI client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Complete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client.py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Audit logging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Basic — present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UserStore + VaultStore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Blockchain anchor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Planned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Architecture designed; chain not selected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Challenge-response 2FA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Next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Nonce issued, signed with private key, verified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CypherAegis pip package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Next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Extract src/crypto/ into standalone package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t xml:space="preserve">7.2  Next Milestones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Challenge-response authentication.</w:t>
      </w:r>
      <w:r>
        <w:rPr>
          <w:rFonts w:ascii="Arial" w:cs="Arial" w:eastAsia="Arial" w:hAnsi="Arial"/>
          <w:sz w:val="22"/>
          <w:szCs w:val="22"/>
        </w:rPr>
        <w:t xml:space="preserve">  Add POST /api/auth/challenge → POST /api/auth/verify-challenge.  Nonce issued, client signs with private key, server verifies against stored public_key_hex.  Provides cryptographic second factor.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Wire registration.py → UserStore.</w:t>
      </w:r>
      <w:r>
        <w:rPr>
          <w:rFonts w:ascii="Arial" w:cs="Arial" w:eastAsia="Arial" w:hAnsi="Arial"/>
          <w:sz w:val="22"/>
          <w:szCs w:val="22"/>
        </w:rPr>
        <w:t xml:space="preserve">  Currently routes through legacy json_store.py.  One-line change to get_store() → get_user_store() from src.database.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Wire transceiver.py → VaultStore.</w:t>
      </w:r>
      <w:r>
        <w:rPr>
          <w:rFonts w:ascii="Arial" w:cs="Arial" w:eastAsia="Arial" w:hAnsi="Arial"/>
          <w:sz w:val="22"/>
          <w:szCs w:val="22"/>
        </w:rPr>
        <w:t xml:space="preserve">  Currently manages its own JSON I/O.  Replacing with VaultStore gives typed returns and single source of truth for vault persistence.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Extract CypherAegis as a pip package.</w:t>
      </w:r>
      <w:r>
        <w:rPr>
          <w:rFonts w:ascii="Arial" w:cs="Arial" w:eastAsia="Arial" w:hAnsi="Arial"/>
          <w:sz w:val="22"/>
          <w:szCs w:val="22"/>
        </w:rPr>
        <w:t xml:space="preserve">  Isolate src/crypto/ into a standalone installable library.  MedLedger and future applications import it as a dependency.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Blockchain integration.</w:t>
      </w:r>
      <w:r>
        <w:rPr>
          <w:rFonts w:ascii="Arial" w:cs="Arial" w:eastAsia="Arial" w:hAnsi="Arial"/>
          <w:sz w:val="22"/>
          <w:szCs w:val="22"/>
        </w:rPr>
        <w:t xml:space="preserve">  Write public_key_hash + grant hashes to a distributed ledger.  Architecture is designed for this; chain selection is deferred pending research.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Delete src/medledger/ duplicate.</w:t>
      </w:r>
      <w:r>
        <w:rPr>
          <w:rFonts w:ascii="Arial" w:cs="Arial" w:eastAsia="Arial" w:hAnsi="Arial"/>
          <w:sz w:val="22"/>
          <w:szCs w:val="22"/>
        </w:rPr>
        <w:t xml:space="preserve">  This directory is an identical mirror of src/ left from a restructure.  Safe to delete.</w:t>
      </w:r>
    </w:p>
    <w:p>
      <w:pPr>
        <w:spacing w:after="160"/>
      </w:pPr>
      <w:r>
        <w:t xml:space="preserve"/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Arial" w:cs="Arial" w:eastAsia="Arial" w:hAnsi="Arial"/>
      </w:rPr>
    </w:lvl>
    <w:lvl w:ilvl="1" w15:tentative="1">
      <w:start w:val="1"/>
      <w:numFmt w:val="bullet"/>
      <w:lvlText w:val="◦"/>
      <w:lvlJc w:val="left"/>
      <w:pPr>
        <w:ind w:left="1080" w:hanging="360"/>
      </w:pPr>
      <w:rPr>
        <w:rFonts w:ascii="Arial" w:cs="Arial" w:eastAsia="Arial" w:hAnsi="Arial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0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C55A1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2026-04-01T16:28:16.880Z</dcterms:created>
  <dcterms:modified xsi:type="dcterms:W3CDTF">2026-04-01T16:28:16.881Z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