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after="120"/>
        <w:jc w:val="center"/>
      </w:pPr>
      <w:r>
        <w:rPr>
          <w:rFonts w:ascii="Arial" w:cs="Arial" w:eastAsia="Arial" w:hAnsi="Arial"/>
          <w:b/>
          <w:bCs/>
          <w:color w:val="1B3A6B"/>
          <w:sz w:val="64"/>
          <w:szCs w:val="64"/>
        </w:rPr>
        <w:t xml:space="preserve">MedLedger</w:t>
      </w:r>
    </w:p>
    <w:p>
      <w:pPr>
        <w:spacing w:before="0" w:after="60"/>
        <w:jc w:val="center"/>
      </w:pPr>
      <w:r>
        <w:rPr>
          <w:i/>
          <w:iCs/>
          <w:color w:val="2C5F8A"/>
          <w:sz w:val="26"/>
          <w:szCs w:val="26"/>
        </w:rPr>
        <w:t xml:space="preserve">Patient-Controlled Healthcare Data — Enforced by Cryptography, Not Policy</w:t>
      </w:r>
    </w:p>
    <w:p>
      <w:pPr>
        <w:pBdr>
          <w:bottom w:val="single" w:color="1B3A6B" w:sz="6" w:space="8"/>
        </w:pBdr>
        <w:spacing w:before="0" w:after="480"/>
        <w:jc w:val="center"/>
      </w:pPr>
      <w:r>
        <w:rPr>
          <w:color w:val="555555"/>
          <w:sz w:val="20"/>
          <w:szCs w:val="20"/>
        </w:rPr>
        <w:t xml:space="preserve">Team Praxis  |  Blockchain-Based Medical Record System</w:t>
      </w:r>
    </w:p>
    <w:p>
      <w:pPr>
        <w:spacing w:before="60" w:after="60"/>
      </w:pPr>
      <w:r>
        <w:t xml:space="preserve"/>
      </w:r>
    </w:p>
    <w:p>
      <w:pPr>
        <w:pStyle w:val="Heading1"/>
        <w:spacing w:before="360" w:after="120"/>
      </w:pPr>
      <w:r>
        <w:rPr>
          <w:b/>
          <w:bCs/>
          <w:color w:val="1B3A6B"/>
          <w:sz w:val="36"/>
          <w:szCs w:val="36"/>
        </w:rPr>
        <w:t xml:space="preserve">1. The Problem We Solve</w:t>
      </w:r>
    </w:p>
    <w:p>
      <w:pPr>
        <w:spacing w:before="60" w:after="120"/>
      </w:pPr>
      <w:r>
        <w:rPr>
          <w:sz w:val="22"/>
          <w:szCs w:val="22"/>
        </w:rPr>
        <w:t xml:space="preserve">Healthcare data is the most sensitive personal information that exists — yet it is routinely fragmented across incompatible systems and left exposed to a threat that most people never consider: the insider. According to industry analysis, 58% of healthcare data breaches involve insiders — people with legitimate system access who looked at records they had no business seeing, stayed longer than they should have, or tampered with the logs that would have caught them.</w:t>
      </w:r>
    </w:p>
    <w:p>
      <w:pPr>
        <w:spacing w:before="60" w:after="60"/>
      </w:pPr>
      <w:r>
        <w:t xml:space="preserve"/>
      </w:r>
    </w:p>
    <w:p>
      <w:pPr>
        <w:spacing w:before="60" w:after="120"/>
      </w:pPr>
      <w:r>
        <w:rPr>
          <w:sz w:val="22"/>
          <w:szCs w:val="22"/>
        </w:rPr>
        <w:t xml:space="preserve">The root cause is not malice alone. It is architecture. Traditional Electronic Health Record (EHR) systems are built on administrative trust: an administrator who wants to read a patient's file can simply do so. An administrator who wants to erase an audit entry that recorded their access can do that too. The system defers to the human, not the math.</w:t>
      </w:r>
    </w:p>
    <w:p>
      <w:pPr>
        <w:spacing w:before="60" w:after="60"/>
      </w:pPr>
      <w:r>
        <w:t xml:space="preserve"/>
      </w:r>
    </w:p>
    <w:p>
      <w:pPr>
        <w:spacing w:before="60" w:after="120"/>
      </w:pPr>
      <w:r>
        <w:rPr>
          <w:sz w:val="22"/>
          <w:szCs w:val="22"/>
        </w:rPr>
        <w:t xml:space="preserve">The challenge prompt names three specific gaps MedLedger was built to close:</w:t>
      </w:r>
    </w:p>
    <w:p>
      <w:pPr>
        <w:pStyle w:val="ListParagraph"/>
        <w:numPr>
          <w:ilvl w:val="0"/>
          <w:numId w:val="2"/>
        </w:numPr>
        <w:spacing w:before="40" w:after="40"/>
      </w:pPr>
      <w:r>
        <w:rPr>
          <w:sz w:val="22"/>
          <w:szCs w:val="22"/>
        </w:rPr>
        <w:t xml:space="preserve">Health records are insecure — vulnerable to breaches by anyone with database credentials.</w:t>
      </w:r>
    </w:p>
    <w:p>
      <w:pPr>
        <w:pStyle w:val="ListParagraph"/>
        <w:numPr>
          <w:ilvl w:val="0"/>
          <w:numId w:val="2"/>
        </w:numPr>
        <w:spacing w:before="40" w:after="40"/>
      </w:pPr>
      <w:r>
        <w:rPr>
          <w:sz w:val="22"/>
          <w:szCs w:val="22"/>
        </w:rPr>
        <w:t xml:space="preserve">Health records are fragmented — siloed across providers with no patient-owned identity layer.</w:t>
      </w:r>
    </w:p>
    <w:p>
      <w:pPr>
        <w:pStyle w:val="ListParagraph"/>
        <w:numPr>
          <w:ilvl w:val="0"/>
          <w:numId w:val="2"/>
        </w:numPr>
        <w:spacing w:before="40" w:after="40"/>
      </w:pPr>
      <w:r>
        <w:rPr>
          <w:sz w:val="22"/>
          <w:szCs w:val="22"/>
        </w:rPr>
        <w:t xml:space="preserve">Access is not patient-controlled — patients cannot grant, restrict, or revoke access with any technical force.</w:t>
      </w:r>
    </w:p>
    <w:p>
      <w:pPr>
        <w:spacing w:before="60" w:after="60"/>
      </w:pPr>
      <w:r>
        <w:t xml:space="preserve"/>
      </w:r>
    </w:p>
    <w:p>
      <w:pPr>
        <w:pStyle w:val="Heading1"/>
        <w:spacing w:before="360" w:after="120"/>
      </w:pPr>
      <w:r>
        <w:rPr>
          <w:b/>
          <w:bCs/>
          <w:color w:val="1B3A6B"/>
          <w:sz w:val="36"/>
          <w:szCs w:val="36"/>
        </w:rPr>
        <w:t xml:space="preserve">2. How MedLedger Addresses Every Gap</w:t>
      </w:r>
    </w:p>
    <w:p>
      <w:pPr>
        <w:pStyle w:val="Heading2"/>
        <w:spacing w:before="240" w:after="80"/>
      </w:pPr>
      <w:r>
        <w:rPr>
          <w:b/>
          <w:bCs/>
          <w:color w:val="2C5F8A"/>
          <w:sz w:val="28"/>
          <w:szCs w:val="28"/>
        </w:rPr>
        <w:t xml:space="preserve">2.1  Patient-Controlled Access</w:t>
      </w:r>
    </w:p>
    <w:p>
      <w:pPr>
        <w:spacing w:before="60" w:after="120"/>
      </w:pPr>
      <w:r>
        <w:rPr>
          <w:sz w:val="22"/>
          <w:szCs w:val="22"/>
        </w:rPr>
        <w:t xml:space="preserve">When a patient registers with MedLedger, a P-256 elliptic-curve keypair is generated locally on their device. The private key never leaves. It is never transmitted; it is never stored on the server — not encrypted, not hashed, not at all. Only the public key reaches the server.</w:t>
      </w:r>
    </w:p>
    <w:p>
      <w:pPr>
        <w:spacing w:before="60" w:after="60"/>
      </w:pPr>
      <w:r>
        <w:t xml:space="preserve"/>
      </w:r>
    </w:p>
    <w:p>
      <w:pPr>
        <w:spacing w:before="60" w:after="120"/>
      </w:pPr>
      <w:r>
        <w:rPr>
          <w:sz w:val="22"/>
          <w:szCs w:val="22"/>
        </w:rPr>
        <w:t xml:space="preserve">When a doctor requests access to a record, the patient issues a cryptographic permission: a signed JSON payload specifying exactly which doctor, which record, and a precise time window. The server verifies this ECDSA signature on every single access attempt — not once at grant time, but continuously. Without a valid patient signature, no access occurs. This is not a policy rule. A policy can be overridden by a sufficiently privileged admin. A signature cannot.</w:t>
      </w:r>
    </w:p>
    <w:p>
      <w:pPr>
        <w:pStyle w:val="Heading2"/>
        <w:spacing w:before="240" w:after="80"/>
      </w:pPr>
      <w:r>
        <w:rPr>
          <w:b/>
          <w:bCs/>
          <w:color w:val="2C5F8A"/>
          <w:sz w:val="28"/>
          <w:szCs w:val="28"/>
        </w:rPr>
        <w:t xml:space="preserve">2.2  Tamper-Proof Storage</w:t>
      </w:r>
    </w:p>
    <w:p>
      <w:pPr>
        <w:spacing w:before="60" w:after="120"/>
      </w:pPr>
      <w:r>
        <w:rPr>
          <w:sz w:val="22"/>
          <w:szCs w:val="22"/>
        </w:rPr>
        <w:t xml:space="preserve">Every medical record is encrypted on the client with AES-256-GCM before it reaches the server. The encryption key (DEK — Data Encryption Key) is itself wrapped using the patient's public key via ECIES (ECDH + HKDF-SHA256 + AES-256-GCM). The server stores only ciphertext. A database administrator performing a full table dump sees nothing legible.</w:t>
      </w:r>
    </w:p>
    <w:p>
      <w:pPr>
        <w:spacing w:before="60" w:after="60"/>
      </w:pPr>
      <w:r>
        <w:t xml:space="preserve"/>
      </w:r>
    </w:p>
    <w:p>
      <w:pPr>
        <w:spacing w:before="60" w:after="120"/>
      </w:pPr>
      <w:r>
        <w:rPr>
          <w:sz w:val="22"/>
          <w:szCs w:val="22"/>
        </w:rPr>
        <w:t xml:space="preserve">When a patient grants a doctor access, the patient's device decrypts the DEK locally, re-encrypts it for the doctor's public key, and sends only the doctor's encrypted DEK bundle to the server. The server never sees the plaintext DEK. Revoking access nulls the doctor's DEK bundle instantly — the doctor's next access attempt fails because the key no longer exists on the server.</w:t>
      </w:r>
    </w:p>
    <w:p>
      <w:pPr>
        <w:pStyle w:val="Heading2"/>
        <w:spacing w:before="240" w:after="80"/>
      </w:pPr>
      <w:r>
        <w:rPr>
          <w:b/>
          <w:bCs/>
          <w:color w:val="2C5F8A"/>
          <w:sz w:val="28"/>
          <w:szCs w:val="28"/>
        </w:rPr>
        <w:t xml:space="preserve">2.3  Smart Contracts (Cryptographic Permission Logic)</w:t>
      </w:r>
    </w:p>
    <w:p>
      <w:pPr>
        <w:spacing w:before="60" w:after="120"/>
      </w:pPr>
      <w:r>
        <w:rPr>
          <w:sz w:val="22"/>
          <w:szCs w:val="22"/>
        </w:rPr>
        <w:t xml:space="preserve">MedLedger implements the logic of a smart contract in software rather than on a public blockchain: every permission is a signed, structured record with embedded conditions (parties, record, time window, permission level). These conditions are verified cryptographically on every access. No server-side administrator can extend a time window, grant themselves access, or suppress a revocation — the signature would fail to verify because it would no longer match what the patient signed.</w:t>
      </w:r>
    </w:p>
    <w:p>
      <w:pPr>
        <w:spacing w:before="60" w:after="60"/>
      </w:pPr>
      <w:r>
        <w:t xml:space="preserve"/>
      </w:r>
    </w:p>
    <w:p>
      <w:pPr>
        <w:spacing w:before="60" w:after="120"/>
      </w:pPr>
      <w:r>
        <w:rPr>
          <w:sz w:val="22"/>
          <w:szCs w:val="22"/>
        </w:rPr>
        <w:t xml:space="preserve">Every access attempt — successful or denied — is written to an append-only, hash-chained audit log. Entries are chained so that retroactive modification of any entry breaks the chain and becomes detectable. There is no delete endpoint for audit records.</w:t>
      </w:r>
    </w:p>
    <w:p>
      <w:pPr>
        <w:spacing w:before="60" w:after="60"/>
      </w:pPr>
      <w:r>
        <w:t xml:space="preserve"/>
      </w:r>
    </w:p>
    <w:p>
      <w:pPr>
        <w:pStyle w:val="Heading1"/>
        <w:spacing w:before="360" w:after="120"/>
      </w:pPr>
      <w:r>
        <w:rPr>
          <w:b/>
          <w:bCs/>
          <w:color w:val="1B3A6B"/>
          <w:sz w:val="36"/>
          <w:szCs w:val="36"/>
        </w:rPr>
        <w:t xml:space="preserve">3. What MedLedger Adds Beyond the Requirements</w:t>
      </w:r>
    </w:p>
    <w:p>
      <w:pPr>
        <w:pStyle w:val="Heading2"/>
        <w:spacing w:before="240" w:after="80"/>
      </w:pPr>
      <w:r>
        <w:rPr>
          <w:b/>
          <w:bCs/>
          <w:color w:val="2C5F8A"/>
          <w:sz w:val="28"/>
          <w:szCs w:val="28"/>
        </w:rPr>
        <w:t xml:space="preserve">3.1  Key Recovery via Shamir Secret Sharing</w:t>
      </w:r>
    </w:p>
    <w:p>
      <w:pPr>
        <w:spacing w:before="60" w:after="120"/>
      </w:pPr>
      <w:r>
        <w:rPr>
          <w:sz w:val="22"/>
          <w:szCs w:val="22"/>
        </w:rPr>
        <w:t xml:space="preserve">Cryptographic key ownership introduces a real-world challenge: what happens when a patient loses their device? MedLedger solves this with Shamir's 3-of-5 Secret Sharing. The patient's private key is split into five shares using Lagrange interpolation over GF(256). Any three shares are sufficient to reconstruct the original key; fewer than three reveal nothing mathematically. The patient distributes shares to five chosen trustees. This is information-theoretically secure — it holds even against unlimited computation.</w:t>
      </w:r>
    </w:p>
    <w:p>
      <w:pPr>
        <w:pStyle w:val="Heading2"/>
        <w:spacing w:before="240" w:after="80"/>
      </w:pPr>
      <w:r>
        <w:rPr>
          <w:b/>
          <w:bCs/>
          <w:color w:val="2C5F8A"/>
          <w:sz w:val="28"/>
          <w:szCs w:val="28"/>
        </w:rPr>
        <w:t xml:space="preserve">3.2  Offline Resilience</w:t>
      </w:r>
    </w:p>
    <w:p>
      <w:pPr>
        <w:spacing w:before="60" w:after="120"/>
      </w:pPr>
      <w:r>
        <w:rPr>
          <w:sz w:val="22"/>
          <w:szCs w:val="22"/>
        </w:rPr>
        <w:t xml:space="preserve">The desktop client (MedLedger.exe on Windows) uses an Orchestrator pattern: if the server is unreachable, the client falls back automatically to OfflineClient mode. Files are encrypted and queued locally, then synced when connectivity resumes. Healthcare contexts — rural clinics, network outages — are not disrupted.</w:t>
      </w:r>
    </w:p>
    <w:p>
      <w:pPr>
        <w:pStyle w:val="Heading2"/>
        <w:spacing w:before="240" w:after="80"/>
      </w:pPr>
      <w:r>
        <w:rPr>
          <w:b/>
          <w:bCs/>
          <w:color w:val="2C5F8A"/>
          <w:sz w:val="28"/>
          <w:szCs w:val="28"/>
        </w:rPr>
        <w:t xml:space="preserve">3.3  Instant Revocation with Mathematical Certainty</w:t>
      </w:r>
    </w:p>
    <w:p>
      <w:pPr>
        <w:spacing w:before="60" w:after="120"/>
      </w:pPr>
      <w:r>
        <w:rPr>
          <w:sz w:val="22"/>
          <w:szCs w:val="22"/>
        </w:rPr>
        <w:t xml:space="preserve">In traditional systems, revoking a doctor's access requires updating a permission flag in a database — a flag an admin could reset. In MedLedger, revocation destroys the doctor's encrypted DEK bundle on the server. The doctor's private key is now useless for that record because nothing on the server can be decrypted with it. Access does not merely become unauthorized — it becomes impossible.</w:t>
      </w:r>
    </w:p>
    <w:p>
      <w:pPr>
        <w:pStyle w:val="Heading2"/>
        <w:spacing w:before="240" w:after="80"/>
      </w:pPr>
      <w:r>
        <w:rPr>
          <w:b/>
          <w:bCs/>
          <w:color w:val="2C5F8A"/>
          <w:sz w:val="28"/>
          <w:szCs w:val="28"/>
        </w:rPr>
        <w:t xml:space="preserve">3.4  Role-Granular Architecture</w:t>
      </w:r>
    </w:p>
    <w:p>
      <w:pPr>
        <w:spacing w:before="60" w:after="120"/>
      </w:pPr>
      <w:r>
        <w:rPr>
          <w:sz w:val="22"/>
          <w:szCs w:val="22"/>
        </w:rPr>
        <w:t xml:space="preserve">MedLedger distinguishes three roles — Patient, Doctor, Admin — with hard cryptographic boundaries between them. Admins have monitoring and compliance views. They cannot access patient records, override permissions, or modify the audit trail. The Admin role is read-only for compliance, not a privileged override path.</w:t>
      </w:r>
    </w:p>
    <w:p>
      <w:pPr>
        <w:pStyle w:val="Heading2"/>
        <w:spacing w:before="240" w:after="80"/>
      </w:pPr>
      <w:r>
        <w:rPr>
          <w:b/>
          <w:bCs/>
          <w:color w:val="2C5F8A"/>
          <w:sz w:val="28"/>
          <w:szCs w:val="28"/>
        </w:rPr>
        <w:t xml:space="preserve">3.5  Self-Hostable or Cloud-Deployed</w:t>
      </w:r>
    </w:p>
    <w:p>
      <w:pPr>
        <w:spacing w:before="60" w:after="120"/>
      </w:pPr>
      <w:r>
        <w:rPr>
          <w:sz w:val="22"/>
          <w:szCs w:val="22"/>
        </w:rPr>
        <w:t xml:space="preserve">The system is architected as two independent components: a FastAPI backend (Python) and a standalone desktop client. The client can connect to a hosted server (users download MedLedger.exe and connect immediately) or the entire stack can be self-hosted by a hospital or clinic — the client and server run from the same cloned repository with a single command. No cloud dependency is required.</w:t>
      </w:r>
    </w:p>
    <w:p>
      <w:pPr>
        <w:spacing w:before="60" w:after="60"/>
      </w:pPr>
      <w:r>
        <w:t xml:space="preserve"/>
      </w:r>
    </w:p>
    <w:p>
      <w:pPr>
        <w:pStyle w:val="Heading1"/>
        <w:spacing w:before="360" w:after="120"/>
      </w:pPr>
      <w:r>
        <w:rPr>
          <w:b/>
          <w:bCs/>
          <w:color w:val="1B3A6B"/>
          <w:sz w:val="36"/>
          <w:szCs w:val="36"/>
        </w:rPr>
        <w:t xml:space="preserve">4. Side-by-Side: Traditional EHR vs. MedLedger</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930"/>
        <w:gridCol w:w="2930"/>
      </w:tblGrid>
      <w:tr>
        <w:tc>
          <w:tcPr>
            <w:tcW w:type="dxa" w:w="3500"/>
            <w:tcBorders>
              <w:top w:val="single" w:color="CCCCCC" w:sz="1"/>
              <w:left w:val="single" w:color="CCCCCC" w:sz="1"/>
              <w:bottom w:val="single" w:color="CCCCCC" w:sz="1"/>
              <w:right w:val="single" w:color="CCCCCC" w:sz="1"/>
            </w:tcBorders>
            <w:shd w:fill="1B3A6B" w:val="clear"/>
            <w:tcMar>
              <w:top w:type="dxa" w:w="100"/>
              <w:left w:type="dxa" w:w="160"/>
              <w:bottom w:type="dxa" w:w="100"/>
              <w:right w:type="dxa" w:w="160"/>
            </w:tcMar>
          </w:tcPr>
          <w:p>
            <w:r>
              <w:rPr>
                <w:b/>
                <w:bCs/>
                <w:color w:val="FFFFFF"/>
                <w:sz w:val="20"/>
                <w:szCs w:val="20"/>
              </w:rPr>
              <w:t xml:space="preserve">Feature</w:t>
            </w:r>
          </w:p>
        </w:tc>
        <w:tc>
          <w:tcPr>
            <w:tcW w:type="dxa" w:w="2930"/>
            <w:tcBorders>
              <w:top w:val="single" w:color="CCCCCC" w:sz="1"/>
              <w:left w:val="single" w:color="CCCCCC" w:sz="1"/>
              <w:bottom w:val="single" w:color="CCCCCC" w:sz="1"/>
              <w:right w:val="single" w:color="CCCCCC" w:sz="1"/>
            </w:tcBorders>
            <w:shd w:fill="1B3A6B" w:val="clear"/>
            <w:tcMar>
              <w:top w:type="dxa" w:w="100"/>
              <w:left w:type="dxa" w:w="160"/>
              <w:bottom w:type="dxa" w:w="100"/>
              <w:right w:type="dxa" w:w="160"/>
            </w:tcMar>
          </w:tcPr>
          <w:p>
            <w:r>
              <w:rPr>
                <w:b/>
                <w:bCs/>
                <w:color w:val="FFFFFF"/>
                <w:sz w:val="20"/>
                <w:szCs w:val="20"/>
              </w:rPr>
              <w:t xml:space="preserve">Traditional EHR</w:t>
            </w:r>
          </w:p>
        </w:tc>
        <w:tc>
          <w:tcPr>
            <w:tcW w:type="dxa" w:w="2930"/>
            <w:tcBorders>
              <w:top w:val="single" w:color="CCCCCC" w:sz="1"/>
              <w:left w:val="single" w:color="CCCCCC" w:sz="1"/>
              <w:bottom w:val="single" w:color="CCCCCC" w:sz="1"/>
              <w:right w:val="single" w:color="CCCCCC" w:sz="1"/>
            </w:tcBorders>
            <w:shd w:fill="1B3A6B" w:val="clear"/>
            <w:tcMar>
              <w:top w:type="dxa" w:w="100"/>
              <w:left w:type="dxa" w:w="160"/>
              <w:bottom w:type="dxa" w:w="100"/>
              <w:right w:type="dxa" w:w="160"/>
            </w:tcMar>
          </w:tcPr>
          <w:p>
            <w:r>
              <w:rPr>
                <w:b/>
                <w:bCs/>
                <w:color w:val="FFFFFF"/>
                <w:sz w:val="20"/>
                <w:szCs w:val="20"/>
              </w:rPr>
              <w:t xml:space="preserve">MedLedger</w:t>
            </w:r>
          </w:p>
        </w:tc>
      </w:tr>
      <w:tr>
        <w:tc>
          <w:tcPr>
            <w:tcW w:type="dxa" w:w="3500"/>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b/>
                <w:bCs/>
                <w:sz w:val="20"/>
                <w:szCs w:val="20"/>
              </w:rPr>
              <w:t xml:space="preserve">Patient controls access</w:t>
            </w:r>
          </w:p>
        </w:tc>
        <w:tc>
          <w:tcPr>
            <w:tcW w:type="dxa" w:w="2930"/>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color w:val="C0392B"/>
                <w:sz w:val="20"/>
                <w:szCs w:val="20"/>
              </w:rPr>
              <w:t xml:space="preserve">❌ No</w:t>
            </w:r>
          </w:p>
        </w:tc>
        <w:tc>
          <w:tcPr>
            <w:tcW w:type="dxa" w:w="2930"/>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color w:val="1A7A40"/>
                <w:sz w:val="20"/>
                <w:szCs w:val="20"/>
              </w:rPr>
              <w:t xml:space="preserve">✅ Yes — cryptographic signature required</w:t>
            </w:r>
          </w:p>
        </w:tc>
      </w:tr>
      <w:tr>
        <w:tc>
          <w:tcPr>
            <w:tcW w:type="dxa" w:w="3500"/>
            <w:tcBorders>
              <w:top w:val="single" w:color="CCCCCC" w:sz="1"/>
              <w:left w:val="single" w:color="CCCCCC" w:sz="1"/>
              <w:bottom w:val="single" w:color="CCCCCC" w:sz="1"/>
              <w:right w:val="single" w:color="CCCCCC" w:sz="1"/>
            </w:tcBorders>
            <w:shd w:fill="EEF4FB" w:val="clear"/>
            <w:tcMar>
              <w:top w:type="dxa" w:w="100"/>
              <w:left w:type="dxa" w:w="160"/>
              <w:bottom w:type="dxa" w:w="100"/>
              <w:right w:type="dxa" w:w="160"/>
            </w:tcMar>
          </w:tcPr>
          <w:p>
            <w:r>
              <w:rPr>
                <w:b/>
                <w:bCs/>
                <w:sz w:val="20"/>
                <w:szCs w:val="20"/>
              </w:rPr>
              <w:t xml:space="preserve">Admin can override access</w:t>
            </w:r>
          </w:p>
        </w:tc>
        <w:tc>
          <w:tcPr>
            <w:tcW w:type="dxa" w:w="2930"/>
            <w:tcBorders>
              <w:top w:val="single" w:color="CCCCCC" w:sz="1"/>
              <w:left w:val="single" w:color="CCCCCC" w:sz="1"/>
              <w:bottom w:val="single" w:color="CCCCCC" w:sz="1"/>
              <w:right w:val="single" w:color="CCCCCC" w:sz="1"/>
            </w:tcBorders>
            <w:shd w:fill="EEF4FB" w:val="clear"/>
            <w:tcMar>
              <w:top w:type="dxa" w:w="100"/>
              <w:left w:type="dxa" w:w="160"/>
              <w:bottom w:type="dxa" w:w="100"/>
              <w:right w:type="dxa" w:w="160"/>
            </w:tcMar>
          </w:tcPr>
          <w:p>
            <w:r>
              <w:rPr>
                <w:color w:val="C0392B"/>
                <w:sz w:val="20"/>
                <w:szCs w:val="20"/>
              </w:rPr>
              <w:t xml:space="preserve">❌ Yes (major risk)</w:t>
            </w:r>
          </w:p>
        </w:tc>
        <w:tc>
          <w:tcPr>
            <w:tcW w:type="dxa" w:w="2930"/>
            <w:tcBorders>
              <w:top w:val="single" w:color="CCCCCC" w:sz="1"/>
              <w:left w:val="single" w:color="CCCCCC" w:sz="1"/>
              <w:bottom w:val="single" w:color="CCCCCC" w:sz="1"/>
              <w:right w:val="single" w:color="CCCCCC" w:sz="1"/>
            </w:tcBorders>
            <w:shd w:fill="EEF4FB" w:val="clear"/>
            <w:tcMar>
              <w:top w:type="dxa" w:w="100"/>
              <w:left w:type="dxa" w:w="160"/>
              <w:bottom w:type="dxa" w:w="100"/>
              <w:right w:type="dxa" w:w="160"/>
            </w:tcMar>
          </w:tcPr>
          <w:p>
            <w:r>
              <w:rPr>
                <w:color w:val="1A7A40"/>
                <w:sz w:val="20"/>
                <w:szCs w:val="20"/>
              </w:rPr>
              <w:t xml:space="preserve">✅ No — math prevents it</w:t>
            </w:r>
          </w:p>
        </w:tc>
      </w:tr>
      <w:tr>
        <w:tc>
          <w:tcPr>
            <w:tcW w:type="dxa" w:w="3500"/>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b/>
                <w:bCs/>
                <w:sz w:val="20"/>
                <w:szCs w:val="20"/>
              </w:rPr>
              <w:t xml:space="preserve">Audit logs deletable</w:t>
            </w:r>
          </w:p>
        </w:tc>
        <w:tc>
          <w:tcPr>
            <w:tcW w:type="dxa" w:w="2930"/>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color w:val="C0392B"/>
                <w:sz w:val="20"/>
                <w:szCs w:val="20"/>
              </w:rPr>
              <w:t xml:space="preserve">❌ Yes (cover-up risk)</w:t>
            </w:r>
          </w:p>
        </w:tc>
        <w:tc>
          <w:tcPr>
            <w:tcW w:type="dxa" w:w="2930"/>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color w:val="1A7A40"/>
                <w:sz w:val="20"/>
                <w:szCs w:val="20"/>
              </w:rPr>
              <w:t xml:space="preserve">✅ No — append-only, hash-chained</w:t>
            </w:r>
          </w:p>
        </w:tc>
      </w:tr>
      <w:tr>
        <w:tc>
          <w:tcPr>
            <w:tcW w:type="dxa" w:w="3500"/>
            <w:tcBorders>
              <w:top w:val="single" w:color="CCCCCC" w:sz="1"/>
              <w:left w:val="single" w:color="CCCCCC" w:sz="1"/>
              <w:bottom w:val="single" w:color="CCCCCC" w:sz="1"/>
              <w:right w:val="single" w:color="CCCCCC" w:sz="1"/>
            </w:tcBorders>
            <w:shd w:fill="EEF4FB" w:val="clear"/>
            <w:tcMar>
              <w:top w:type="dxa" w:w="100"/>
              <w:left w:type="dxa" w:w="160"/>
              <w:bottom w:type="dxa" w:w="100"/>
              <w:right w:type="dxa" w:w="160"/>
            </w:tcMar>
          </w:tcPr>
          <w:p>
            <w:r>
              <w:rPr>
                <w:b/>
                <w:bCs/>
                <w:sz w:val="20"/>
                <w:szCs w:val="20"/>
              </w:rPr>
              <w:t xml:space="preserve">Time-limited access windows</w:t>
            </w:r>
          </w:p>
        </w:tc>
        <w:tc>
          <w:tcPr>
            <w:tcW w:type="dxa" w:w="2930"/>
            <w:tcBorders>
              <w:top w:val="single" w:color="CCCCCC" w:sz="1"/>
              <w:left w:val="single" w:color="CCCCCC" w:sz="1"/>
              <w:bottom w:val="single" w:color="CCCCCC" w:sz="1"/>
              <w:right w:val="single" w:color="CCCCCC" w:sz="1"/>
            </w:tcBorders>
            <w:shd w:fill="EEF4FB" w:val="clear"/>
            <w:tcMar>
              <w:top w:type="dxa" w:w="100"/>
              <w:left w:type="dxa" w:w="160"/>
              <w:bottom w:type="dxa" w:w="100"/>
              <w:right w:type="dxa" w:w="160"/>
            </w:tcMar>
          </w:tcPr>
          <w:p>
            <w:r>
              <w:rPr>
                <w:color w:val="C0392B"/>
                <w:sz w:val="20"/>
                <w:szCs w:val="20"/>
              </w:rPr>
              <w:t xml:space="preserve">❌ No</w:t>
            </w:r>
          </w:p>
        </w:tc>
        <w:tc>
          <w:tcPr>
            <w:tcW w:type="dxa" w:w="2930"/>
            <w:tcBorders>
              <w:top w:val="single" w:color="CCCCCC" w:sz="1"/>
              <w:left w:val="single" w:color="CCCCCC" w:sz="1"/>
              <w:bottom w:val="single" w:color="CCCCCC" w:sz="1"/>
              <w:right w:val="single" w:color="CCCCCC" w:sz="1"/>
            </w:tcBorders>
            <w:shd w:fill="EEF4FB" w:val="clear"/>
            <w:tcMar>
              <w:top w:type="dxa" w:w="100"/>
              <w:left w:type="dxa" w:w="160"/>
              <w:bottom w:type="dxa" w:w="100"/>
              <w:right w:type="dxa" w:w="160"/>
            </w:tcMar>
          </w:tcPr>
          <w:p>
            <w:r>
              <w:rPr>
                <w:color w:val="1A7A40"/>
                <w:sz w:val="20"/>
                <w:szCs w:val="20"/>
              </w:rPr>
              <w:t xml:space="preserve">✅ Yes — enforced cryptographically</w:t>
            </w:r>
          </w:p>
        </w:tc>
      </w:tr>
      <w:tr>
        <w:tc>
          <w:tcPr>
            <w:tcW w:type="dxa" w:w="3500"/>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b/>
                <w:bCs/>
                <w:sz w:val="20"/>
                <w:szCs w:val="20"/>
              </w:rPr>
              <w:t xml:space="preserve">Instant access revocation</w:t>
            </w:r>
          </w:p>
        </w:tc>
        <w:tc>
          <w:tcPr>
            <w:tcW w:type="dxa" w:w="2930"/>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color w:val="C0392B"/>
                <w:sz w:val="20"/>
                <w:szCs w:val="20"/>
              </w:rPr>
              <w:t xml:space="preserve">❌ No (delayed)</w:t>
            </w:r>
          </w:p>
        </w:tc>
        <w:tc>
          <w:tcPr>
            <w:tcW w:type="dxa" w:w="2930"/>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color w:val="1A7A40"/>
                <w:sz w:val="20"/>
                <w:szCs w:val="20"/>
              </w:rPr>
              <w:t xml:space="preserve">✅ Yes — DEK nulled immediately</w:t>
            </w:r>
          </w:p>
        </w:tc>
      </w:tr>
      <w:tr>
        <w:tc>
          <w:tcPr>
            <w:tcW w:type="dxa" w:w="3500"/>
            <w:tcBorders>
              <w:top w:val="single" w:color="CCCCCC" w:sz="1"/>
              <w:left w:val="single" w:color="CCCCCC" w:sz="1"/>
              <w:bottom w:val="single" w:color="CCCCCC" w:sz="1"/>
              <w:right w:val="single" w:color="CCCCCC" w:sz="1"/>
            </w:tcBorders>
            <w:shd w:fill="EEF4FB" w:val="clear"/>
            <w:tcMar>
              <w:top w:type="dxa" w:w="100"/>
              <w:left w:type="dxa" w:w="160"/>
              <w:bottom w:type="dxa" w:w="100"/>
              <w:right w:type="dxa" w:w="160"/>
            </w:tcMar>
          </w:tcPr>
          <w:p>
            <w:r>
              <w:rPr>
                <w:b/>
                <w:bCs/>
                <w:sz w:val="20"/>
                <w:szCs w:val="20"/>
              </w:rPr>
              <w:t xml:space="preserve">Records encrypted end-to-end</w:t>
            </w:r>
          </w:p>
        </w:tc>
        <w:tc>
          <w:tcPr>
            <w:tcW w:type="dxa" w:w="2930"/>
            <w:tcBorders>
              <w:top w:val="single" w:color="CCCCCC" w:sz="1"/>
              <w:left w:val="single" w:color="CCCCCC" w:sz="1"/>
              <w:bottom w:val="single" w:color="CCCCCC" w:sz="1"/>
              <w:right w:val="single" w:color="CCCCCC" w:sz="1"/>
            </w:tcBorders>
            <w:shd w:fill="EEF4FB" w:val="clear"/>
            <w:tcMar>
              <w:top w:type="dxa" w:w="100"/>
              <w:left w:type="dxa" w:w="160"/>
              <w:bottom w:type="dxa" w:w="100"/>
              <w:right w:type="dxa" w:w="160"/>
            </w:tcMar>
          </w:tcPr>
          <w:p>
            <w:r>
              <w:rPr>
                <w:color w:val="C0392B"/>
                <w:sz w:val="20"/>
                <w:szCs w:val="20"/>
              </w:rPr>
              <w:t xml:space="preserve">❌ No (server can read)</w:t>
            </w:r>
          </w:p>
        </w:tc>
        <w:tc>
          <w:tcPr>
            <w:tcW w:type="dxa" w:w="2930"/>
            <w:tcBorders>
              <w:top w:val="single" w:color="CCCCCC" w:sz="1"/>
              <w:left w:val="single" w:color="CCCCCC" w:sz="1"/>
              <w:bottom w:val="single" w:color="CCCCCC" w:sz="1"/>
              <w:right w:val="single" w:color="CCCCCC" w:sz="1"/>
            </w:tcBorders>
            <w:shd w:fill="EEF4FB" w:val="clear"/>
            <w:tcMar>
              <w:top w:type="dxa" w:w="100"/>
              <w:left w:type="dxa" w:w="160"/>
              <w:bottom w:type="dxa" w:w="100"/>
              <w:right w:type="dxa" w:w="160"/>
            </w:tcMar>
          </w:tcPr>
          <w:p>
            <w:r>
              <w:rPr>
                <w:color w:val="1A7A40"/>
                <w:sz w:val="20"/>
                <w:szCs w:val="20"/>
              </w:rPr>
              <w:t xml:space="preserve">✅ Yes — AES-256-GCM, key never on server</w:t>
            </w:r>
          </w:p>
        </w:tc>
      </w:tr>
      <w:tr>
        <w:tc>
          <w:tcPr>
            <w:tcW w:type="dxa" w:w="3500"/>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b/>
                <w:bCs/>
                <w:sz w:val="20"/>
                <w:szCs w:val="20"/>
              </w:rPr>
              <w:t xml:space="preserve">Key recovery for lost device</w:t>
            </w:r>
          </w:p>
        </w:tc>
        <w:tc>
          <w:tcPr>
            <w:tcW w:type="dxa" w:w="2930"/>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color w:val="C0392B"/>
                <w:sz w:val="20"/>
                <w:szCs w:val="20"/>
              </w:rPr>
              <w:t xml:space="preserve">❌ No standard solution</w:t>
            </w:r>
          </w:p>
        </w:tc>
        <w:tc>
          <w:tcPr>
            <w:tcW w:type="dxa" w:w="2930"/>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color w:val="1A7A40"/>
                <w:sz w:val="20"/>
                <w:szCs w:val="20"/>
              </w:rPr>
              <w:t xml:space="preserve">✅ Yes — Shamir 3-of-5 secret sharing</w:t>
            </w:r>
          </w:p>
        </w:tc>
      </w:tr>
      <w:tr>
        <w:tc>
          <w:tcPr>
            <w:tcW w:type="dxa" w:w="3500"/>
            <w:tcBorders>
              <w:top w:val="single" w:color="CCCCCC" w:sz="1"/>
              <w:left w:val="single" w:color="CCCCCC" w:sz="1"/>
              <w:bottom w:val="single" w:color="CCCCCC" w:sz="1"/>
              <w:right w:val="single" w:color="CCCCCC" w:sz="1"/>
            </w:tcBorders>
            <w:shd w:fill="EEF4FB" w:val="clear"/>
            <w:tcMar>
              <w:top w:type="dxa" w:w="100"/>
              <w:left w:type="dxa" w:w="160"/>
              <w:bottom w:type="dxa" w:w="100"/>
              <w:right w:type="dxa" w:w="160"/>
            </w:tcMar>
          </w:tcPr>
          <w:p>
            <w:r>
              <w:rPr>
                <w:b/>
                <w:bCs/>
                <w:sz w:val="20"/>
                <w:szCs w:val="20"/>
              </w:rPr>
              <w:t xml:space="preserve">Works offline</w:t>
            </w:r>
          </w:p>
        </w:tc>
        <w:tc>
          <w:tcPr>
            <w:tcW w:type="dxa" w:w="2930"/>
            <w:tcBorders>
              <w:top w:val="single" w:color="CCCCCC" w:sz="1"/>
              <w:left w:val="single" w:color="CCCCCC" w:sz="1"/>
              <w:bottom w:val="single" w:color="CCCCCC" w:sz="1"/>
              <w:right w:val="single" w:color="CCCCCC" w:sz="1"/>
            </w:tcBorders>
            <w:shd w:fill="EEF4FB" w:val="clear"/>
            <w:tcMar>
              <w:top w:type="dxa" w:w="100"/>
              <w:left w:type="dxa" w:w="160"/>
              <w:bottom w:type="dxa" w:w="100"/>
              <w:right w:type="dxa" w:w="160"/>
            </w:tcMar>
          </w:tcPr>
          <w:p>
            <w:r>
              <w:rPr>
                <w:color w:val="C0392B"/>
                <w:sz w:val="20"/>
                <w:szCs w:val="20"/>
              </w:rPr>
              <w:t xml:space="preserve">❌ No</w:t>
            </w:r>
          </w:p>
        </w:tc>
        <w:tc>
          <w:tcPr>
            <w:tcW w:type="dxa" w:w="2930"/>
            <w:tcBorders>
              <w:top w:val="single" w:color="CCCCCC" w:sz="1"/>
              <w:left w:val="single" w:color="CCCCCC" w:sz="1"/>
              <w:bottom w:val="single" w:color="CCCCCC" w:sz="1"/>
              <w:right w:val="single" w:color="CCCCCC" w:sz="1"/>
            </w:tcBorders>
            <w:shd w:fill="EEF4FB" w:val="clear"/>
            <w:tcMar>
              <w:top w:type="dxa" w:w="100"/>
              <w:left w:type="dxa" w:w="160"/>
              <w:bottom w:type="dxa" w:w="100"/>
              <w:right w:type="dxa" w:w="160"/>
            </w:tcMar>
          </w:tcPr>
          <w:p>
            <w:r>
              <w:rPr>
                <w:color w:val="1A7A40"/>
                <w:sz w:val="20"/>
                <w:szCs w:val="20"/>
              </w:rPr>
              <w:t xml:space="preserve">✅ Yes — encrypted local queue</w:t>
            </w:r>
          </w:p>
        </w:tc>
      </w:tr>
    </w:tbl>
    <w:p>
      <w:pPr>
        <w:spacing w:before="60" w:after="60"/>
      </w:pPr>
      <w:r>
        <w:t xml:space="preserve"/>
      </w:r>
    </w:p>
    <w:p>
      <w:pPr>
        <w:pStyle w:val="Heading1"/>
        <w:spacing w:before="360" w:after="120"/>
      </w:pPr>
      <w:r>
        <w:rPr>
          <w:b/>
          <w:bCs/>
          <w:color w:val="1B3A6B"/>
          <w:sz w:val="36"/>
          <w:szCs w:val="36"/>
        </w:rPr>
        <w:t xml:space="preserve">5. Threat Model — How MedLedger Defends Against Real Attacks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2C5F8A" w:val="clear"/>
            <w:tcMar>
              <w:top w:type="dxa" w:w="100"/>
              <w:left w:type="dxa" w:w="160"/>
              <w:bottom w:type="dxa" w:w="100"/>
              <w:right w:type="dxa" w:w="160"/>
            </w:tcMar>
          </w:tcPr>
          <w:p>
            <w:r>
              <w:rPr>
                <w:b/>
                <w:bCs/>
                <w:color w:val="FFFFFF"/>
                <w:sz w:val="20"/>
                <w:szCs w:val="20"/>
              </w:rPr>
              <w:t xml:space="preserve">Threat</w:t>
            </w:r>
          </w:p>
        </w:tc>
        <w:tc>
          <w:tcPr>
            <w:tcW w:type="dxa" w:w="5760"/>
            <w:tcBorders>
              <w:top w:val="single" w:color="CCCCCC" w:sz="1"/>
              <w:left w:val="single" w:color="CCCCCC" w:sz="1"/>
              <w:bottom w:val="single" w:color="CCCCCC" w:sz="1"/>
              <w:right w:val="single" w:color="CCCCCC" w:sz="1"/>
            </w:tcBorders>
            <w:shd w:fill="2C5F8A" w:val="clear"/>
            <w:tcMar>
              <w:top w:type="dxa" w:w="100"/>
              <w:left w:type="dxa" w:w="160"/>
              <w:bottom w:type="dxa" w:w="100"/>
              <w:right w:type="dxa" w:w="160"/>
            </w:tcMar>
          </w:tcPr>
          <w:p>
            <w:r>
              <w:rPr>
                <w:b/>
                <w:bCs/>
                <w:color w:val="FFFFFF"/>
                <w:sz w:val="20"/>
                <w:szCs w:val="20"/>
              </w:rPr>
              <w:t xml:space="preserve">MedLedger Defence</w:t>
            </w:r>
          </w:p>
        </w:tc>
      </w:tr>
      <w:tr>
        <w:tc>
          <w:tcPr>
            <w:tcW w:type="dxa" w:w="3600"/>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b/>
                <w:bCs/>
                <w:sz w:val="20"/>
                <w:szCs w:val="20"/>
              </w:rPr>
              <w:t xml:space="preserve">Insider admin reads records without auth</w:t>
            </w:r>
          </w:p>
        </w:tc>
        <w:tc>
          <w:tcPr>
            <w:tcW w:type="dxa" w:w="5760"/>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sz w:val="20"/>
                <w:szCs w:val="20"/>
              </w:rPr>
              <w:t xml:space="preserve">Impossible — no patient signature means no DEK decryption, regardless of DB access level</w:t>
            </w:r>
          </w:p>
        </w:tc>
      </w:tr>
      <w:tr>
        <w:tc>
          <w:tcPr>
            <w:tcW w:type="dxa" w:w="3600"/>
            <w:tcBorders>
              <w:top w:val="single" w:color="CCCCCC" w:sz="1"/>
              <w:left w:val="single" w:color="CCCCCC" w:sz="1"/>
              <w:bottom w:val="single" w:color="CCCCCC" w:sz="1"/>
              <w:right w:val="single" w:color="CCCCCC" w:sz="1"/>
            </w:tcBorders>
            <w:shd w:fill="EEF4FB" w:val="clear"/>
            <w:tcMar>
              <w:top w:type="dxa" w:w="100"/>
              <w:left w:type="dxa" w:w="160"/>
              <w:bottom w:type="dxa" w:w="100"/>
              <w:right w:type="dxa" w:w="160"/>
            </w:tcMar>
          </w:tcPr>
          <w:p>
            <w:r>
              <w:rPr>
                <w:b/>
                <w:bCs/>
                <w:sz w:val="20"/>
                <w:szCs w:val="20"/>
              </w:rPr>
              <w:t xml:space="preserve">Admin deletes audit log to cover tracks</w:t>
            </w:r>
          </w:p>
        </w:tc>
        <w:tc>
          <w:tcPr>
            <w:tcW w:type="dxa" w:w="5760"/>
            <w:tcBorders>
              <w:top w:val="single" w:color="CCCCCC" w:sz="1"/>
              <w:left w:val="single" w:color="CCCCCC" w:sz="1"/>
              <w:bottom w:val="single" w:color="CCCCCC" w:sz="1"/>
              <w:right w:val="single" w:color="CCCCCC" w:sz="1"/>
            </w:tcBorders>
            <w:shd w:fill="EEF4FB" w:val="clear"/>
            <w:tcMar>
              <w:top w:type="dxa" w:w="100"/>
              <w:left w:type="dxa" w:w="160"/>
              <w:bottom w:type="dxa" w:w="100"/>
              <w:right w:type="dxa" w:w="160"/>
            </w:tcMar>
          </w:tcPr>
          <w:p>
            <w:r>
              <w:rPr>
                <w:sz w:val="20"/>
                <w:szCs w:val="20"/>
              </w:rPr>
              <w:t xml:space="preserve">Impossible — append-only schema, no delete endpoint, hash-chained entries</w:t>
            </w:r>
          </w:p>
        </w:tc>
      </w:tr>
      <w:tr>
        <w:tc>
          <w:tcPr>
            <w:tcW w:type="dxa" w:w="3600"/>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b/>
                <w:bCs/>
                <w:sz w:val="20"/>
                <w:szCs w:val="20"/>
              </w:rPr>
              <w:t xml:space="preserve">Doctor retains access after revocation</w:t>
            </w:r>
          </w:p>
        </w:tc>
        <w:tc>
          <w:tcPr>
            <w:tcW w:type="dxa" w:w="5760"/>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sz w:val="20"/>
                <w:szCs w:val="20"/>
              </w:rPr>
              <w:t xml:space="preserve">Server nulls doctor's DEK bundle instantly; next access denied — key is gone</w:t>
            </w:r>
          </w:p>
        </w:tc>
      </w:tr>
      <w:tr>
        <w:tc>
          <w:tcPr>
            <w:tcW w:type="dxa" w:w="3600"/>
            <w:tcBorders>
              <w:top w:val="single" w:color="CCCCCC" w:sz="1"/>
              <w:left w:val="single" w:color="CCCCCC" w:sz="1"/>
              <w:bottom w:val="single" w:color="CCCCCC" w:sz="1"/>
              <w:right w:val="single" w:color="CCCCCC" w:sz="1"/>
            </w:tcBorders>
            <w:shd w:fill="EEF4FB" w:val="clear"/>
            <w:tcMar>
              <w:top w:type="dxa" w:w="100"/>
              <w:left w:type="dxa" w:w="160"/>
              <w:bottom w:type="dxa" w:w="100"/>
              <w:right w:type="dxa" w:w="160"/>
            </w:tcMar>
          </w:tcPr>
          <w:p>
            <w:r>
              <w:rPr>
                <w:b/>
                <w:bCs/>
                <w:sz w:val="20"/>
                <w:szCs w:val="20"/>
              </w:rPr>
              <w:t xml:space="preserve">Full database breach / dump</w:t>
            </w:r>
          </w:p>
        </w:tc>
        <w:tc>
          <w:tcPr>
            <w:tcW w:type="dxa" w:w="5760"/>
            <w:tcBorders>
              <w:top w:val="single" w:color="CCCCCC" w:sz="1"/>
              <w:left w:val="single" w:color="CCCCCC" w:sz="1"/>
              <w:bottom w:val="single" w:color="CCCCCC" w:sz="1"/>
              <w:right w:val="single" w:color="CCCCCC" w:sz="1"/>
            </w:tcBorders>
            <w:shd w:fill="EEF4FB" w:val="clear"/>
            <w:tcMar>
              <w:top w:type="dxa" w:w="100"/>
              <w:left w:type="dxa" w:w="160"/>
              <w:bottom w:type="dxa" w:w="100"/>
              <w:right w:type="dxa" w:w="160"/>
            </w:tcMar>
          </w:tcPr>
          <w:p>
            <w:r>
              <w:rPr>
                <w:sz w:val="20"/>
                <w:szCs w:val="20"/>
              </w:rPr>
              <w:t xml:space="preserve">Only ciphertext present; DEKs ECIES-encrypted; neither decryptable without patient private key</w:t>
            </w:r>
          </w:p>
        </w:tc>
      </w:tr>
      <w:tr>
        <w:tc>
          <w:tcPr>
            <w:tcW w:type="dxa" w:w="3600"/>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b/>
                <w:bCs/>
                <w:sz w:val="20"/>
                <w:szCs w:val="20"/>
              </w:rPr>
              <w:t xml:space="preserve">Expired permission replayed</w:t>
            </w:r>
          </w:p>
        </w:tc>
        <w:tc>
          <w:tcPr>
            <w:tcW w:type="dxa" w:w="5760"/>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sz w:val="20"/>
                <w:szCs w:val="20"/>
              </w:rPr>
              <w:t xml:space="preserve">valid_from/valid_until verified cryptographically on every single access request</w:t>
            </w:r>
          </w:p>
        </w:tc>
      </w:tr>
      <w:tr>
        <w:tc>
          <w:tcPr>
            <w:tcW w:type="dxa" w:w="3600"/>
            <w:tcBorders>
              <w:top w:val="single" w:color="CCCCCC" w:sz="1"/>
              <w:left w:val="single" w:color="CCCCCC" w:sz="1"/>
              <w:bottom w:val="single" w:color="CCCCCC" w:sz="1"/>
              <w:right w:val="single" w:color="CCCCCC" w:sz="1"/>
            </w:tcBorders>
            <w:shd w:fill="EEF4FB" w:val="clear"/>
            <w:tcMar>
              <w:top w:type="dxa" w:w="100"/>
              <w:left w:type="dxa" w:w="160"/>
              <w:bottom w:type="dxa" w:w="100"/>
              <w:right w:type="dxa" w:w="160"/>
            </w:tcMar>
          </w:tcPr>
          <w:p>
            <w:r>
              <w:rPr>
                <w:b/>
                <w:bCs/>
                <w:sz w:val="20"/>
                <w:szCs w:val="20"/>
              </w:rPr>
              <w:t xml:space="preserve">Patient loses device / private key</w:t>
            </w:r>
          </w:p>
        </w:tc>
        <w:tc>
          <w:tcPr>
            <w:tcW w:type="dxa" w:w="5760"/>
            <w:tcBorders>
              <w:top w:val="single" w:color="CCCCCC" w:sz="1"/>
              <w:left w:val="single" w:color="CCCCCC" w:sz="1"/>
              <w:bottom w:val="single" w:color="CCCCCC" w:sz="1"/>
              <w:right w:val="single" w:color="CCCCCC" w:sz="1"/>
            </w:tcBorders>
            <w:shd w:fill="EEF4FB" w:val="clear"/>
            <w:tcMar>
              <w:top w:type="dxa" w:w="100"/>
              <w:left w:type="dxa" w:w="160"/>
              <w:bottom w:type="dxa" w:w="100"/>
              <w:right w:type="dxa" w:w="160"/>
            </w:tcMar>
          </w:tcPr>
          <w:p>
            <w:r>
              <w:rPr>
                <w:sz w:val="20"/>
                <w:szCs w:val="20"/>
              </w:rPr>
              <w:t xml:space="preserve">Shamir 3-of-5 secret sharing — any 3 of 5 chosen trustees can reconstruct the key</w:t>
            </w:r>
          </w:p>
        </w:tc>
      </w:tr>
      <w:tr>
        <w:tc>
          <w:tcPr>
            <w:tcW w:type="dxa" w:w="3600"/>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b/>
                <w:bCs/>
                <w:sz w:val="20"/>
                <w:szCs w:val="20"/>
              </w:rPr>
              <w:t xml:space="preserve">Stolen doctor credentials</w:t>
            </w:r>
          </w:p>
        </w:tc>
        <w:tc>
          <w:tcPr>
            <w:tcW w:type="dxa" w:w="5760"/>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sz w:val="20"/>
                <w:szCs w:val="20"/>
              </w:rPr>
              <w:t xml:space="preserve">Access still requires valid patient signature per record — credentials alone are insufficient</w:t>
            </w:r>
          </w:p>
        </w:tc>
      </w:tr>
    </w:tbl>
    <w:p>
      <w:pPr>
        <w:spacing w:before="60" w:after="60"/>
      </w:pPr>
      <w:r>
        <w:t xml:space="preserve"/>
      </w:r>
    </w:p>
    <w:p>
      <w:pPr>
        <w:pStyle w:val="Heading1"/>
        <w:spacing w:before="360" w:after="120"/>
      </w:pPr>
      <w:r>
        <w:rPr>
          <w:b/>
          <w:bCs/>
          <w:color w:val="1B3A6B"/>
          <w:sz w:val="36"/>
          <w:szCs w:val="36"/>
        </w:rPr>
        <w:t xml:space="preserve">6. Technical Implementation</w:t>
      </w:r>
    </w:p>
    <w:p>
      <w:pPr>
        <w:pStyle w:val="Heading2"/>
        <w:spacing w:before="240" w:after="80"/>
      </w:pPr>
      <w:r>
        <w:rPr>
          <w:b/>
          <w:bCs/>
          <w:color w:val="2C5F8A"/>
          <w:sz w:val="28"/>
          <w:szCs w:val="28"/>
        </w:rPr>
        <w:t xml:space="preserve">6.1  Cryptographic Stack</w:t>
      </w:r>
    </w:p>
    <w:p>
      <w:pPr>
        <w:pStyle w:val="ListParagraph"/>
        <w:numPr>
          <w:ilvl w:val="0"/>
          <w:numId w:val="2"/>
        </w:numPr>
        <w:spacing w:before="40" w:after="40"/>
      </w:pPr>
      <w:r>
        <w:rPr>
          <w:sz w:val="22"/>
          <w:szCs w:val="22"/>
        </w:rPr>
        <w:t xml:space="preserve">P-256 ECDSA — Keypair generation, access permission signing and verification (NIST-approved, used in TLS 1.3)</w:t>
      </w:r>
    </w:p>
    <w:p>
      <w:pPr>
        <w:pStyle w:val="ListParagraph"/>
        <w:numPr>
          <w:ilvl w:val="0"/>
          <w:numId w:val="2"/>
        </w:numPr>
        <w:spacing w:before="40" w:after="40"/>
      </w:pPr>
      <w:r>
        <w:rPr>
          <w:sz w:val="22"/>
          <w:szCs w:val="22"/>
        </w:rPr>
        <w:t xml:space="preserve">ECIES (ECDH + HKDF-SHA256 + AES-256-GCM) — Asymmetric encryption of DEKs for patient and doctor access</w:t>
      </w:r>
    </w:p>
    <w:p>
      <w:pPr>
        <w:pStyle w:val="ListParagraph"/>
        <w:numPr>
          <w:ilvl w:val="0"/>
          <w:numId w:val="2"/>
        </w:numPr>
        <w:spacing w:before="40" w:after="40"/>
      </w:pPr>
      <w:r>
        <w:rPr>
          <w:sz w:val="22"/>
          <w:szCs w:val="22"/>
        </w:rPr>
        <w:t xml:space="preserve">AES-256-GCM — Authenticated symmetric encryption of medical record content</w:t>
      </w:r>
    </w:p>
    <w:p>
      <w:pPr>
        <w:pStyle w:val="ListParagraph"/>
        <w:numPr>
          <w:ilvl w:val="0"/>
          <w:numId w:val="2"/>
        </w:numPr>
        <w:spacing w:before="40" w:after="40"/>
      </w:pPr>
      <w:r>
        <w:rPr>
          <w:sz w:val="22"/>
          <w:szCs w:val="22"/>
        </w:rPr>
        <w:t xml:space="preserve">SHA-256 — Content hashing for integrity verification and audit chain linkage</w:t>
      </w:r>
    </w:p>
    <w:p>
      <w:pPr>
        <w:pStyle w:val="ListParagraph"/>
        <w:numPr>
          <w:ilvl w:val="0"/>
          <w:numId w:val="2"/>
        </w:numPr>
        <w:spacing w:before="40" w:after="40"/>
      </w:pPr>
      <w:r>
        <w:rPr>
          <w:sz w:val="22"/>
          <w:szCs w:val="22"/>
        </w:rPr>
        <w:t xml:space="preserve">Shamir Secret Sharing (GF-256, 3-of-5) — Information-theoretically secure private key recovery</w:t>
      </w:r>
    </w:p>
    <w:p>
      <w:pPr>
        <w:pStyle w:val="Heading2"/>
        <w:spacing w:before="240" w:after="80"/>
      </w:pPr>
      <w:r>
        <w:rPr>
          <w:b/>
          <w:bCs/>
          <w:color w:val="2C5F8A"/>
          <w:sz w:val="28"/>
          <w:szCs w:val="28"/>
        </w:rPr>
        <w:t xml:space="preserve">6.2  System Architecture</w:t>
      </w:r>
    </w:p>
    <w:p>
      <w:pPr>
        <w:pStyle w:val="ListParagraph"/>
        <w:numPr>
          <w:ilvl w:val="0"/>
          <w:numId w:val="2"/>
        </w:numPr>
        <w:spacing w:before="40" w:after="40"/>
      </w:pPr>
      <w:r>
        <w:rPr>
          <w:sz w:val="22"/>
          <w:szCs w:val="22"/>
        </w:rPr>
        <w:t xml:space="preserve">Backend: FastAPI (Python) with SQLAlchemy ORM, SQLite for development, PostgreSQL for production</w:t>
      </w:r>
    </w:p>
    <w:p>
      <w:pPr>
        <w:pStyle w:val="ListParagraph"/>
        <w:numPr>
          <w:ilvl w:val="0"/>
          <w:numId w:val="2"/>
        </w:numPr>
        <w:spacing w:before="40" w:after="40"/>
      </w:pPr>
      <w:r>
        <w:rPr>
          <w:sz w:val="22"/>
          <w:szCs w:val="22"/>
        </w:rPr>
        <w:t xml:space="preserve">Client: Python desktop application with tkinter UI, PyInstaller-packaged to a single Windows executable</w:t>
      </w:r>
    </w:p>
    <w:p>
      <w:pPr>
        <w:pStyle w:val="ListParagraph"/>
        <w:numPr>
          <w:ilvl w:val="0"/>
          <w:numId w:val="2"/>
        </w:numPr>
        <w:spacing w:before="40" w:after="40"/>
      </w:pPr>
      <w:r>
        <w:rPr>
          <w:sz w:val="22"/>
          <w:szCs w:val="22"/>
        </w:rPr>
        <w:t xml:space="preserve">Orchestrator pattern: UI → Orchestrator → APIClient (online) or OfflineClient (offline)</w:t>
      </w:r>
    </w:p>
    <w:p>
      <w:pPr>
        <w:pStyle w:val="ListParagraph"/>
        <w:numPr>
          <w:ilvl w:val="0"/>
          <w:numId w:val="2"/>
        </w:numPr>
        <w:spacing w:before="40" w:after="40"/>
      </w:pPr>
      <w:r>
        <w:rPr>
          <w:sz w:val="22"/>
          <w:szCs w:val="22"/>
        </w:rPr>
        <w:t xml:space="preserve">Audit trail: Hash-chained append-only AuditLog table — no delete pathway exists in the schema</w:t>
      </w:r>
    </w:p>
    <w:p>
      <w:pPr>
        <w:pStyle w:val="ListParagraph"/>
        <w:numPr>
          <w:ilvl w:val="0"/>
          <w:numId w:val="2"/>
        </w:numPr>
        <w:spacing w:before="40" w:after="40"/>
      </w:pPr>
      <w:r>
        <w:rPr>
          <w:sz w:val="22"/>
          <w:szCs w:val="22"/>
        </w:rPr>
        <w:t xml:space="preserve">Deployment: Single-command self-hosting or standalone .exe pointing to a hosted server</w:t>
      </w:r>
    </w:p>
    <w:p>
      <w:pPr>
        <w:spacing w:before="60" w:after="60"/>
      </w:pPr>
      <w:r>
        <w:t xml:space="preserve"/>
      </w:r>
    </w:p>
    <w:p>
      <w:pPr>
        <w:pStyle w:val="Heading1"/>
        <w:spacing w:before="360" w:after="120"/>
      </w:pPr>
      <w:r>
        <w:rPr>
          <w:b/>
          <w:bCs/>
          <w:color w:val="1B3A6B"/>
          <w:sz w:val="36"/>
          <w:szCs w:val="36"/>
        </w:rPr>
        <w:t xml:space="preserve">7. Why This Wins</w:t>
      </w:r>
    </w:p>
    <w:p>
      <w:pPr>
        <w:spacing w:before="60" w:after="120"/>
      </w:pPr>
      <w:r>
        <w:rPr>
          <w:sz w:val="22"/>
          <w:szCs w:val="22"/>
        </w:rPr>
        <w:t xml:space="preserve">MedLedger does not add another layer of policy on top of a fundamentally trust-based system. It replaces the trust model entirely. The central guarantee — that a hospital administrator with full database access cannot read a patient record without the patient's cryptographic signature — is not a claim about good intentions or careful policy. It is a mathematical property of the system.</w:t>
      </w:r>
    </w:p>
    <w:p>
      <w:pPr>
        <w:spacing w:before="60" w:after="60"/>
      </w:pPr>
      <w:r>
        <w:t xml:space="preserve"/>
      </w:r>
    </w:p>
    <w:p>
      <w:pPr>
        <w:spacing w:before="60" w:after="120"/>
      </w:pPr>
      <w:r>
        <w:rPr>
          <w:sz w:val="22"/>
          <w:szCs w:val="22"/>
        </w:rPr>
        <w:t xml:space="preserve">The problem statement identifies insecurity, fragmentation, and lack of patient control as the core failures of existing systems. MedLedger closes all three: records are encrypted end-to-end with keys that never touch the server; access is patient-issued and cryptographically enforced; and the audit trail is immutable by design. Every line of code is working and documented.</w:t>
      </w:r>
    </w:p>
    <w:p>
      <w:pPr>
        <w:spacing w:before="60" w:after="60"/>
      </w:pPr>
      <w:r>
        <w:t xml:space="preserve"/>
      </w:r>
    </w:p>
    <w:p>
      <w:pPr>
        <w:pBdr>
          <w:top w:val="single" w:color="1B3A6B" w:sz="6" w:space="8"/>
          <w:bottom w:val="single" w:color="1B3A6B" w:sz="6" w:space="8"/>
        </w:pBdr>
        <w:spacing w:before="240" w:after="240"/>
        <w:jc w:val="center"/>
      </w:pPr>
      <w:r>
        <w:rPr>
          <w:b/>
          <w:bCs/>
          <w:i/>
          <w:iCs/>
          <w:color w:val="1B3A6B"/>
          <w:sz w:val="26"/>
          <w:szCs w:val="26"/>
        </w:rPr>
        <w:t xml:space="preserve">"Cryptography doesn't have insider threats. Math doesn't take bribes."</w:t>
      </w:r>
    </w:p>
    <w:p>
      <w:pPr>
        <w:spacing w:before="60" w:after="60"/>
      </w:pPr>
      <w:r>
        <w:t xml:space="preserve"/>
      </w:r>
    </w:p>
    <w:p>
      <w:pPr>
        <w:jc w:val="center"/>
      </w:pPr>
      <w:r>
        <w:rPr>
          <w:color w:val="888888"/>
          <w:sz w:val="18"/>
          <w:szCs w:val="18"/>
        </w:rPr>
        <w:t xml:space="preserve">Team Praxis — Mayanglambam Premananda · Korounganba Thokchom · Thajaba Naoroibam</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B3A6B"/>
      <w:sz w:val="36"/>
      <w:szCs w:val="36"/>
    </w:rPr>
  </w:style>
  <w:style w:type="paragraph" w:styleId="Heading2">
    <w:name w:val="Heading 2"/>
    <w:basedOn w:val="Normal"/>
    <w:next w:val="Normal"/>
    <w:qFormat/>
    <w:pPr>
      <w:spacing w:before="240" w:after="80"/>
      <w:outlineLvl w:val="1"/>
    </w:pPr>
    <w:rPr>
      <w:rFonts w:ascii="Arial" w:cs="Arial" w:eastAsia="Arial" w:hAnsi="Arial"/>
      <w:b/>
      <w:bCs/>
      <w:color w:val="2C5F8A"/>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2026-02-23T12:12:29.317Z</dcterms:created>
  <dcterms:modified xsi:type="dcterms:W3CDTF">2026-02-23T12:12:29.318Z</dcterms:modified>
</cp:coreProperties>
</file>

<file path=docProps/custom.xml><?xml version="1.0" encoding="utf-8"?>
<Properties xmlns="http://schemas.openxmlformats.org/officeDocument/2006/custom-properties" xmlns:vt="http://schemas.openxmlformats.org/officeDocument/2006/docPropsVTypes"/>
</file>