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B2A4A"/>
          <w:sz w:val="72"/>
          <w:szCs w:val="72"/>
        </w:rPr>
        <w:t xml:space="preserve">MedLedger</w:t>
      </w:r>
    </w:p>
    <w:p>
      <w:pPr>
        <w:spacing w:before="0" w:after="120"/>
        <w:jc w:val="center"/>
      </w:pPr>
      <w:r>
        <w:rPr>
          <w:rFonts w:ascii="Arial" w:cs="Arial" w:eastAsia="Arial" w:hAnsi="Arial"/>
          <w:color w:val="2563EB"/>
          <w:sz w:val="36"/>
          <w:szCs w:val="36"/>
        </w:rPr>
        <w:t xml:space="preserve">Hybrid Self-Sovereign Identity &amp; Blockchain Sync</w:t>
      </w:r>
    </w:p>
    <w:p>
      <w:pPr>
        <w:spacing w:before="0" w:after="600"/>
        <w:jc w:val="center"/>
      </w:pPr>
      <w:r>
        <w:rPr>
          <w:rFonts w:ascii="Arial" w:cs="Arial" w:eastAsia="Arial" w:hAnsi="Arial"/>
          <w:color w:val="6B7280"/>
          <w:sz w:val="28"/>
          <w:szCs w:val="28"/>
        </w:rPr>
        <w:t xml:space="preserve">Architecture Design Document</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1B2A4A"/>
                <w:sz w:val="20"/>
                <w:szCs w:val="20"/>
              </w:rPr>
              <w:t xml:space="preserve">Author</w:t>
            </w:r>
          </w:p>
        </w:tc>
        <w:tc>
          <w:tcPr>
            <w:tcW w:type="dxa" w:w="360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sz w:val="20"/>
                <w:szCs w:val="20"/>
              </w:rPr>
              <w:t xml:space="preserve">Premananda (Team Praxis)</w:t>
            </w:r>
          </w:p>
        </w:tc>
      </w:tr>
      <w:tr>
        <w:tc>
          <w:tcPr>
            <w:tcW w:type="dxa" w:w="240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1B2A4A"/>
                <w:sz w:val="20"/>
                <w:szCs w:val="20"/>
              </w:rPr>
              <w:t xml:space="preserve">Status</w:t>
            </w:r>
          </w:p>
        </w:tc>
        <w:tc>
          <w:tcPr>
            <w:tcW w:type="dxa" w:w="360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sz w:val="20"/>
                <w:szCs w:val="20"/>
              </w:rPr>
              <w:t xml:space="preserve">Draft — Pre-Implementation</w:t>
            </w:r>
          </w:p>
        </w:tc>
      </w:tr>
      <w:tr>
        <w:tc>
          <w:tcPr>
            <w:tcW w:type="dxa" w:w="240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1B2A4A"/>
                <w:sz w:val="20"/>
                <w:szCs w:val="20"/>
              </w:rPr>
              <w:t xml:space="preserve">Version</w:t>
            </w:r>
          </w:p>
        </w:tc>
        <w:tc>
          <w:tcPr>
            <w:tcW w:type="dxa" w:w="360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sz w:val="20"/>
                <w:szCs w:val="20"/>
              </w:rPr>
              <w:t xml:space="preserve">0.1</w:t>
            </w:r>
          </w:p>
        </w:tc>
      </w:tr>
      <w:tr>
        <w:tc>
          <w:tcPr>
            <w:tcW w:type="dxa" w:w="240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1B2A4A"/>
                <w:sz w:val="20"/>
                <w:szCs w:val="20"/>
              </w:rPr>
              <w:t xml:space="preserve">Date</w:t>
            </w:r>
          </w:p>
        </w:tc>
        <w:tc>
          <w:tcPr>
            <w:tcW w:type="dxa" w:w="360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sz w:val="20"/>
                <w:szCs w:val="20"/>
              </w:rPr>
              <w:t xml:space="preserve">Thu Mar 26 2026</w:t>
            </w:r>
          </w:p>
        </w:tc>
      </w:tr>
      <w:tr>
        <w:tc>
          <w:tcPr>
            <w:tcW w:type="dxa" w:w="240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1B2A4A"/>
                <w:sz w:val="20"/>
                <w:szCs w:val="20"/>
              </w:rPr>
              <w:t xml:space="preserve">Project</w:t>
            </w:r>
          </w:p>
        </w:tc>
        <w:tc>
          <w:tcPr>
            <w:tcW w:type="dxa" w:w="360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sz w:val="20"/>
                <w:szCs w:val="20"/>
              </w:rPr>
              <w:t xml:space="preserve">MedLedger — Decentralized Medical Record Access</w:t>
            </w:r>
          </w:p>
        </w:tc>
      </w:tr>
    </w:tbl>
    <w:p>
      <w:pPr>
        <w:spacing w:before="800" w:after="0"/>
      </w:pPr>
      <w:r>
        <w:t xml:space="preserve"/>
      </w:r>
    </w:p>
    <w:p>
      <w:r>
        <w:br w:type="page"/>
      </w:r>
    </w:p>
    <w:p>
      <w:pPr>
        <w:pStyle w:val="Heading1"/>
        <w:pBdr>
          <w:bottom w:val="single" w:color="2563EB" w:sz="8" w:space="4"/>
        </w:pBdr>
        <w:spacing w:before="360" w:after="160"/>
      </w:pPr>
      <w:r>
        <w:rPr>
          <w:rFonts w:ascii="Arial" w:cs="Arial" w:eastAsia="Arial" w:hAnsi="Arial"/>
          <w:b/>
          <w:bCs/>
          <w:color w:val="1B2A4A"/>
          <w:sz w:val="36"/>
          <w:szCs w:val="36"/>
        </w:rPr>
        <w:t xml:space="preserve">1. Executive Summary</w:t>
      </w:r>
    </w:p>
    <w:p>
      <w:pPr>
        <w:spacing w:before="80" w:after="80"/>
        <w:jc w:val="both"/>
      </w:pPr>
      <w:r>
        <w:rPr>
          <w:rFonts w:ascii="Arial" w:cs="Arial" w:eastAsia="Arial" w:hAnsi="Arial"/>
          <w:b w:val="false"/>
          <w:bCs w:val="false"/>
          <w:color w:val="111827"/>
          <w:sz w:val="22"/>
          <w:szCs w:val="22"/>
        </w:rPr>
        <w:t xml:space="preserve">MedLedger is a patient-controlled medical record system built on a hybrid architecture: a self-sovereign identity (SSI) layer combined with selective blockchain synchronization. The guiding principle is that sensitive health data never leaves a patient's control, while the integrity of identity and access grants is anchored in a distributed ledger that no single party can tamper with.</w:t>
      </w:r>
    </w:p>
    <w:p>
      <w:pPr>
        <w:spacing w:before="80" w:after="80"/>
        <w:jc w:val="both"/>
      </w:pPr>
      <w:r>
        <w:rPr>
          <w:rFonts w:ascii="Arial" w:cs="Arial" w:eastAsia="Arial" w:hAnsi="Arial"/>
          <w:b w:val="false"/>
          <w:bCs w:val="false"/>
          <w:color w:val="111827"/>
          <w:sz w:val="22"/>
          <w:szCs w:val="22"/>
        </w:rPr>
        <w:t xml:space="preserve">This document specifies the architecture for the registration and identity layer — the foundation on which all record access, permission grants, and audit trails are built. It draws on established patterns from W3C Decentralized Identifiers (DID), the Sovrin Network, Estonia's X-Road e-health infrastructure, and uPort/Veramo identity frameworks. Where it departs from those models, the departures are deliberate and justified.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180"/>
              <w:bottom w:type="dxa" w:w="100"/>
              <w:right w:type="dxa" w:w="180"/>
            </w:tcMar>
          </w:tcPr>
          <w:p>
            <w:pPr>
              <w:spacing w:before="0" w:after="60"/>
            </w:pPr>
            <w:r>
              <w:rPr>
                <w:rFonts w:ascii="Arial" w:cs="Arial" w:eastAsia="Arial" w:hAnsi="Arial"/>
                <w:b/>
                <w:bCs/>
                <w:color w:val="2563EB"/>
                <w:sz w:val="20"/>
                <w:szCs w:val="20"/>
              </w:rPr>
              <w:t xml:space="preserve">ℹ Note</w:t>
            </w:r>
          </w:p>
          <w:p>
            <w:pPr>
              <w:jc w:val="both"/>
            </w:pPr>
            <w:r>
              <w:rPr>
                <w:rFonts w:ascii="Arial" w:cs="Arial" w:eastAsia="Arial" w:hAnsi="Arial"/>
                <w:color w:val="111827"/>
                <w:sz w:val="20"/>
                <w:szCs w:val="20"/>
              </w:rPr>
              <w:t xml:space="preserve">This document is a design specification and feasibility argument, not an implementation guide. Blockchain selection, node topology, and smart contract specifics are intentionally deferred to a subsequent research phase. The goal here is to prove the architecture is sound before committing to a chain.</w:t>
            </w:r>
          </w:p>
        </w:tc>
      </w:tr>
    </w:tbl>
    <w:p>
      <w:pPr>
        <w:spacing w:before="160" w:after="0"/>
      </w:pPr>
      <w:r>
        <w:t xml:space="preserve"/>
      </w:r>
    </w:p>
    <w:p>
      <w:pPr>
        <w:pBdr>
          <w:bottom w:val="single" w:color="BFDBFE" w:sz="4" w:space="1"/>
        </w:pBdr>
        <w:spacing w:before="200" w:after="200"/>
      </w:pPr>
    </w:p>
    <w:p>
      <w:pPr>
        <w:pStyle w:val="Heading1"/>
        <w:pBdr>
          <w:bottom w:val="single" w:color="2563EB" w:sz="8" w:space="4"/>
        </w:pBdr>
        <w:spacing w:before="360" w:after="160"/>
      </w:pPr>
      <w:r>
        <w:rPr>
          <w:rFonts w:ascii="Arial" w:cs="Arial" w:eastAsia="Arial" w:hAnsi="Arial"/>
          <w:b/>
          <w:bCs/>
          <w:color w:val="1B2A4A"/>
          <w:sz w:val="36"/>
          <w:szCs w:val="36"/>
        </w:rPr>
        <w:t xml:space="preserve">2. Problem Statement</w:t>
      </w:r>
    </w:p>
    <w:p>
      <w:pPr>
        <w:spacing w:before="80" w:after="80"/>
        <w:jc w:val="both"/>
      </w:pPr>
      <w:r>
        <w:rPr>
          <w:rFonts w:ascii="Arial" w:cs="Arial" w:eastAsia="Arial" w:hAnsi="Arial"/>
          <w:b w:val="false"/>
          <w:bCs w:val="false"/>
          <w:color w:val="111827"/>
          <w:sz w:val="22"/>
          <w:szCs w:val="22"/>
        </w:rPr>
        <w:t xml:space="preserve">Traditional healthcare record systems have a structural flaw: they are server-centric. The hospital or clinic that runs the server holds the master copy of your medical history, controls who can see it, and can revoke your access to your own data. This creates three categories of risk: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200"/>
        <w:gridCol w:w="6160"/>
      </w:tblGrid>
      <w:tr>
        <w:trPr>
          <w:tblHeader/>
        </w:trPr>
        <w:tc>
          <w:tcPr>
            <w:tcW w:type="dxa" w:w="3200"/>
            <w:tcBorders>
              <w:top w:val="single" w:color="BFDBFE" w:sz="1"/>
              <w:left w:val="single" w:color="BFDBFE" w:sz="1"/>
              <w:bottom w:val="single" w:color="BFDBFE" w:sz="1"/>
              <w:right w:val="single" w:color="BFDBFE"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Risk Category</w:t>
            </w:r>
          </w:p>
        </w:tc>
        <w:tc>
          <w:tcPr>
            <w:tcW w:type="dxa" w:w="6160"/>
            <w:tcBorders>
              <w:top w:val="single" w:color="BFDBFE" w:sz="1"/>
              <w:left w:val="single" w:color="BFDBFE" w:sz="1"/>
              <w:bottom w:val="single" w:color="BFDBFE" w:sz="1"/>
              <w:right w:val="single" w:color="BFDBFE"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bCs/>
                <w:color w:val="1B2A4A"/>
                <w:sz w:val="20"/>
                <w:szCs w:val="20"/>
              </w:rPr>
              <w:t xml:space="preserve">Custody Risk</w:t>
            </w:r>
          </w:p>
        </w:tc>
        <w:tc>
          <w:tcPr>
            <w:tcW w:type="dxa" w:w="6160"/>
            <w:tcBorders>
              <w:top w:val="single" w:color="BFDBFE" w:sz="1"/>
              <w:left w:val="single" w:color="BFDBFE" w:sz="1"/>
              <w:bottom w:val="single" w:color="BFDBFE" w:sz="1"/>
              <w:right w:val="single" w:color="BFDBFE" w:sz="1"/>
            </w:tcBorders>
            <w:tcMar>
              <w:top w:type="dxa" w:w="80"/>
              <w:left w:type="dxa" w:w="140"/>
              <w:bottom w:type="dxa" w:w="80"/>
              <w:right w:type="dxa" w:w="140"/>
            </w:tcMar>
          </w:tcPr>
          <w:p>
            <w:pPr>
              <w:jc w:val="both"/>
            </w:pPr>
            <w:r>
              <w:rPr>
                <w:rFonts w:ascii="Arial" w:cs="Arial" w:eastAsia="Arial" w:hAnsi="Arial"/>
                <w:color w:val="111827"/>
                <w:sz w:val="20"/>
                <w:szCs w:val="20"/>
              </w:rPr>
              <w:t xml:space="preserve">A single server breach exposes all patient records simultaneously. Encryption at rest helps but does not change the fundamental custody model.</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bCs/>
                <w:color w:val="1B2A4A"/>
                <w:sz w:val="20"/>
                <w:szCs w:val="20"/>
              </w:rPr>
              <w:t xml:space="preserve">Control Risk</w:t>
            </w:r>
          </w:p>
        </w:tc>
        <w:tc>
          <w:tcPr>
            <w:tcW w:type="dxa" w:w="6160"/>
            <w:tcBorders>
              <w:top w:val="single" w:color="BFDBFE" w:sz="1"/>
              <w:left w:val="single" w:color="BFDBFE" w:sz="1"/>
              <w:bottom w:val="single" w:color="BFDBFE" w:sz="1"/>
              <w:right w:val="single" w:color="BFDBFE" w:sz="1"/>
            </w:tcBorders>
            <w:tcMar>
              <w:top w:type="dxa" w:w="80"/>
              <w:left w:type="dxa" w:w="140"/>
              <w:bottom w:type="dxa" w:w="80"/>
              <w:right w:type="dxa" w:w="140"/>
            </w:tcMar>
          </w:tcPr>
          <w:p>
            <w:pPr>
              <w:jc w:val="both"/>
            </w:pPr>
            <w:r>
              <w:rPr>
                <w:rFonts w:ascii="Arial" w:cs="Arial" w:eastAsia="Arial" w:hAnsi="Arial"/>
                <w:color w:val="111827"/>
                <w:sz w:val="20"/>
                <w:szCs w:val="20"/>
              </w:rPr>
              <w:t xml:space="preserve">The patient has no cryptographic guarantee over who accesses their data. Permission controls are enforced by policy and trust in the institution, not by math.</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bCs/>
                <w:color w:val="1B2A4A"/>
                <w:sz w:val="20"/>
                <w:szCs w:val="20"/>
              </w:rPr>
              <w:t xml:space="preserve">Availability Risk</w:t>
            </w:r>
          </w:p>
        </w:tc>
        <w:tc>
          <w:tcPr>
            <w:tcW w:type="dxa" w:w="6160"/>
            <w:tcBorders>
              <w:top w:val="single" w:color="BFDBFE" w:sz="1"/>
              <w:left w:val="single" w:color="BFDBFE" w:sz="1"/>
              <w:bottom w:val="single" w:color="BFDBFE" w:sz="1"/>
              <w:right w:val="single" w:color="BFDBFE" w:sz="1"/>
            </w:tcBorders>
            <w:tcMar>
              <w:top w:type="dxa" w:w="80"/>
              <w:left w:type="dxa" w:w="140"/>
              <w:bottom w:type="dxa" w:w="80"/>
              <w:right w:type="dxa" w:w="140"/>
            </w:tcMar>
          </w:tcPr>
          <w:p>
            <w:pPr>
              <w:jc w:val="both"/>
            </w:pPr>
            <w:r>
              <w:rPr>
                <w:rFonts w:ascii="Arial" w:cs="Arial" w:eastAsia="Arial" w:hAnsi="Arial"/>
                <w:color w:val="111827"/>
                <w:sz w:val="20"/>
                <w:szCs w:val="20"/>
              </w:rPr>
              <w:t xml:space="preserve">If the server is down, unavailable, or the institution closes, records are inaccessible or lost. Patients have no independent copy they can present elsewhere.</w:t>
            </w:r>
          </w:p>
        </w:tc>
      </w:tr>
    </w:tbl>
    <w:p>
      <w:pPr>
        <w:spacing w:before="120" w:after="0"/>
      </w:pPr>
      <w:r>
        <w:t xml:space="preserve"/>
      </w:r>
    </w:p>
    <w:p>
      <w:pPr>
        <w:spacing w:before="80" w:after="80"/>
        <w:jc w:val="both"/>
      </w:pPr>
      <w:r>
        <w:rPr>
          <w:rFonts w:ascii="Arial" w:cs="Arial" w:eastAsia="Arial" w:hAnsi="Arial"/>
          <w:b w:val="false"/>
          <w:bCs w:val="false"/>
          <w:color w:val="111827"/>
          <w:sz w:val="22"/>
          <w:szCs w:val="22"/>
        </w:rPr>
        <w:t xml:space="preserve">The architecture proposed here eliminates all three risks by inverting the custody model: the patient holds the key (literally), identity is anchored on a blockchain no single party controls, and the record access layer derives its authority from cryptographic proofs rather than institutional trust.</w:t>
      </w:r>
    </w:p>
    <w:p>
      <w:pPr>
        <w:spacing w:before="160" w:after="0"/>
      </w:pPr>
      <w:r>
        <w:t xml:space="preserve"/>
      </w:r>
    </w:p>
    <w:p>
      <w:pPr>
        <w:pBdr>
          <w:bottom w:val="single" w:color="BFDBFE" w:sz="4" w:space="1"/>
        </w:pBdr>
        <w:spacing w:before="200" w:after="200"/>
      </w:pPr>
    </w:p>
    <w:p>
      <w:pPr>
        <w:pStyle w:val="Heading1"/>
        <w:pBdr>
          <w:bottom w:val="single" w:color="2563EB" w:sz="8" w:space="4"/>
        </w:pBdr>
        <w:spacing w:before="360" w:after="160"/>
      </w:pPr>
      <w:r>
        <w:rPr>
          <w:rFonts w:ascii="Arial" w:cs="Arial" w:eastAsia="Arial" w:hAnsi="Arial"/>
          <w:b/>
          <w:bCs/>
          <w:color w:val="1B2A4A"/>
          <w:sz w:val="36"/>
          <w:szCs w:val="36"/>
        </w:rPr>
        <w:t xml:space="preserve">3. Prior Art and Reference Models</w:t>
      </w:r>
    </w:p>
    <w:p>
      <w:pPr>
        <w:spacing w:before="80" w:after="80"/>
        <w:jc w:val="both"/>
      </w:pPr>
      <w:r>
        <w:rPr>
          <w:rFonts w:ascii="Arial" w:cs="Arial" w:eastAsia="Arial" w:hAnsi="Arial"/>
          <w:b w:val="false"/>
          <w:bCs w:val="false"/>
          <w:color w:val="111827"/>
          <w:sz w:val="22"/>
          <w:szCs w:val="22"/>
        </w:rPr>
        <w:t xml:space="preserve">This architecture does not invent new cryptographic primitives. It composes well-understood, production-tested patterns. The following reference systems inform its design.</w:t>
      </w:r>
    </w:p>
    <w:p>
      <w:pPr>
        <w:spacing w:before="100" w:after="0"/>
      </w:pPr>
      <w:r>
        <w:t xml:space="preserve"/>
      </w:r>
    </w:p>
    <w:p>
      <w:pPr>
        <w:pStyle w:val="Heading2"/>
        <w:spacing w:before="280" w:after="120"/>
      </w:pPr>
      <w:r>
        <w:rPr>
          <w:rFonts w:ascii="Arial" w:cs="Arial" w:eastAsia="Arial" w:hAnsi="Arial"/>
          <w:b/>
          <w:bCs/>
          <w:color w:val="1B2A4A"/>
          <w:sz w:val="28"/>
          <w:szCs w:val="28"/>
        </w:rPr>
        <w:t xml:space="preserve">3.1  W3C Decentralized Identifiers (DID)</w:t>
      </w:r>
    </w:p>
    <w:p>
      <w:pPr>
        <w:spacing w:before="80" w:after="80"/>
        <w:jc w:val="both"/>
      </w:pPr>
      <w:r>
        <w:rPr>
          <w:rFonts w:ascii="Arial" w:cs="Arial" w:eastAsia="Arial" w:hAnsi="Arial"/>
          <w:b w:val="false"/>
          <w:bCs w:val="false"/>
          <w:color w:val="111827"/>
          <w:sz w:val="22"/>
          <w:szCs w:val="22"/>
        </w:rPr>
        <w:t xml:space="preserve">The W3C DID specification (v1.0, July 2022) defines a standard for globally unique identifiers that are controlled by the subject, not by a registrar. A DID resolves to a DID Document containing public keys and service endpoints. MedLedger's public key-as-identity model is a direct expression of this pattern: the patient's public key hash is their identifier, and the blockchain is their DID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BFDBFE" w:sz="1"/>
              <w:left w:val="single" w:color="BFDBFE" w:sz="1"/>
              <w:bottom w:val="single" w:color="BFDBFE" w:sz="1"/>
              <w:right w:val="single" w:color="BFDBFE" w:sz="1"/>
            </w:tcBorders>
            <w:shd w:fill="D1FAE5" w:val="clear"/>
            <w:tcMar>
              <w:top w:type="dxa" w:w="100"/>
              <w:left w:type="dxa" w:w="180"/>
              <w:bottom w:type="dxa" w:w="100"/>
              <w:right w:type="dxa" w:w="180"/>
            </w:tcMar>
          </w:tcPr>
          <w:p>
            <w:pPr>
              <w:spacing w:before="0" w:after="60"/>
            </w:pPr>
            <w:r>
              <w:rPr>
                <w:rFonts w:ascii="Arial" w:cs="Arial" w:eastAsia="Arial" w:hAnsi="Arial"/>
                <w:b/>
                <w:bCs/>
                <w:color w:val="065F46"/>
                <w:sz w:val="20"/>
                <w:szCs w:val="20"/>
              </w:rPr>
              <w:t xml:space="preserve">✓ Strength</w:t>
            </w:r>
          </w:p>
          <w:p>
            <w:pPr>
              <w:jc w:val="both"/>
            </w:pPr>
            <w:r>
              <w:rPr>
                <w:rFonts w:ascii="Arial" w:cs="Arial" w:eastAsia="Arial" w:hAnsi="Arial"/>
                <w:color w:val="111827"/>
                <w:sz w:val="20"/>
                <w:szCs w:val="20"/>
              </w:rPr>
              <w:t xml:space="preserve">Key insight borrowed: identity resolution is a lookup of a public key by identifier, with no password, no username, and no central authority. Authentication is a cryptographic proof of private key possession.</w:t>
            </w:r>
          </w:p>
        </w:tc>
      </w:tr>
    </w:tbl>
    <w:p>
      <w:pPr>
        <w:spacing w:before="80" w:after="0"/>
      </w:pPr>
      <w:r>
        <w:t xml:space="preserve"/>
      </w:r>
    </w:p>
    <w:p>
      <w:pPr>
        <w:pStyle w:val="Heading2"/>
        <w:spacing w:before="280" w:after="120"/>
      </w:pPr>
      <w:r>
        <w:rPr>
          <w:rFonts w:ascii="Arial" w:cs="Arial" w:eastAsia="Arial" w:hAnsi="Arial"/>
          <w:b/>
          <w:bCs/>
          <w:color w:val="1B2A4A"/>
          <w:sz w:val="28"/>
          <w:szCs w:val="28"/>
        </w:rPr>
        <w:t xml:space="preserve">3.2  Sovrin Network / Hyperledger Indy</w:t>
      </w:r>
    </w:p>
    <w:p>
      <w:pPr>
        <w:spacing w:before="80" w:after="80"/>
        <w:jc w:val="both"/>
      </w:pPr>
      <w:r>
        <w:rPr>
          <w:rFonts w:ascii="Arial" w:cs="Arial" w:eastAsia="Arial" w:hAnsi="Arial"/>
          <w:b w:val="false"/>
          <w:bCs w:val="false"/>
          <w:color w:val="111827"/>
          <w:sz w:val="22"/>
          <w:szCs w:val="22"/>
        </w:rPr>
        <w:t xml:space="preserve">Sovrin is a purpose-built identity blockchain used in production for verifiable credentials in healthcare, government, and finance. Its core model: public DIDs and credential schemas are written on-chain by trusted issuers; private data never touches the chain. Revocation is handled via on-chain revocation registries. MedLedger mirrors this separation — public keys and permission hashes go on-chain, encrypted record data stays off-chain.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BFDBFE" w:sz="1"/>
              <w:left w:val="single" w:color="BFDBFE" w:sz="1"/>
              <w:bottom w:val="single" w:color="BFDBFE" w:sz="1"/>
              <w:right w:val="single" w:color="BFDBFE" w:sz="1"/>
            </w:tcBorders>
            <w:shd w:fill="D1FAE5" w:val="clear"/>
            <w:tcMar>
              <w:top w:type="dxa" w:w="100"/>
              <w:left w:type="dxa" w:w="180"/>
              <w:bottom w:type="dxa" w:w="100"/>
              <w:right w:type="dxa" w:w="180"/>
            </w:tcMar>
          </w:tcPr>
          <w:p>
            <w:pPr>
              <w:spacing w:before="0" w:after="60"/>
            </w:pPr>
            <w:r>
              <w:rPr>
                <w:rFonts w:ascii="Arial" w:cs="Arial" w:eastAsia="Arial" w:hAnsi="Arial"/>
                <w:b/>
                <w:bCs/>
                <w:color w:val="065F46"/>
                <w:sz w:val="20"/>
                <w:szCs w:val="20"/>
              </w:rPr>
              <w:t xml:space="preserve">✓ Strength</w:t>
            </w:r>
          </w:p>
          <w:p>
            <w:pPr>
              <w:jc w:val="both"/>
            </w:pPr>
            <w:r>
              <w:rPr>
                <w:rFonts w:ascii="Arial" w:cs="Arial" w:eastAsia="Arial" w:hAnsi="Arial"/>
                <w:color w:val="111827"/>
                <w:sz w:val="20"/>
                <w:szCs w:val="20"/>
              </w:rPr>
              <w:t xml:space="preserve">Key insight borrowed: the chain is a trust anchor and revocation registry, not a data store. Storing health data on a blockchain is an anti-pattern; anchoring proofs of that data is not.</w:t>
            </w:r>
          </w:p>
        </w:tc>
      </w:tr>
    </w:tbl>
    <w:p>
      <w:pPr>
        <w:spacing w:before="80" w:after="0"/>
      </w:pPr>
      <w:r>
        <w:t xml:space="preserve"/>
      </w:r>
    </w:p>
    <w:p>
      <w:pPr>
        <w:pStyle w:val="Heading2"/>
        <w:spacing w:before="280" w:after="120"/>
      </w:pPr>
      <w:r>
        <w:rPr>
          <w:rFonts w:ascii="Arial" w:cs="Arial" w:eastAsia="Arial" w:hAnsi="Arial"/>
          <w:b/>
          <w:bCs/>
          <w:color w:val="1B2A4A"/>
          <w:sz w:val="28"/>
          <w:szCs w:val="28"/>
        </w:rPr>
        <w:t xml:space="preserve">3.3  Estonia X-Road / TARU</w:t>
      </w:r>
    </w:p>
    <w:p>
      <w:pPr>
        <w:spacing w:before="80" w:after="80"/>
        <w:jc w:val="both"/>
      </w:pPr>
      <w:r>
        <w:rPr>
          <w:rFonts w:ascii="Arial" w:cs="Arial" w:eastAsia="Arial" w:hAnsi="Arial"/>
          <w:b w:val="false"/>
          <w:bCs w:val="false"/>
          <w:color w:val="111827"/>
          <w:sz w:val="22"/>
          <w:szCs w:val="22"/>
        </w:rPr>
        <w:t xml:space="preserve">Estonia's e-health infrastructure links hospitals, pharmacies, and patients through a federated data exchange layer. The patient does not store records centrally — each institution holds its own copy, and the patient authorises cross-institution queries via a cryptographically signed consent. Key material is managed via the national ID card's embedded smart chip, which cannot export the private key under any circumstances. MedLedger applies the same principle in software: private keys are generated client-side and never transmitted.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BFDBFE" w:sz="1"/>
              <w:left w:val="single" w:color="BFDBFE" w:sz="1"/>
              <w:bottom w:val="single" w:color="BFDBFE" w:sz="1"/>
              <w:right w:val="single" w:color="BFDBFE" w:sz="1"/>
            </w:tcBorders>
            <w:shd w:fill="D1FAE5" w:val="clear"/>
            <w:tcMar>
              <w:top w:type="dxa" w:w="100"/>
              <w:left w:type="dxa" w:w="180"/>
              <w:bottom w:type="dxa" w:w="100"/>
              <w:right w:type="dxa" w:w="180"/>
            </w:tcMar>
          </w:tcPr>
          <w:p>
            <w:pPr>
              <w:spacing w:before="0" w:after="60"/>
            </w:pPr>
            <w:r>
              <w:rPr>
                <w:rFonts w:ascii="Arial" w:cs="Arial" w:eastAsia="Arial" w:hAnsi="Arial"/>
                <w:b/>
                <w:bCs/>
                <w:color w:val="065F46"/>
                <w:sz w:val="20"/>
                <w:szCs w:val="20"/>
              </w:rPr>
              <w:t xml:space="preserve">✓ Strength</w:t>
            </w:r>
          </w:p>
          <w:p>
            <w:pPr>
              <w:jc w:val="both"/>
            </w:pPr>
            <w:r>
              <w:rPr>
                <w:rFonts w:ascii="Arial" w:cs="Arial" w:eastAsia="Arial" w:hAnsi="Arial"/>
                <w:color w:val="111827"/>
                <w:sz w:val="20"/>
                <w:szCs w:val="20"/>
              </w:rPr>
              <w:t xml:space="preserve">Key insight borrowed: key generation and private key custody happen on the end-user's device. The system is designed so that even a fully compromised server cannot extract private keys, because they were never sent there.</w:t>
            </w:r>
          </w:p>
        </w:tc>
      </w:tr>
    </w:tbl>
    <w:p>
      <w:pPr>
        <w:spacing w:before="80" w:after="0"/>
      </w:pPr>
      <w:r>
        <w:t xml:space="preserve"/>
      </w:r>
    </w:p>
    <w:p>
      <w:pPr>
        <w:pStyle w:val="Heading2"/>
        <w:spacing w:before="280" w:after="120"/>
      </w:pPr>
      <w:r>
        <w:rPr>
          <w:rFonts w:ascii="Arial" w:cs="Arial" w:eastAsia="Arial" w:hAnsi="Arial"/>
          <w:b/>
          <w:bCs/>
          <w:color w:val="1B2A4A"/>
          <w:sz w:val="28"/>
          <w:szCs w:val="28"/>
        </w:rPr>
        <w:t xml:space="preserve">3.4  uPort / Veramo</w:t>
      </w:r>
    </w:p>
    <w:p>
      <w:pPr>
        <w:spacing w:before="80" w:after="80"/>
        <w:jc w:val="both"/>
      </w:pPr>
      <w:r>
        <w:rPr>
          <w:rFonts w:ascii="Arial" w:cs="Arial" w:eastAsia="Arial" w:hAnsi="Arial"/>
          <w:b w:val="false"/>
          <w:bCs w:val="false"/>
          <w:color w:val="111827"/>
          <w:sz w:val="22"/>
          <w:szCs w:val="22"/>
        </w:rPr>
        <w:t xml:space="preserve">uPort (now Veramo) is an Ethereum-based SSI framework used in pilot deployments across South America and Europe. It demonstrates that on-chain identity registration can be made gas-efficient and composable with off-chain credential storage using IPFS content addresses. The permission grant flow in MedLedger — patient signs a payload, signature stored on-chain, DEK re-encrypted for grantee — is structurally equivalent to Veramo's selective disclosure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BFDBFE" w:sz="1"/>
              <w:left w:val="single" w:color="BFDBFE" w:sz="1"/>
              <w:bottom w:val="single" w:color="BFDBFE" w:sz="1"/>
              <w:right w:val="single" w:color="BFDBFE" w:sz="1"/>
            </w:tcBorders>
            <w:shd w:fill="D1FAE5" w:val="clear"/>
            <w:tcMar>
              <w:top w:type="dxa" w:w="100"/>
              <w:left w:type="dxa" w:w="180"/>
              <w:bottom w:type="dxa" w:w="100"/>
              <w:right w:type="dxa" w:w="180"/>
            </w:tcMar>
          </w:tcPr>
          <w:p>
            <w:pPr>
              <w:spacing w:before="0" w:after="60"/>
            </w:pPr>
            <w:r>
              <w:rPr>
                <w:rFonts w:ascii="Arial" w:cs="Arial" w:eastAsia="Arial" w:hAnsi="Arial"/>
                <w:b/>
                <w:bCs/>
                <w:color w:val="065F46"/>
                <w:sz w:val="20"/>
                <w:szCs w:val="20"/>
              </w:rPr>
              <w:t xml:space="preserve">✓ Strength</w:t>
            </w:r>
          </w:p>
          <w:p>
            <w:pPr>
              <w:jc w:val="both"/>
            </w:pPr>
            <w:r>
              <w:rPr>
                <w:rFonts w:ascii="Arial" w:cs="Arial" w:eastAsia="Arial" w:hAnsi="Arial"/>
                <w:color w:val="111827"/>
                <w:sz w:val="20"/>
                <w:szCs w:val="20"/>
              </w:rPr>
              <w:t xml:space="preserve">Key insight borrowed: permission grants are signed data structures, not database rows. The signature is the authority; the database entry is a cache of it.</w:t>
            </w:r>
          </w:p>
        </w:tc>
      </w:tr>
    </w:tbl>
    <w:p>
      <w:pPr>
        <w:spacing w:before="80" w:after="0"/>
      </w:pPr>
      <w:r>
        <w:t xml:space="preserve"/>
      </w:r>
    </w:p>
    <w:p>
      <w:pPr>
        <w:pStyle w:val="Heading2"/>
        <w:spacing w:before="280" w:after="120"/>
      </w:pPr>
      <w:r>
        <w:rPr>
          <w:rFonts w:ascii="Arial" w:cs="Arial" w:eastAsia="Arial" w:hAnsi="Arial"/>
          <w:b/>
          <w:bCs/>
          <w:color w:val="1B2A4A"/>
          <w:sz w:val="28"/>
          <w:szCs w:val="28"/>
        </w:rPr>
        <w:t xml:space="preserve">3.5  Signal Protocol (Key Registration Pattern)</w:t>
      </w:r>
    </w:p>
    <w:p>
      <w:pPr>
        <w:spacing w:before="80" w:after="80"/>
        <w:jc w:val="both"/>
      </w:pPr>
      <w:r>
        <w:rPr>
          <w:rFonts w:ascii="Arial" w:cs="Arial" w:eastAsia="Arial" w:hAnsi="Arial"/>
          <w:b w:val="false"/>
          <w:bCs w:val="false"/>
          <w:color w:val="111827"/>
          <w:sz w:val="22"/>
          <w:szCs w:val="22"/>
        </w:rPr>
        <w:t xml:space="preserve">Signal's extended triple Diffie-Hellman (X3DH) protocol establishes how a server can publish a user's public key bundle without ever learning the private key. Users register by submitting only public material; private keys are generated and stored locally. Identity is proved by responding to a cryptographic challenge, not by presenting a password. MedLedger's registration flow is a simplified version of this pattern without the forward-secrecy ratchet (which is outside scope for record access).</w:t>
      </w:r>
    </w:p>
    <w:p>
      <w:pPr>
        <w:spacing w:before="160" w:after="0"/>
      </w:pPr>
      <w:r>
        <w:t xml:space="preserve"/>
      </w:r>
    </w:p>
    <w:p>
      <w:pPr>
        <w:pBdr>
          <w:bottom w:val="single" w:color="BFDBFE" w:sz="4" w:space="1"/>
        </w:pBdr>
        <w:spacing w:before="200" w:after="200"/>
      </w:pPr>
    </w:p>
    <w:p>
      <w:pPr>
        <w:pStyle w:val="Heading1"/>
        <w:pBdr>
          <w:bottom w:val="single" w:color="2563EB" w:sz="8" w:space="4"/>
        </w:pBdr>
        <w:spacing w:before="360" w:after="160"/>
      </w:pPr>
      <w:r>
        <w:rPr>
          <w:rFonts w:ascii="Arial" w:cs="Arial" w:eastAsia="Arial" w:hAnsi="Arial"/>
          <w:b/>
          <w:bCs/>
          <w:color w:val="1B2A4A"/>
          <w:sz w:val="36"/>
          <w:szCs w:val="36"/>
        </w:rPr>
        <w:t xml:space="preserve">4. Proposed Architecture</w:t>
      </w:r>
    </w:p>
    <w:p>
      <w:pPr>
        <w:pStyle w:val="Heading2"/>
        <w:spacing w:before="280" w:after="120"/>
      </w:pPr>
      <w:r>
        <w:rPr>
          <w:rFonts w:ascii="Arial" w:cs="Arial" w:eastAsia="Arial" w:hAnsi="Arial"/>
          <w:b/>
          <w:bCs/>
          <w:color w:val="1B2A4A"/>
          <w:sz w:val="28"/>
          <w:szCs w:val="28"/>
        </w:rPr>
        <w:t xml:space="preserve">4.1  Core Invariants</w:t>
      </w:r>
    </w:p>
    <w:p>
      <w:pPr>
        <w:spacing w:before="80" w:after="80"/>
        <w:jc w:val="both"/>
      </w:pPr>
      <w:r>
        <w:rPr>
          <w:rFonts w:ascii="Arial" w:cs="Arial" w:eastAsia="Arial" w:hAnsi="Arial"/>
          <w:b w:val="false"/>
          <w:bCs w:val="false"/>
          <w:color w:val="111827"/>
          <w:sz w:val="22"/>
          <w:szCs w:val="22"/>
        </w:rPr>
        <w:t xml:space="preserve">The following invariants are non-negotiable. Any implementation decision that violates them invalidates the security model:</w:t>
      </w:r>
    </w:p>
    <w:p>
      <w:pPr>
        <w:spacing w:before="60" w:after="0"/>
      </w:pPr>
      <w:r>
        <w:t xml:space="preserve"/>
      </w:r>
    </w:p>
    <w:p>
      <w:pPr>
        <w:pStyle w:val="ListParagraph"/>
        <w:numPr>
          <w:ilvl w:val="0"/>
          <w:numId w:val="2"/>
        </w:numPr>
        <w:spacing w:before="60" w:after="60"/>
      </w:pPr>
      <w:r>
        <w:rPr>
          <w:rFonts w:ascii="Arial" w:cs="Arial" w:eastAsia="Arial" w:hAnsi="Arial"/>
          <w:color w:val="111827"/>
          <w:sz w:val="22"/>
          <w:szCs w:val="22"/>
        </w:rPr>
        <w:t xml:space="preserve">Private keys are generated client-side and never transmitted over any network.</w:t>
      </w:r>
    </w:p>
    <w:p>
      <w:pPr>
        <w:pStyle w:val="ListParagraph"/>
        <w:numPr>
          <w:ilvl w:val="0"/>
          <w:numId w:val="2"/>
        </w:numPr>
        <w:spacing w:before="60" w:after="60"/>
      </w:pPr>
      <w:r>
        <w:rPr>
          <w:rFonts w:ascii="Arial" w:cs="Arial" w:eastAsia="Arial" w:hAnsi="Arial"/>
          <w:color w:val="111827"/>
          <w:sz w:val="22"/>
          <w:szCs w:val="22"/>
        </w:rPr>
        <w:t xml:space="preserve">The server stores only public keys, encrypted records, and permission signatures — never plaintext data or private keys.</w:t>
      </w:r>
    </w:p>
    <w:p>
      <w:pPr>
        <w:pStyle w:val="ListParagraph"/>
        <w:numPr>
          <w:ilvl w:val="0"/>
          <w:numId w:val="2"/>
        </w:numPr>
        <w:spacing w:before="60" w:after="60"/>
      </w:pPr>
      <w:r>
        <w:rPr>
          <w:rFonts w:ascii="Arial" w:cs="Arial" w:eastAsia="Arial" w:hAnsi="Arial"/>
          <w:color w:val="111827"/>
          <w:sz w:val="22"/>
          <w:szCs w:val="22"/>
        </w:rPr>
        <w:t xml:space="preserve">On-chain data is limited to: public key registrations, permission grant hashes, and revocation events. No health data, even encrypted, lives on-chain.</w:t>
      </w:r>
    </w:p>
    <w:p>
      <w:pPr>
        <w:pStyle w:val="ListParagraph"/>
        <w:numPr>
          <w:ilvl w:val="0"/>
          <w:numId w:val="2"/>
        </w:numPr>
        <w:spacing w:before="60" w:after="60"/>
      </w:pPr>
      <w:r>
        <w:rPr>
          <w:rFonts w:ascii="Arial" w:cs="Arial" w:eastAsia="Arial" w:hAnsi="Arial"/>
          <w:color w:val="111827"/>
          <w:sz w:val="22"/>
          <w:szCs w:val="22"/>
        </w:rPr>
        <w:t xml:space="preserve">Any permission grant is a cryptographically signed data structure. The signature is verified server-side before the grant is persisted. A database row without a valid signature is not a valid permission.</w:t>
      </w:r>
    </w:p>
    <w:p>
      <w:pPr>
        <w:pStyle w:val="ListParagraph"/>
        <w:numPr>
          <w:ilvl w:val="0"/>
          <w:numId w:val="2"/>
        </w:numPr>
        <w:spacing w:before="60" w:after="60"/>
      </w:pPr>
      <w:r>
        <w:rPr>
          <w:rFonts w:ascii="Arial" w:cs="Arial" w:eastAsia="Arial" w:hAnsi="Arial"/>
          <w:color w:val="111827"/>
          <w:sz w:val="22"/>
          <w:szCs w:val="22"/>
        </w:rPr>
        <w:t xml:space="preserve">Record encryption keys (DEKs) are always encrypted under the patient's public key (ECIES). Re-encryption for a grantee produces a separate ECIES bundle. The plaintext DEK never exists on the server.</w:t>
      </w:r>
    </w:p>
    <w:p>
      <w:pPr>
        <w:spacing w:before="120" w:after="0"/>
      </w:pPr>
      <w:r>
        <w:t xml:space="preserve"/>
      </w:r>
    </w:p>
    <w:p>
      <w:pPr>
        <w:pStyle w:val="Heading2"/>
        <w:spacing w:before="280" w:after="120"/>
      </w:pPr>
      <w:r>
        <w:rPr>
          <w:rFonts w:ascii="Arial" w:cs="Arial" w:eastAsia="Arial" w:hAnsi="Arial"/>
          <w:b/>
          <w:bCs/>
          <w:color w:val="1B2A4A"/>
          <w:sz w:val="28"/>
          <w:szCs w:val="28"/>
        </w:rPr>
        <w:t xml:space="preserve">4.2  System Layers</w:t>
      </w:r>
    </w:p>
    <w:p>
      <w:pPr>
        <w:spacing w:before="80" w:after="80"/>
        <w:jc w:val="both"/>
      </w:pPr>
      <w:r>
        <w:rPr>
          <w:rFonts w:ascii="Arial" w:cs="Arial" w:eastAsia="Arial" w:hAnsi="Arial"/>
          <w:b w:val="false"/>
          <w:bCs w:val="false"/>
          <w:color w:val="111827"/>
          <w:sz w:val="22"/>
          <w:szCs w:val="22"/>
        </w:rPr>
        <w:t xml:space="preserve">The system is composed of four loosely-coupled layers: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000"/>
        <w:gridCol w:w="3180"/>
        <w:gridCol w:w="3180"/>
      </w:tblGrid>
      <w:tr>
        <w:trPr>
          <w:tblHeader/>
        </w:trPr>
        <w:tc>
          <w:tcPr>
            <w:tcW w:type="dxa" w:w="3000"/>
            <w:tcBorders>
              <w:top w:val="single" w:color="BFDBFE" w:sz="1"/>
              <w:left w:val="single" w:color="BFDBFE" w:sz="1"/>
              <w:bottom w:val="single" w:color="BFDBFE" w:sz="1"/>
              <w:right w:val="single" w:color="BFDBFE"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Layer</w:t>
            </w:r>
          </w:p>
        </w:tc>
        <w:tc>
          <w:tcPr>
            <w:tcW w:type="dxa" w:w="3180"/>
            <w:tcBorders>
              <w:top w:val="single" w:color="BFDBFE" w:sz="1"/>
              <w:left w:val="single" w:color="BFDBFE" w:sz="1"/>
              <w:bottom w:val="single" w:color="BFDBFE" w:sz="1"/>
              <w:right w:val="single" w:color="BFDBFE"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Responsibility</w:t>
            </w:r>
          </w:p>
        </w:tc>
        <w:tc>
          <w:tcPr>
            <w:tcW w:type="dxa" w:w="3180"/>
            <w:tcBorders>
              <w:top w:val="single" w:color="BFDBFE" w:sz="1"/>
              <w:left w:val="single" w:color="BFDBFE" w:sz="1"/>
              <w:bottom w:val="single" w:color="BFDBFE" w:sz="1"/>
              <w:right w:val="single" w:color="BFDBFE"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Where it runs</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2A4A"/>
                <w:sz w:val="19"/>
                <w:szCs w:val="19"/>
              </w:rPr>
              <w:t xml:space="preserve">Layer 1: Identity</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Key generation, registration, public key anchoring</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Client + Blockchain</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2A4A"/>
                <w:sz w:val="19"/>
                <w:szCs w:val="19"/>
              </w:rPr>
              <w:t xml:space="preserve">Layer 2: Crypto</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ECIES encryption, ECDSA signing, SSS key recovery</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Client-side exclusively</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2A4A"/>
                <w:sz w:val="19"/>
                <w:szCs w:val="19"/>
              </w:rPr>
              <w:t xml:space="preserve">Layer 3: Access Control</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Permission grants, verification, revocation</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Server (validates) + Blockchain (anchors)</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2A4A"/>
                <w:sz w:val="19"/>
                <w:szCs w:val="19"/>
              </w:rPr>
              <w:t xml:space="preserve">Layer 4: Storage</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Encrypted record storage, DEK management</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Server (off-chain)</w:t>
            </w:r>
          </w:p>
        </w:tc>
      </w:tr>
    </w:tbl>
    <w:p>
      <w:pPr>
        <w:spacing w:before="160" w:after="0"/>
      </w:pPr>
      <w:r>
        <w:t xml:space="preserve"/>
      </w:r>
    </w:p>
    <w:p>
      <w:pPr>
        <w:pStyle w:val="Heading2"/>
        <w:spacing w:before="280" w:after="120"/>
      </w:pPr>
      <w:r>
        <w:rPr>
          <w:rFonts w:ascii="Arial" w:cs="Arial" w:eastAsia="Arial" w:hAnsi="Arial"/>
          <w:b/>
          <w:bCs/>
          <w:color w:val="1B2A4A"/>
          <w:sz w:val="28"/>
          <w:szCs w:val="28"/>
        </w:rPr>
        <w:t xml:space="preserve">4.3  Registration Flow</w:t>
      </w:r>
    </w:p>
    <w:p>
      <w:pPr>
        <w:spacing w:before="80" w:after="80"/>
        <w:jc w:val="both"/>
      </w:pPr>
      <w:r>
        <w:rPr>
          <w:rFonts w:ascii="Arial" w:cs="Arial" w:eastAsia="Arial" w:hAnsi="Arial"/>
          <w:b w:val="false"/>
          <w:bCs w:val="false"/>
          <w:color w:val="111827"/>
          <w:sz w:val="22"/>
          <w:szCs w:val="22"/>
        </w:rPr>
        <w:t xml:space="preserve">This is the critical path. It establishes a user's identity and anchors it without the private key leaving the client.</w:t>
      </w:r>
    </w:p>
    <w:p>
      <w:pPr>
        <w:spacing w:before="80" w:after="0"/>
      </w:pPr>
      <w:r>
        <w:t xml:space="preserve"/>
      </w:r>
    </w:p>
    <w:p>
      <w:pPr>
        <w:pStyle w:val="Heading3"/>
        <w:spacing w:before="200" w:after="80"/>
      </w:pPr>
      <w:r>
        <w:rPr>
          <w:rFonts w:ascii="Arial" w:cs="Arial" w:eastAsia="Arial" w:hAnsi="Arial"/>
          <w:b/>
          <w:bCs/>
          <w:color w:val="2563EB"/>
          <w:sz w:val="24"/>
          <w:szCs w:val="24"/>
        </w:rPr>
        <w:t xml:space="preserve">Step 1 — Client-side keypair generation</w:t>
      </w:r>
    </w:p>
    <w:p>
      <w:pPr>
        <w:spacing w:before="80" w:after="80"/>
        <w:jc w:val="both"/>
      </w:pPr>
      <w:r>
        <w:rPr>
          <w:rFonts w:ascii="Arial" w:cs="Arial" w:eastAsia="Arial" w:hAnsi="Arial"/>
          <w:b w:val="false"/>
          <w:bCs w:val="false"/>
          <w:color w:val="111827"/>
          <w:sz w:val="22"/>
          <w:szCs w:val="22"/>
        </w:rPr>
        <w:t xml:space="preserve">On first registration, the client (browser, mobile app, or desktop tool) generates an ECDSA P-256 keypair using the platform's secure random source (SubtleCrypto in browsers, SecureRandom on Android/iOS). The private key is immediately stored in the client's secure enclave or encrypted local store. The public key (uncompressed, 65 bytes, hex-encoded) and a SHA-256 hash of it are extracted for transmission.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BFDBFE" w:sz="1"/>
              <w:left w:val="single" w:color="BFDBFE" w:sz="1"/>
              <w:bottom w:val="single" w:color="BFDBFE" w:sz="1"/>
              <w:right w:val="single" w:color="BFDBFE" w:sz="1"/>
            </w:tcBorders>
            <w:shd w:fill="FEF3C7" w:val="clear"/>
            <w:tcMar>
              <w:top w:type="dxa" w:w="100"/>
              <w:left w:type="dxa" w:w="180"/>
              <w:bottom w:type="dxa" w:w="100"/>
              <w:right w:type="dxa" w:w="180"/>
            </w:tcMar>
          </w:tcPr>
          <w:p>
            <w:pPr>
              <w:spacing w:before="0" w:after="60"/>
            </w:pPr>
            <w:r>
              <w:rPr>
                <w:rFonts w:ascii="Arial" w:cs="Arial" w:eastAsia="Arial" w:hAnsi="Arial"/>
                <w:b/>
                <w:bCs/>
                <w:color w:val="92400E"/>
                <w:sz w:val="20"/>
                <w:szCs w:val="20"/>
              </w:rPr>
              <w:t xml:space="preserve">⚠ Consideration</w:t>
            </w:r>
          </w:p>
          <w:p>
            <w:pPr>
              <w:jc w:val="both"/>
            </w:pPr>
            <w:r>
              <w:rPr>
                <w:rFonts w:ascii="Arial" w:cs="Arial" w:eastAsia="Arial" w:hAnsi="Arial"/>
                <w:color w:val="111827"/>
                <w:sz w:val="20"/>
                <w:szCs w:val="20"/>
              </w:rPr>
              <w:t xml:space="preserve">The private key is never serialised to a string for transmission. If using SubtleCrypto, the non-extractable flag should be set. If the key must be stored for portability, it is encrypted under a user-chosen passphrase using PBKDF2 or Argon2 before any persistence.</w:t>
            </w:r>
          </w:p>
        </w:tc>
      </w:tr>
    </w:tbl>
    <w:p>
      <w:pPr>
        <w:spacing w:before="80" w:after="0"/>
      </w:pPr>
      <w:r>
        <w:t xml:space="preserve"/>
      </w:r>
    </w:p>
    <w:p>
      <w:pPr>
        <w:pStyle w:val="Heading3"/>
        <w:spacing w:before="200" w:after="80"/>
      </w:pPr>
      <w:r>
        <w:rPr>
          <w:rFonts w:ascii="Arial" w:cs="Arial" w:eastAsia="Arial" w:hAnsi="Arial"/>
          <w:b/>
          <w:bCs/>
          <w:color w:val="2563EB"/>
          <w:sz w:val="24"/>
          <w:szCs w:val="24"/>
        </w:rPr>
        <w:t xml:space="preserve">Step 2 — Authenticated registration request</w:t>
      </w:r>
    </w:p>
    <w:p>
      <w:pPr>
        <w:spacing w:before="80" w:after="80"/>
        <w:jc w:val="both"/>
      </w:pPr>
      <w:r>
        <w:rPr>
          <w:rFonts w:ascii="Arial" w:cs="Arial" w:eastAsia="Arial" w:hAnsi="Arial"/>
          <w:b w:val="false"/>
          <w:bCs w:val="false"/>
          <w:color w:val="111827"/>
          <w:sz w:val="22"/>
          <w:szCs w:val="22"/>
        </w:rPr>
        <w:t xml:space="preserve">The client submits to the registration endpoint: username, hashed password (bcrypt on server), public_key_hex (the full 65-byte public key), and public_key_hash (its SHA-256 digest). The server creates a User record, stores public_key_hex and public_key_hash, and returns a JWT. Nothing private is transmitted.</w:t>
      </w:r>
    </w:p>
    <w:p>
      <w:pPr>
        <w:spacing w:before="80" w:after="0"/>
      </w:pPr>
      <w:r>
        <w:t xml:space="preserve"/>
      </w:r>
    </w:p>
    <w:p>
      <w:pPr>
        <w:pStyle w:val="Heading3"/>
        <w:spacing w:before="200" w:after="80"/>
      </w:pPr>
      <w:r>
        <w:rPr>
          <w:rFonts w:ascii="Arial" w:cs="Arial" w:eastAsia="Arial" w:hAnsi="Arial"/>
          <w:b/>
          <w:bCs/>
          <w:color w:val="2563EB"/>
          <w:sz w:val="24"/>
          <w:szCs w:val="24"/>
        </w:rPr>
        <w:t xml:space="preserve">Step 3 — Blockchain sync</w:t>
      </w:r>
    </w:p>
    <w:p>
      <w:pPr>
        <w:spacing w:before="80" w:after="80"/>
        <w:jc w:val="both"/>
      </w:pPr>
      <w:r>
        <w:rPr>
          <w:rFonts w:ascii="Arial" w:cs="Arial" w:eastAsia="Arial" w:hAnsi="Arial"/>
          <w:b w:val="false"/>
          <w:bCs w:val="false"/>
          <w:color w:val="111827"/>
          <w:sz w:val="22"/>
          <w:szCs w:val="22"/>
        </w:rPr>
        <w:t xml:space="preserve">The server (or a dedicated sync node) writes a minimal identity record to the blockchain: { public_key_hash, timestamp, registration_tx_hash }. This serves as a tamper-evident timestamp proving the public key existed and was registered at a specific time. The on-chain record is the trust anchor — if the server's database is corrupted or replaced, the blockchain record proves which public key belongs to this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BFDBFE" w:sz="1"/>
              <w:left w:val="single" w:color="BFDBFE" w:sz="1"/>
              <w:bottom w:val="single" w:color="BFDBFE" w:sz="1"/>
              <w:right w:val="single" w:color="BFDBFE" w:sz="1"/>
            </w:tcBorders>
            <w:shd w:fill="D1FAE5" w:val="clear"/>
            <w:tcMar>
              <w:top w:type="dxa" w:w="100"/>
              <w:left w:type="dxa" w:w="180"/>
              <w:bottom w:type="dxa" w:w="100"/>
              <w:right w:type="dxa" w:w="180"/>
            </w:tcMar>
          </w:tcPr>
          <w:p>
            <w:pPr>
              <w:spacing w:before="0" w:after="60"/>
            </w:pPr>
            <w:r>
              <w:rPr>
                <w:rFonts w:ascii="Arial" w:cs="Arial" w:eastAsia="Arial" w:hAnsi="Arial"/>
                <w:b/>
                <w:bCs/>
                <w:color w:val="065F46"/>
                <w:sz w:val="20"/>
                <w:szCs w:val="20"/>
              </w:rPr>
              <w:t xml:space="preserve">✓ Strength</w:t>
            </w:r>
          </w:p>
          <w:p>
            <w:pPr>
              <w:jc w:val="both"/>
            </w:pPr>
            <w:r>
              <w:rPr>
                <w:rFonts w:ascii="Arial" w:cs="Arial" w:eastAsia="Arial" w:hAnsi="Arial"/>
                <w:color w:val="111827"/>
                <w:sz w:val="20"/>
                <w:szCs w:val="20"/>
              </w:rPr>
              <w:t xml:space="preserve">The username and password hash are not written on-chain. Only the public key hash — a pseudonymous, unlinkable identifier — is anchored. This preserves privacy while providing integrity.</w:t>
            </w:r>
          </w:p>
        </w:tc>
      </w:tr>
    </w:tbl>
    <w:p>
      <w:pPr>
        <w:spacing w:before="80" w:after="0"/>
      </w:pPr>
      <w:r>
        <w:t xml:space="preserve"/>
      </w:r>
    </w:p>
    <w:p>
      <w:pPr>
        <w:pStyle w:val="Heading3"/>
        <w:spacing w:before="200" w:after="80"/>
      </w:pPr>
      <w:r>
        <w:rPr>
          <w:rFonts w:ascii="Arial" w:cs="Arial" w:eastAsia="Arial" w:hAnsi="Arial"/>
          <w:b/>
          <w:bCs/>
          <w:color w:val="2563EB"/>
          <w:sz w:val="24"/>
          <w:szCs w:val="24"/>
        </w:rPr>
        <w:t xml:space="preserve">Step 4 — Private key delivery to user</w:t>
      </w:r>
    </w:p>
    <w:p>
      <w:pPr>
        <w:spacing w:before="80" w:after="80"/>
        <w:jc w:val="both"/>
      </w:pPr>
      <w:r>
        <w:rPr>
          <w:rFonts w:ascii="Arial" w:cs="Arial" w:eastAsia="Arial" w:hAnsi="Arial"/>
          <w:b w:val="false"/>
          <w:bCs w:val="false"/>
          <w:color w:val="111827"/>
          <w:sz w:val="22"/>
          <w:szCs w:val="22"/>
        </w:rPr>
        <w:t xml:space="preserve">Private key delivery does not exist in this model — because the key was generated on the client, there is nothing to deliver. The registration flow ends with the server returning a success response. The user's private key is already where it belongs: on their device.</w:t>
      </w:r>
    </w:p>
    <w:p>
      <w:pPr>
        <w:spacing w:before="160" w:after="0"/>
      </w:pPr>
      <w:r>
        <w:t xml:space="preserve"/>
      </w:r>
    </w:p>
    <w:p>
      <w:pPr>
        <w:pStyle w:val="Heading2"/>
        <w:spacing w:before="280" w:after="120"/>
      </w:pPr>
      <w:r>
        <w:rPr>
          <w:rFonts w:ascii="Arial" w:cs="Arial" w:eastAsia="Arial" w:hAnsi="Arial"/>
          <w:b/>
          <w:bCs/>
          <w:color w:val="1B2A4A"/>
          <w:sz w:val="28"/>
          <w:szCs w:val="28"/>
        </w:rPr>
        <w:t xml:space="preserve">4.4  Authentication Flow</w:t>
      </w:r>
    </w:p>
    <w:p>
      <w:pPr>
        <w:spacing w:before="80" w:after="80"/>
        <w:jc w:val="both"/>
      </w:pPr>
      <w:r>
        <w:rPr>
          <w:rFonts w:ascii="Arial" w:cs="Arial" w:eastAsia="Arial" w:hAnsi="Arial"/>
          <w:b w:val="false"/>
          <w:bCs w:val="false"/>
          <w:color w:val="111827"/>
          <w:sz w:val="22"/>
          <w:szCs w:val="22"/>
        </w:rPr>
        <w:t xml:space="preserve">Login is a two-factor proof: knowledge factor (password) plus cryptographic factor (private key possession), without requiring the private key to be transmitted.</w:t>
      </w:r>
    </w:p>
    <w:p>
      <w:pPr>
        <w:spacing w:before="80" w:after="0"/>
      </w:pPr>
      <w:r>
        <w:t xml:space="preserve"/>
      </w:r>
    </w:p>
    <w:p>
      <w:pPr>
        <w:pStyle w:val="ListParagraph"/>
        <w:numPr>
          <w:ilvl w:val="0"/>
          <w:numId w:val="2"/>
        </w:numPr>
        <w:spacing w:before="60" w:after="60"/>
      </w:pPr>
      <w:r>
        <w:rPr>
          <w:rFonts w:ascii="Arial" w:cs="Arial" w:eastAsia="Arial" w:hAnsi="Arial"/>
          <w:color w:val="111827"/>
          <w:sz w:val="22"/>
          <w:szCs w:val="22"/>
        </w:rPr>
        <w:t xml:space="preserve">Client submits username + password. Server verifies bcrypt hash and returns a challenge nonce.</w:t>
      </w:r>
    </w:p>
    <w:p>
      <w:pPr>
        <w:pStyle w:val="ListParagraph"/>
        <w:numPr>
          <w:ilvl w:val="0"/>
          <w:numId w:val="2"/>
        </w:numPr>
        <w:spacing w:before="60" w:after="60"/>
      </w:pPr>
      <w:r>
        <w:rPr>
          <w:rFonts w:ascii="Arial" w:cs="Arial" w:eastAsia="Arial" w:hAnsi="Arial"/>
          <w:color w:val="111827"/>
          <w:sz w:val="22"/>
          <w:szCs w:val="22"/>
        </w:rPr>
        <w:t xml:space="preserve">Client signs the nonce with their private key (ECDSA P-256, SHA-256). Returns signature_hex.</w:t>
      </w:r>
    </w:p>
    <w:p>
      <w:pPr>
        <w:pStyle w:val="ListParagraph"/>
        <w:numPr>
          <w:ilvl w:val="0"/>
          <w:numId w:val="2"/>
        </w:numPr>
        <w:spacing w:before="60" w:after="60"/>
      </w:pPr>
      <w:r>
        <w:rPr>
          <w:rFonts w:ascii="Arial" w:cs="Arial" w:eastAsia="Arial" w:hAnsi="Arial"/>
          <w:color w:val="111827"/>
          <w:sz w:val="22"/>
          <w:szCs w:val="22"/>
        </w:rPr>
        <w:t xml:space="preserve">Server verifies signature against stored public_key_hex. If valid, issues JWT. If invalid, rejects.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BFDBFE" w:sz="1"/>
              <w:left w:val="single" w:color="BFDBFE" w:sz="1"/>
              <w:bottom w:val="single" w:color="BFDBFE" w:sz="1"/>
              <w:right w:val="single" w:color="BFDBFE" w:sz="1"/>
            </w:tcBorders>
            <w:shd w:fill="D1FAE5" w:val="clear"/>
            <w:tcMar>
              <w:top w:type="dxa" w:w="100"/>
              <w:left w:type="dxa" w:w="180"/>
              <w:bottom w:type="dxa" w:w="100"/>
              <w:right w:type="dxa" w:w="180"/>
            </w:tcMar>
          </w:tcPr>
          <w:p>
            <w:pPr>
              <w:spacing w:before="0" w:after="60"/>
            </w:pPr>
            <w:r>
              <w:rPr>
                <w:rFonts w:ascii="Arial" w:cs="Arial" w:eastAsia="Arial" w:hAnsi="Arial"/>
                <w:b/>
                <w:bCs/>
                <w:color w:val="065F46"/>
                <w:sz w:val="20"/>
                <w:szCs w:val="20"/>
              </w:rPr>
              <w:t xml:space="preserve">✓ Strength</w:t>
            </w:r>
          </w:p>
          <w:p>
            <w:pPr>
              <w:jc w:val="both"/>
            </w:pPr>
            <w:r>
              <w:rPr>
                <w:rFonts w:ascii="Arial" w:cs="Arial" w:eastAsia="Arial" w:hAnsi="Arial"/>
                <w:color w:val="111827"/>
                <w:sz w:val="20"/>
                <w:szCs w:val="20"/>
              </w:rPr>
              <w:t xml:space="preserve">This is a standard challenge-response authentication protocol equivalent to WebAuthn's assertion phase. It provides mutual proof: the server proves it knows the user (by issuing the correct nonce), and the client proves it holds the private key (by signing it). A stolen password alone is insufficient to authenticate.</w:t>
            </w:r>
          </w:p>
        </w:tc>
      </w:tr>
    </w:tbl>
    <w:p>
      <w:pPr>
        <w:spacing w:before="160" w:after="0"/>
      </w:pPr>
      <w:r>
        <w:t xml:space="preserve"/>
      </w:r>
    </w:p>
    <w:p>
      <w:pPr>
        <w:pStyle w:val="Heading2"/>
        <w:spacing w:before="280" w:after="120"/>
      </w:pPr>
      <w:r>
        <w:rPr>
          <w:rFonts w:ascii="Arial" w:cs="Arial" w:eastAsia="Arial" w:hAnsi="Arial"/>
          <w:b/>
          <w:bCs/>
          <w:color w:val="1B2A4A"/>
          <w:sz w:val="28"/>
          <w:szCs w:val="28"/>
        </w:rPr>
        <w:t xml:space="preserve">4.5  What Lives Where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000"/>
        <w:gridCol w:w="3180"/>
        <w:gridCol w:w="3180"/>
      </w:tblGrid>
      <w:tr>
        <w:trPr>
          <w:tblHeader/>
        </w:trPr>
        <w:tc>
          <w:tcPr>
            <w:tcW w:type="dxa" w:w="3000"/>
            <w:tcBorders>
              <w:top w:val="single" w:color="BFDBFE" w:sz="1"/>
              <w:left w:val="single" w:color="BFDBFE" w:sz="1"/>
              <w:bottom w:val="single" w:color="BFDBFE" w:sz="1"/>
              <w:right w:val="single" w:color="BFDBFE"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Data</w:t>
            </w:r>
          </w:p>
        </w:tc>
        <w:tc>
          <w:tcPr>
            <w:tcW w:type="dxa" w:w="3180"/>
            <w:tcBorders>
              <w:top w:val="single" w:color="BFDBFE" w:sz="1"/>
              <w:left w:val="single" w:color="BFDBFE" w:sz="1"/>
              <w:bottom w:val="single" w:color="BFDBFE" w:sz="1"/>
              <w:right w:val="single" w:color="BFDBFE"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What it is</w:t>
            </w:r>
          </w:p>
        </w:tc>
        <w:tc>
          <w:tcPr>
            <w:tcW w:type="dxa" w:w="3180"/>
            <w:tcBorders>
              <w:top w:val="single" w:color="BFDBFE" w:sz="1"/>
              <w:left w:val="single" w:color="BFDBFE" w:sz="1"/>
              <w:bottom w:val="single" w:color="BFDBFE" w:sz="1"/>
              <w:right w:val="single" w:color="BFDBFE"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Where it lives</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2A4A"/>
                <w:sz w:val="19"/>
                <w:szCs w:val="19"/>
              </w:rPr>
              <w:t xml:space="preserve">User credentials</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Username, bcrypt hash</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Server DB only</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2A4A"/>
                <w:sz w:val="19"/>
                <w:szCs w:val="19"/>
              </w:rPr>
              <w:t xml:space="preserve">Public key</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Full 65-byte hex + hash</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Server DB + Blockchain</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2A4A"/>
                <w:sz w:val="19"/>
                <w:szCs w:val="19"/>
              </w:rPr>
              <w:t xml:space="preserve">Private key</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ECDSA P-256 private key</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Client device only — never transmitted</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2A4A"/>
                <w:sz w:val="19"/>
                <w:szCs w:val="19"/>
              </w:rPr>
              <w:t xml:space="preserve">Encrypted records</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ECIES-encrypted file bytes</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Server storage (off-chain)</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2A4A"/>
                <w:sz w:val="19"/>
                <w:szCs w:val="19"/>
              </w:rPr>
              <w:t xml:space="preserve">Record DEK</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ECIES bundle (patient's pubkey)</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Server DB (off-chain)</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2A4A"/>
                <w:sz w:val="19"/>
                <w:szCs w:val="19"/>
              </w:rPr>
              <w:t xml:space="preserve">Permission grants</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Signed grant payload + signature</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Server DB + Hash on-chain</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2A4A"/>
                <w:sz w:val="19"/>
                <w:szCs w:val="19"/>
              </w:rPr>
              <w:t xml:space="preserve">Permission revocation</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Revocation event</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Server DB + Blockchain</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2A4A"/>
                <w:sz w:val="19"/>
                <w:szCs w:val="19"/>
              </w:rPr>
              <w:t xml:space="preserve">Audit log</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Access events, timestamped</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Server DB + Hash on-chain</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2A4A"/>
                <w:sz w:val="19"/>
                <w:szCs w:val="19"/>
              </w:rPr>
              <w:t xml:space="preserve">SSS recovery shares</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Encrypted key shares</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Distributed custodians — never server</w:t>
            </w:r>
          </w:p>
        </w:tc>
      </w:tr>
    </w:tbl>
    <w:p>
      <w:pPr>
        <w:spacing w:before="160" w:after="0"/>
      </w:pPr>
      <w:r>
        <w:t xml:space="preserve"/>
      </w:r>
    </w:p>
    <w:p>
      <w:pPr>
        <w:pBdr>
          <w:bottom w:val="single" w:color="BFDBFE" w:sz="4" w:space="1"/>
        </w:pBdr>
        <w:spacing w:before="200" w:after="200"/>
      </w:pPr>
    </w:p>
    <w:p>
      <w:pPr>
        <w:pStyle w:val="Heading1"/>
        <w:pBdr>
          <w:bottom w:val="single" w:color="2563EB" w:sz="8" w:space="4"/>
        </w:pBdr>
        <w:spacing w:before="360" w:after="160"/>
      </w:pPr>
      <w:r>
        <w:rPr>
          <w:rFonts w:ascii="Arial" w:cs="Arial" w:eastAsia="Arial" w:hAnsi="Arial"/>
          <w:b/>
          <w:bCs/>
          <w:color w:val="1B2A4A"/>
          <w:sz w:val="36"/>
          <w:szCs w:val="36"/>
        </w:rPr>
        <w:t xml:space="preserve">5. Key Recovery — Phase 1 Design</w:t>
      </w:r>
    </w:p>
    <w:p>
      <w:pPr>
        <w:spacing w:before="80" w:after="80"/>
        <w:jc w:val="both"/>
      </w:pPr>
      <w:r>
        <w:rPr>
          <w:rFonts w:ascii="Arial" w:cs="Arial" w:eastAsia="Arial" w:hAnsi="Arial"/>
          <w:b w:val="false"/>
          <w:bCs w:val="false"/>
          <w:color w:val="111827"/>
          <w:sz w:val="22"/>
          <w:szCs w:val="22"/>
        </w:rPr>
        <w:t xml:space="preserve">The most common objection to SSI systems is: what happens when the user loses their device? This is a real problem and not hand-waved away. The answer is Shamir's Secret Sharing (SSS), which is already implemented in the MedLedger crypto layer.</w:t>
      </w:r>
    </w:p>
    <w:p>
      <w:pPr>
        <w:spacing w:before="80" w:after="0"/>
      </w:pPr>
      <w:r>
        <w:t xml:space="preserve"/>
      </w:r>
    </w:p>
    <w:p>
      <w:pPr>
        <w:spacing w:before="80" w:after="80"/>
        <w:jc w:val="both"/>
      </w:pPr>
      <w:r>
        <w:rPr>
          <w:rFonts w:ascii="Arial" w:cs="Arial" w:eastAsia="Arial" w:hAnsi="Arial"/>
          <w:b w:val="false"/>
          <w:bCs w:val="false"/>
          <w:color w:val="111827"/>
          <w:sz w:val="22"/>
          <w:szCs w:val="22"/>
        </w:rPr>
        <w:t xml:space="preserve">At registration, the patient optionally splits their private key into N shares using a (k, N) threshold scheme — for example, 3-of-5. These shares are distributed to trusted custodians chosen by the patient: family members, a GP clinic, a hospital's recovery service. The custodians hold shares encrypted under their own public keys, so no custodian can read another's share or reconstruct the key alone.</w:t>
      </w:r>
    </w:p>
    <w:p>
      <w:pPr>
        <w:spacing w:before="80" w:after="0"/>
      </w:pPr>
      <w:r>
        <w:t xml:space="preserve"/>
      </w:r>
    </w:p>
    <w:p>
      <w:pPr>
        <w:spacing w:before="80" w:after="80"/>
        <w:jc w:val="both"/>
      </w:pPr>
      <w:r>
        <w:rPr>
          <w:rFonts w:ascii="Arial" w:cs="Arial" w:eastAsia="Arial" w:hAnsi="Arial"/>
          <w:b w:val="false"/>
          <w:bCs w:val="false"/>
          <w:color w:val="111827"/>
          <w:sz w:val="22"/>
          <w:szCs w:val="22"/>
        </w:rPr>
        <w:t xml:space="preserve">To recover, the patient contacts at least k custodians, collects k encrypted shares, decrypts each with the custodian's cooperation, and runs Lagrange interpolation in GF(256) to reconstruct the private key. The server is not involved in this process.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180"/>
              <w:bottom w:type="dxa" w:w="100"/>
              <w:right w:type="dxa" w:w="180"/>
            </w:tcMar>
          </w:tcPr>
          <w:p>
            <w:pPr>
              <w:spacing w:before="0" w:after="60"/>
            </w:pPr>
            <w:r>
              <w:rPr>
                <w:rFonts w:ascii="Arial" w:cs="Arial" w:eastAsia="Arial" w:hAnsi="Arial"/>
                <w:b/>
                <w:bCs/>
                <w:color w:val="2563EB"/>
                <w:sz w:val="20"/>
                <w:szCs w:val="20"/>
              </w:rPr>
              <w:t xml:space="preserve">ℹ Note</w:t>
            </w:r>
          </w:p>
          <w:p>
            <w:pPr>
              <w:jc w:val="both"/>
            </w:pPr>
            <w:r>
              <w:rPr>
                <w:rFonts w:ascii="Arial" w:cs="Arial" w:eastAsia="Arial" w:hAnsi="Arial"/>
                <w:color w:val="111827"/>
                <w:sz w:val="20"/>
                <w:szCs w:val="20"/>
              </w:rPr>
              <w:t xml:space="preserve">Key recovery is designated Phase 2 in the implementation roadmap. The SSS primitives are complete and tested (149-test suite). What remains is the UX flow for share distribution and the custodian protocol. This is deferred but not forgotten.</w:t>
            </w:r>
          </w:p>
        </w:tc>
      </w:tr>
    </w:tbl>
    <w:p>
      <w:pPr>
        <w:spacing w:before="160" w:after="0"/>
      </w:pPr>
      <w:r>
        <w:t xml:space="preserve"/>
      </w:r>
    </w:p>
    <w:p>
      <w:pPr>
        <w:pBdr>
          <w:bottom w:val="single" w:color="BFDBFE" w:sz="4" w:space="1"/>
        </w:pBdr>
        <w:spacing w:before="200" w:after="200"/>
      </w:pPr>
    </w:p>
    <w:p>
      <w:pPr>
        <w:pStyle w:val="Heading1"/>
        <w:pBdr>
          <w:bottom w:val="single" w:color="2563EB" w:sz="8" w:space="4"/>
        </w:pBdr>
        <w:spacing w:before="360" w:after="160"/>
      </w:pPr>
      <w:r>
        <w:rPr>
          <w:rFonts w:ascii="Arial" w:cs="Arial" w:eastAsia="Arial" w:hAnsi="Arial"/>
          <w:b/>
          <w:bCs/>
          <w:color w:val="1B2A4A"/>
          <w:sz w:val="36"/>
          <w:szCs w:val="36"/>
        </w:rPr>
        <w:t xml:space="preserve">6. Blockchain Selection — Deferred Research</w:t>
      </w:r>
    </w:p>
    <w:p>
      <w:pPr>
        <w:spacing w:before="80" w:after="80"/>
        <w:jc w:val="both"/>
      </w:pPr>
      <w:r>
        <w:rPr>
          <w:rFonts w:ascii="Arial" w:cs="Arial" w:eastAsia="Arial" w:hAnsi="Arial"/>
          <w:b w:val="false"/>
          <w:bCs w:val="false"/>
          <w:color w:val="111827"/>
          <w:sz w:val="22"/>
          <w:szCs w:val="22"/>
        </w:rPr>
        <w:t xml:space="preserve">The architecture above is blockchain-agnostic by design. The chain is used only as a trust anchor and append-only event log. It does not store sensitive data or execute complex logic. This makes the selection decision less critical than it would be in a DeFi or smart-contract-heavy system, but it still matters for the following dimensions: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200"/>
        <w:gridCol w:w="6160"/>
      </w:tblGrid>
      <w:tr>
        <w:trPr>
          <w:tblHeader/>
        </w:trPr>
        <w:tc>
          <w:tcPr>
            <w:tcW w:type="dxa" w:w="3200"/>
            <w:tcBorders>
              <w:top w:val="single" w:color="BFDBFE" w:sz="1"/>
              <w:left w:val="single" w:color="BFDBFE" w:sz="1"/>
              <w:bottom w:val="single" w:color="BFDBFE" w:sz="1"/>
              <w:right w:val="single" w:color="BFDBFE"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6160"/>
            <w:tcBorders>
              <w:top w:val="single" w:color="BFDBFE" w:sz="1"/>
              <w:left w:val="single" w:color="BFDBFE" w:sz="1"/>
              <w:bottom w:val="single" w:color="BFDBFE" w:sz="1"/>
              <w:right w:val="single" w:color="BFDBFE"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Considerations</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bCs/>
                <w:color w:val="1B2A4A"/>
                <w:sz w:val="20"/>
                <w:szCs w:val="20"/>
              </w:rPr>
              <w:t xml:space="preserve">Permissioned vs. Public</w:t>
            </w:r>
          </w:p>
        </w:tc>
        <w:tc>
          <w:tcPr>
            <w:tcW w:type="dxa" w:w="6160"/>
            <w:tcBorders>
              <w:top w:val="single" w:color="BFDBFE" w:sz="1"/>
              <w:left w:val="single" w:color="BFDBFE" w:sz="1"/>
              <w:bottom w:val="single" w:color="BFDBFE" w:sz="1"/>
              <w:right w:val="single" w:color="BFDBFE" w:sz="1"/>
            </w:tcBorders>
            <w:tcMar>
              <w:top w:type="dxa" w:w="80"/>
              <w:left w:type="dxa" w:w="140"/>
              <w:bottom w:type="dxa" w:w="80"/>
              <w:right w:type="dxa" w:w="140"/>
            </w:tcMar>
          </w:tcPr>
          <w:p>
            <w:pPr>
              <w:jc w:val="both"/>
            </w:pPr>
            <w:r>
              <w:rPr>
                <w:rFonts w:ascii="Arial" w:cs="Arial" w:eastAsia="Arial" w:hAnsi="Arial"/>
                <w:color w:val="111827"/>
                <w:sz w:val="20"/>
                <w:szCs w:val="20"/>
              </w:rPr>
              <w:t xml:space="preserve">A permissioned chain (Hyperledger Fabric, Besu) gives institutional control and regulatory compliance. A public chain (Ethereum, Polygon) gives censorship resistance and verifiability without a trusted consortium. This tradeoff is the primary decision to make.</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bCs/>
                <w:color w:val="1B2A4A"/>
                <w:sz w:val="20"/>
                <w:szCs w:val="20"/>
              </w:rPr>
              <w:t xml:space="preserve">Transaction Cost</w:t>
            </w:r>
          </w:p>
        </w:tc>
        <w:tc>
          <w:tcPr>
            <w:tcW w:type="dxa" w:w="6160"/>
            <w:tcBorders>
              <w:top w:val="single" w:color="BFDBFE" w:sz="1"/>
              <w:left w:val="single" w:color="BFDBFE" w:sz="1"/>
              <w:bottom w:val="single" w:color="BFDBFE" w:sz="1"/>
              <w:right w:val="single" w:color="BFDBFE" w:sz="1"/>
            </w:tcBorders>
            <w:tcMar>
              <w:top w:type="dxa" w:w="80"/>
              <w:left w:type="dxa" w:w="140"/>
              <w:bottom w:type="dxa" w:w="80"/>
              <w:right w:type="dxa" w:w="140"/>
            </w:tcMar>
          </w:tcPr>
          <w:p>
            <w:pPr>
              <w:jc w:val="both"/>
            </w:pPr>
            <w:r>
              <w:rPr>
                <w:rFonts w:ascii="Arial" w:cs="Arial" w:eastAsia="Arial" w:hAnsi="Arial"/>
                <w:color w:val="111827"/>
                <w:sz w:val="20"/>
                <w:szCs w:val="20"/>
              </w:rPr>
              <w:t xml:space="preserve">Public chains charge gas per transaction. At scale, every registration and permission grant incurs a cost. Layer-2 solutions (Polygon, Arbitrum, Optimism) reduce this by orders of magnitude.</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bCs/>
                <w:color w:val="1B2A4A"/>
                <w:sz w:val="20"/>
                <w:szCs w:val="20"/>
              </w:rPr>
              <w:t xml:space="preserve">Finality</w:t>
            </w:r>
          </w:p>
        </w:tc>
        <w:tc>
          <w:tcPr>
            <w:tcW w:type="dxa" w:w="6160"/>
            <w:tcBorders>
              <w:top w:val="single" w:color="BFDBFE" w:sz="1"/>
              <w:left w:val="single" w:color="BFDBFE" w:sz="1"/>
              <w:bottom w:val="single" w:color="BFDBFE" w:sz="1"/>
              <w:right w:val="single" w:color="BFDBFE" w:sz="1"/>
            </w:tcBorders>
            <w:tcMar>
              <w:top w:type="dxa" w:w="80"/>
              <w:left w:type="dxa" w:w="140"/>
              <w:bottom w:type="dxa" w:w="80"/>
              <w:right w:type="dxa" w:w="140"/>
            </w:tcMar>
          </w:tcPr>
          <w:p>
            <w:pPr>
              <w:jc w:val="both"/>
            </w:pPr>
            <w:r>
              <w:rPr>
                <w:rFonts w:ascii="Arial" w:cs="Arial" w:eastAsia="Arial" w:hAnsi="Arial"/>
                <w:color w:val="111827"/>
                <w:sz w:val="20"/>
                <w:szCs w:val="20"/>
              </w:rPr>
              <w:t xml:space="preserve">Some chains (Ethereum mainnet) have probabilistic finality. For identity anchoring, we want deterministic finality — the record, once written, is irreversible. Chains like Algorand, Hyperledger Fabric, and Cosmos SDK chains offer this.</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bCs/>
                <w:color w:val="1B2A4A"/>
                <w:sz w:val="20"/>
                <w:szCs w:val="20"/>
              </w:rPr>
              <w:t xml:space="preserve">Smart Contract Requirements</w:t>
            </w:r>
          </w:p>
        </w:tc>
        <w:tc>
          <w:tcPr>
            <w:tcW w:type="dxa" w:w="6160"/>
            <w:tcBorders>
              <w:top w:val="single" w:color="BFDBFE" w:sz="1"/>
              <w:left w:val="single" w:color="BFDBFE" w:sz="1"/>
              <w:bottom w:val="single" w:color="BFDBFE" w:sz="1"/>
              <w:right w:val="single" w:color="BFDBFE" w:sz="1"/>
            </w:tcBorders>
            <w:tcMar>
              <w:top w:type="dxa" w:w="80"/>
              <w:left w:type="dxa" w:w="140"/>
              <w:bottom w:type="dxa" w:w="80"/>
              <w:right w:type="dxa" w:w="140"/>
            </w:tcMar>
          </w:tcPr>
          <w:p>
            <w:pPr>
              <w:jc w:val="both"/>
            </w:pPr>
            <w:r>
              <w:rPr>
                <w:rFonts w:ascii="Arial" w:cs="Arial" w:eastAsia="Arial" w:hAnsi="Arial"/>
                <w:color w:val="111827"/>
                <w:sz w:val="20"/>
                <w:szCs w:val="20"/>
              </w:rPr>
              <w:t xml:space="preserve">If on-chain logic is needed (e.g., on-chain revocation checks, permission expiry enforcement), a Turing-complete VM (EVM, WASM) is required. If the chain is only an append log, a simpler chain (even a Bitcoin OP_RETURN pattern) suffices.</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bCs/>
                <w:color w:val="1B2A4A"/>
                <w:sz w:val="20"/>
                <w:szCs w:val="20"/>
              </w:rPr>
              <w:t xml:space="preserve">Privacy</w:t>
            </w:r>
          </w:p>
        </w:tc>
        <w:tc>
          <w:tcPr>
            <w:tcW w:type="dxa" w:w="6160"/>
            <w:tcBorders>
              <w:top w:val="single" w:color="BFDBFE" w:sz="1"/>
              <w:left w:val="single" w:color="BFDBFE" w:sz="1"/>
              <w:bottom w:val="single" w:color="BFDBFE" w:sz="1"/>
              <w:right w:val="single" w:color="BFDBFE" w:sz="1"/>
            </w:tcBorders>
            <w:tcMar>
              <w:top w:type="dxa" w:w="80"/>
              <w:left w:type="dxa" w:w="140"/>
              <w:bottom w:type="dxa" w:w="80"/>
              <w:right w:type="dxa" w:w="140"/>
            </w:tcMar>
          </w:tcPr>
          <w:p>
            <w:pPr>
              <w:jc w:val="both"/>
            </w:pPr>
            <w:r>
              <w:rPr>
                <w:rFonts w:ascii="Arial" w:cs="Arial" w:eastAsia="Arial" w:hAnsi="Arial"/>
                <w:color w:val="111827"/>
                <w:sz w:val="20"/>
                <w:szCs w:val="20"/>
              </w:rPr>
              <w:t xml:space="preserve">Public chains are pseudonymous but not anonymous. Public key hashes on a public chain can potentially be correlated with off-chain identities. A permissioned chain or a zero-knowledge proof layer (e.g., zk-SNARKs on identity proofs) addresses this.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00"/>
              <w:left w:type="dxa" w:w="180"/>
              <w:bottom w:type="dxa" w:w="100"/>
              <w:right w:type="dxa" w:w="180"/>
            </w:tcMar>
          </w:tcPr>
          <w:p>
            <w:pPr>
              <w:spacing w:before="0" w:after="60"/>
            </w:pPr>
            <w:r>
              <w:rPr>
                <w:rFonts w:ascii="Arial" w:cs="Arial" w:eastAsia="Arial" w:hAnsi="Arial"/>
                <w:b/>
                <w:bCs/>
                <w:color w:val="2563EB"/>
                <w:sz w:val="20"/>
                <w:szCs w:val="20"/>
              </w:rPr>
              <w:t xml:space="preserve">ℹ Note</w:t>
            </w:r>
          </w:p>
          <w:p>
            <w:pPr>
              <w:jc w:val="both"/>
            </w:pPr>
            <w:r>
              <w:rPr>
                <w:rFonts w:ascii="Arial" w:cs="Arial" w:eastAsia="Arial" w:hAnsi="Arial"/>
                <w:color w:val="111827"/>
                <w:sz w:val="20"/>
                <w:szCs w:val="20"/>
              </w:rPr>
              <w:t xml:space="preserve">Blockchain selection is the subject of a separate research document. The architecture here is intentionally written so that the sync layer is a swappable component. The data structures written on-chain (public key hash, permission hash, revocation event) are format-stable regardless of which chain receives them.</w:t>
            </w:r>
          </w:p>
        </w:tc>
      </w:tr>
    </w:tbl>
    <w:p>
      <w:pPr>
        <w:spacing w:before="160" w:after="0"/>
      </w:pPr>
      <w:r>
        <w:t xml:space="preserve"/>
      </w:r>
    </w:p>
    <w:p>
      <w:pPr>
        <w:pBdr>
          <w:bottom w:val="single" w:color="BFDBFE" w:sz="4" w:space="1"/>
        </w:pBdr>
        <w:spacing w:before="200" w:after="200"/>
      </w:pPr>
    </w:p>
    <w:p>
      <w:pPr>
        <w:pStyle w:val="Heading1"/>
        <w:pBdr>
          <w:bottom w:val="single" w:color="2563EB" w:sz="8" w:space="4"/>
        </w:pBdr>
        <w:spacing w:before="360" w:after="160"/>
      </w:pPr>
      <w:r>
        <w:rPr>
          <w:rFonts w:ascii="Arial" w:cs="Arial" w:eastAsia="Arial" w:hAnsi="Arial"/>
          <w:b/>
          <w:bCs/>
          <w:color w:val="1B2A4A"/>
          <w:sz w:val="36"/>
          <w:szCs w:val="36"/>
        </w:rPr>
        <w:t xml:space="preserve">7. Open Questions and Identified Risks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200"/>
        <w:gridCol w:w="6160"/>
      </w:tblGrid>
      <w:tr>
        <w:trPr>
          <w:tblHeader/>
        </w:trPr>
        <w:tc>
          <w:tcPr>
            <w:tcW w:type="dxa" w:w="3200"/>
            <w:tcBorders>
              <w:top w:val="single" w:color="BFDBFE" w:sz="1"/>
              <w:left w:val="single" w:color="BFDBFE" w:sz="1"/>
              <w:bottom w:val="single" w:color="BFDBFE" w:sz="1"/>
              <w:right w:val="single" w:color="BFDBFE"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Open Question</w:t>
            </w:r>
          </w:p>
        </w:tc>
        <w:tc>
          <w:tcPr>
            <w:tcW w:type="dxa" w:w="6160"/>
            <w:tcBorders>
              <w:top w:val="single" w:color="BFDBFE" w:sz="1"/>
              <w:left w:val="single" w:color="BFDBFE" w:sz="1"/>
              <w:bottom w:val="single" w:color="BFDBFE" w:sz="1"/>
              <w:right w:val="single" w:color="BFDBFE"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bCs/>
                <w:color w:val="1B2A4A"/>
                <w:sz w:val="20"/>
                <w:szCs w:val="20"/>
              </w:rPr>
              <w:t xml:space="preserve">Key rotation</w:t>
            </w:r>
          </w:p>
        </w:tc>
        <w:tc>
          <w:tcPr>
            <w:tcW w:type="dxa" w:w="6160"/>
            <w:tcBorders>
              <w:top w:val="single" w:color="BFDBFE" w:sz="1"/>
              <w:left w:val="single" w:color="BFDBFE" w:sz="1"/>
              <w:bottom w:val="single" w:color="BFDBFE" w:sz="1"/>
              <w:right w:val="single" w:color="BFDBFE" w:sz="1"/>
            </w:tcBorders>
            <w:tcMar>
              <w:top w:type="dxa" w:w="80"/>
              <w:left w:type="dxa" w:w="140"/>
              <w:bottom w:type="dxa" w:w="80"/>
              <w:right w:type="dxa" w:w="140"/>
            </w:tcMar>
          </w:tcPr>
          <w:p>
            <w:pPr>
              <w:jc w:val="both"/>
            </w:pPr>
            <w:r>
              <w:rPr>
                <w:rFonts w:ascii="Arial" w:cs="Arial" w:eastAsia="Arial" w:hAnsi="Arial"/>
                <w:color w:val="111827"/>
                <w:sz w:val="20"/>
                <w:szCs w:val="20"/>
              </w:rPr>
              <w:t xml:space="preserve">If a patient's private key is compromised, how are existing permissions and records migrated to a new keypair? This requires an on-chain key rotation event and a re-encryption pass over all stored DEKs. Protocol design is needed.</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bCs/>
                <w:color w:val="1B2A4A"/>
                <w:sz w:val="20"/>
                <w:szCs w:val="20"/>
              </w:rPr>
              <w:t xml:space="preserve">Sync consistency</w:t>
            </w:r>
          </w:p>
        </w:tc>
        <w:tc>
          <w:tcPr>
            <w:tcW w:type="dxa" w:w="6160"/>
            <w:tcBorders>
              <w:top w:val="single" w:color="BFDBFE" w:sz="1"/>
              <w:left w:val="single" w:color="BFDBFE" w:sz="1"/>
              <w:bottom w:val="single" w:color="BFDBFE" w:sz="1"/>
              <w:right w:val="single" w:color="BFDBFE" w:sz="1"/>
            </w:tcBorders>
            <w:tcMar>
              <w:top w:type="dxa" w:w="80"/>
              <w:left w:type="dxa" w:w="140"/>
              <w:bottom w:type="dxa" w:w="80"/>
              <w:right w:type="dxa" w:w="140"/>
            </w:tcMar>
          </w:tcPr>
          <w:p>
            <w:pPr>
              <w:jc w:val="both"/>
            </w:pPr>
            <w:r>
              <w:rPr>
                <w:rFonts w:ascii="Arial" w:cs="Arial" w:eastAsia="Arial" w:hAnsi="Arial"/>
                <w:color w:val="111827"/>
                <w:sz w:val="20"/>
                <w:szCs w:val="20"/>
              </w:rPr>
              <w:t xml:space="preserve">What happens if the server is offline when a permission grant or revocation is made? The local DB and the chain can temporarily diverge. A reconciliation protocol is needed with clear conflict resolution rules.</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bCs/>
                <w:color w:val="1B2A4A"/>
                <w:sz w:val="20"/>
                <w:szCs w:val="20"/>
              </w:rPr>
              <w:t xml:space="preserve">Doctor onboarding</w:t>
            </w:r>
          </w:p>
        </w:tc>
        <w:tc>
          <w:tcPr>
            <w:tcW w:type="dxa" w:w="6160"/>
            <w:tcBorders>
              <w:top w:val="single" w:color="BFDBFE" w:sz="1"/>
              <w:left w:val="single" w:color="BFDBFE" w:sz="1"/>
              <w:bottom w:val="single" w:color="BFDBFE" w:sz="1"/>
              <w:right w:val="single" w:color="BFDBFE" w:sz="1"/>
            </w:tcBorders>
            <w:tcMar>
              <w:top w:type="dxa" w:w="80"/>
              <w:left w:type="dxa" w:w="140"/>
              <w:bottom w:type="dxa" w:w="80"/>
              <w:right w:type="dxa" w:w="140"/>
            </w:tcMar>
          </w:tcPr>
          <w:p>
            <w:pPr>
              <w:jc w:val="both"/>
            </w:pPr>
            <w:r>
              <w:rPr>
                <w:rFonts w:ascii="Arial" w:cs="Arial" w:eastAsia="Arial" w:hAnsi="Arial"/>
                <w:color w:val="111827"/>
                <w:sz w:val="20"/>
                <w:szCs w:val="20"/>
              </w:rPr>
              <w:t xml:space="preserve">Doctors also need keypairs. Their public keys must be on-chain for patients to verify grantee identity before signing a permission. The doctor registration flow is symmetric to patient registration but with different role semantics.</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bCs/>
                <w:color w:val="1B2A4A"/>
                <w:sz w:val="20"/>
                <w:szCs w:val="20"/>
              </w:rPr>
              <w:t xml:space="preserve">Regulatory compliance</w:t>
            </w:r>
          </w:p>
        </w:tc>
        <w:tc>
          <w:tcPr>
            <w:tcW w:type="dxa" w:w="6160"/>
            <w:tcBorders>
              <w:top w:val="single" w:color="BFDBFE" w:sz="1"/>
              <w:left w:val="single" w:color="BFDBFE" w:sz="1"/>
              <w:bottom w:val="single" w:color="BFDBFE" w:sz="1"/>
              <w:right w:val="single" w:color="BFDBFE" w:sz="1"/>
            </w:tcBorders>
            <w:tcMar>
              <w:top w:type="dxa" w:w="80"/>
              <w:left w:type="dxa" w:w="140"/>
              <w:bottom w:type="dxa" w:w="80"/>
              <w:right w:type="dxa" w:w="140"/>
            </w:tcMar>
          </w:tcPr>
          <w:p>
            <w:pPr>
              <w:jc w:val="both"/>
            </w:pPr>
            <w:r>
              <w:rPr>
                <w:rFonts w:ascii="Arial" w:cs="Arial" w:eastAsia="Arial" w:hAnsi="Arial"/>
                <w:color w:val="111827"/>
                <w:sz w:val="20"/>
                <w:szCs w:val="20"/>
              </w:rPr>
              <w:t xml:space="preserve">HIPAA, GDPR, and India's DPDP Act have specific rules about right-to-erasure and data residency. Blockchain records are immutable. Public key hashes on-chain may constitute personal data under GDPR. Legal analysis is required before production deployment.</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bCs/>
                <w:color w:val="1B2A4A"/>
                <w:sz w:val="20"/>
                <w:szCs w:val="20"/>
              </w:rPr>
              <w:t xml:space="preserve">Chain liveness</w:t>
            </w:r>
          </w:p>
        </w:tc>
        <w:tc>
          <w:tcPr>
            <w:tcW w:type="dxa" w:w="6160"/>
            <w:tcBorders>
              <w:top w:val="single" w:color="BFDBFE" w:sz="1"/>
              <w:left w:val="single" w:color="BFDBFE" w:sz="1"/>
              <w:bottom w:val="single" w:color="BFDBFE" w:sz="1"/>
              <w:right w:val="single" w:color="BFDBFE" w:sz="1"/>
            </w:tcBorders>
            <w:tcMar>
              <w:top w:type="dxa" w:w="80"/>
              <w:left w:type="dxa" w:w="140"/>
              <w:bottom w:type="dxa" w:w="80"/>
              <w:right w:type="dxa" w:w="140"/>
            </w:tcMar>
          </w:tcPr>
          <w:p>
            <w:pPr>
              <w:jc w:val="both"/>
            </w:pPr>
            <w:r>
              <w:rPr>
                <w:rFonts w:ascii="Arial" w:cs="Arial" w:eastAsia="Arial" w:hAnsi="Arial"/>
                <w:color w:val="111827"/>
                <w:sz w:val="20"/>
                <w:szCs w:val="20"/>
              </w:rPr>
              <w:t xml:space="preserve">If the blockchain network goes down or is deprecated, the trust anchoring mechanism fails. The system must degrade gracefully to server-only mode without compromising existing permissions.</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bCs/>
                <w:color w:val="1B2A4A"/>
                <w:sz w:val="20"/>
                <w:szCs w:val="20"/>
              </w:rPr>
              <w:t xml:space="preserve">Gas / operational cost</w:t>
            </w:r>
          </w:p>
        </w:tc>
        <w:tc>
          <w:tcPr>
            <w:tcW w:type="dxa" w:w="6160"/>
            <w:tcBorders>
              <w:top w:val="single" w:color="BFDBFE" w:sz="1"/>
              <w:left w:val="single" w:color="BFDBFE" w:sz="1"/>
              <w:bottom w:val="single" w:color="BFDBFE" w:sz="1"/>
              <w:right w:val="single" w:color="BFDBFE" w:sz="1"/>
            </w:tcBorders>
            <w:tcMar>
              <w:top w:type="dxa" w:w="80"/>
              <w:left w:type="dxa" w:w="140"/>
              <w:bottom w:type="dxa" w:w="80"/>
              <w:right w:type="dxa" w:w="140"/>
            </w:tcMar>
          </w:tcPr>
          <w:p>
            <w:pPr>
              <w:jc w:val="both"/>
            </w:pPr>
            <w:r>
              <w:rPr>
                <w:rFonts w:ascii="Arial" w:cs="Arial" w:eastAsia="Arial" w:hAnsi="Arial"/>
                <w:color w:val="111827"/>
                <w:sz w:val="20"/>
                <w:szCs w:val="20"/>
              </w:rPr>
              <w:t xml:space="preserve">On a public chain, every registration and permission grant costs money. A sustainable fee model — whether subsidised by institutions, paid by patients, or batch-settled — must be designed.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BFDBFE" w:sz="1"/>
              <w:left w:val="single" w:color="BFDBFE" w:sz="1"/>
              <w:bottom w:val="single" w:color="BFDBFE" w:sz="1"/>
              <w:right w:val="single" w:color="BFDBFE" w:sz="1"/>
            </w:tcBorders>
            <w:shd w:fill="FEF3C7" w:val="clear"/>
            <w:tcMar>
              <w:top w:type="dxa" w:w="100"/>
              <w:left w:type="dxa" w:w="180"/>
              <w:bottom w:type="dxa" w:w="100"/>
              <w:right w:type="dxa" w:w="180"/>
            </w:tcMar>
          </w:tcPr>
          <w:p>
            <w:pPr>
              <w:spacing w:before="0" w:after="60"/>
            </w:pPr>
            <w:r>
              <w:rPr>
                <w:rFonts w:ascii="Arial" w:cs="Arial" w:eastAsia="Arial" w:hAnsi="Arial"/>
                <w:b/>
                <w:bCs/>
                <w:color w:val="92400E"/>
                <w:sz w:val="20"/>
                <w:szCs w:val="20"/>
              </w:rPr>
              <w:t xml:space="preserve">⚠ Consideration</w:t>
            </w:r>
          </w:p>
          <w:p>
            <w:pPr>
              <w:jc w:val="both"/>
            </w:pPr>
            <w:r>
              <w:rPr>
                <w:rFonts w:ascii="Arial" w:cs="Arial" w:eastAsia="Arial" w:hAnsi="Arial"/>
                <w:color w:val="111827"/>
                <w:sz w:val="20"/>
                <w:szCs w:val="20"/>
              </w:rPr>
              <w:t xml:space="preserve">None of these risks are blockers for Phase 1 implementation. They are identified here so they can be addressed in the correct order: regulatory and key rotation concerns before production; sync consistency before multi-node deployment; cost modelling before public chain selection.</w:t>
            </w:r>
          </w:p>
        </w:tc>
      </w:tr>
    </w:tbl>
    <w:p>
      <w:pPr>
        <w:spacing w:before="160" w:after="0"/>
      </w:pPr>
      <w:r>
        <w:t xml:space="preserve"/>
      </w:r>
    </w:p>
    <w:p>
      <w:pPr>
        <w:pBdr>
          <w:bottom w:val="single" w:color="BFDBFE" w:sz="4" w:space="1"/>
        </w:pBdr>
        <w:spacing w:before="200" w:after="200"/>
      </w:pPr>
    </w:p>
    <w:p>
      <w:pPr>
        <w:pStyle w:val="Heading1"/>
        <w:pBdr>
          <w:bottom w:val="single" w:color="2563EB" w:sz="8" w:space="4"/>
        </w:pBdr>
        <w:spacing w:before="360" w:after="160"/>
      </w:pPr>
      <w:r>
        <w:rPr>
          <w:rFonts w:ascii="Arial" w:cs="Arial" w:eastAsia="Arial" w:hAnsi="Arial"/>
          <w:b/>
          <w:bCs/>
          <w:color w:val="1B2A4A"/>
          <w:sz w:val="36"/>
          <w:szCs w:val="36"/>
        </w:rPr>
        <w:t xml:space="preserve">8. Implementation Roadmap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000"/>
        <w:gridCol w:w="3180"/>
        <w:gridCol w:w="3180"/>
      </w:tblGrid>
      <w:tr>
        <w:trPr>
          <w:tblHeader/>
        </w:trPr>
        <w:tc>
          <w:tcPr>
            <w:tcW w:type="dxa" w:w="3000"/>
            <w:tcBorders>
              <w:top w:val="single" w:color="BFDBFE" w:sz="1"/>
              <w:left w:val="single" w:color="BFDBFE" w:sz="1"/>
              <w:bottom w:val="single" w:color="BFDBFE" w:sz="1"/>
              <w:right w:val="single" w:color="BFDBFE"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Phase</w:t>
            </w:r>
          </w:p>
        </w:tc>
        <w:tc>
          <w:tcPr>
            <w:tcW w:type="dxa" w:w="3180"/>
            <w:tcBorders>
              <w:top w:val="single" w:color="BFDBFE" w:sz="1"/>
              <w:left w:val="single" w:color="BFDBFE" w:sz="1"/>
              <w:bottom w:val="single" w:color="BFDBFE" w:sz="1"/>
              <w:right w:val="single" w:color="BFDBFE"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Scope</w:t>
            </w:r>
          </w:p>
        </w:tc>
        <w:tc>
          <w:tcPr>
            <w:tcW w:type="dxa" w:w="3180"/>
            <w:tcBorders>
              <w:top w:val="single" w:color="BFDBFE" w:sz="1"/>
              <w:left w:val="single" w:color="BFDBFE" w:sz="1"/>
              <w:bottom w:val="single" w:color="BFDBFE" w:sz="1"/>
              <w:right w:val="single" w:color="BFDBFE"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Chain Dependency</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2A4A"/>
                <w:sz w:val="19"/>
                <w:szCs w:val="19"/>
              </w:rPr>
              <w:t xml:space="preserve">Phase 1 (Current)</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Registration flow, client-side keygen, server stores public key, JWT auth, ECIES record encryption, ECDSA permission signing</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No blockchain — simulated sync stub</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2A4A"/>
                <w:sz w:val="19"/>
                <w:szCs w:val="19"/>
              </w:rPr>
              <w:t xml:space="preserve">Phase 1.5</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Challenge-response authentication (nonce signing), replace password-only login with dual-factor</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Server-side only</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2A4A"/>
                <w:sz w:val="19"/>
                <w:szCs w:val="19"/>
              </w:rPr>
              <w:t xml:space="preserve">Phase 2</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SSS key recovery UX, share distribution protocol, custodian interface</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Off-chain, no chain dependency</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2A4A"/>
                <w:sz w:val="19"/>
                <w:szCs w:val="19"/>
              </w:rPr>
              <w:t xml:space="preserve">Phase 3</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Blockchain selection and integration, public key registration on-chain, permission hash anchoring, revocation events on-chain</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Chain goes live</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2A4A"/>
                <w:sz w:val="19"/>
                <w:szCs w:val="19"/>
              </w:rPr>
              <w:t xml:space="preserve">Phase 4</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Key rotation protocol, multi-node sync, reconciliation protocol, regulatory audit</w:t>
            </w:r>
          </w:p>
        </w:tc>
        <w:tc>
          <w:tcPr>
            <w:tcW w:type="dxa" w:w="318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sz w:val="19"/>
                <w:szCs w:val="19"/>
              </w:rPr>
              <w:t xml:space="preserve">Production hardening</w:t>
            </w:r>
          </w:p>
        </w:tc>
      </w:tr>
    </w:tbl>
    <w:p>
      <w:pPr>
        <w:spacing w:before="160" w:after="0"/>
      </w:pPr>
      <w:r>
        <w:t xml:space="preserve"/>
      </w:r>
    </w:p>
    <w:p>
      <w:pPr>
        <w:pBdr>
          <w:bottom w:val="single" w:color="BFDBFE" w:sz="4" w:space="1"/>
        </w:pBdr>
        <w:spacing w:before="200" w:after="200"/>
      </w:pPr>
    </w:p>
    <w:p>
      <w:pPr>
        <w:pStyle w:val="Heading1"/>
        <w:pBdr>
          <w:bottom w:val="single" w:color="2563EB" w:sz="8" w:space="4"/>
        </w:pBdr>
        <w:spacing w:before="360" w:after="160"/>
      </w:pPr>
      <w:r>
        <w:rPr>
          <w:rFonts w:ascii="Arial" w:cs="Arial" w:eastAsia="Arial" w:hAnsi="Arial"/>
          <w:b/>
          <w:bCs/>
          <w:color w:val="1B2A4A"/>
          <w:sz w:val="36"/>
          <w:szCs w:val="36"/>
        </w:rPr>
        <w:t xml:space="preserve">9. Conclusion</w:t>
      </w:r>
    </w:p>
    <w:p>
      <w:pPr>
        <w:spacing w:before="80" w:after="80"/>
        <w:jc w:val="both"/>
      </w:pPr>
      <w:r>
        <w:rPr>
          <w:rFonts w:ascii="Arial" w:cs="Arial" w:eastAsia="Arial" w:hAnsi="Arial"/>
          <w:b w:val="false"/>
          <w:bCs w:val="false"/>
          <w:color w:val="111827"/>
          <w:sz w:val="22"/>
          <w:szCs w:val="22"/>
        </w:rPr>
        <w:t xml:space="preserve">The proposed architecture is technically sound, well-precedented in production systems (Sovrin, Estonia, uPort), and compositionally correct with the existing MedLedger crypto layer. It does not require inventing new cryptographic primitives — every component (ECDSA P-256, ECIES, SSS, AES-GCM) is a standard, audited construction.</w:t>
      </w:r>
    </w:p>
    <w:p>
      <w:pPr>
        <w:spacing w:before="80" w:after="80"/>
        <w:jc w:val="both"/>
      </w:pPr>
      <w:r>
        <w:rPr>
          <w:rFonts w:ascii="Arial" w:cs="Arial" w:eastAsia="Arial" w:hAnsi="Arial"/>
          <w:b w:val="false"/>
          <w:bCs w:val="false"/>
          <w:color w:val="111827"/>
          <w:sz w:val="22"/>
          <w:szCs w:val="22"/>
        </w:rPr>
        <w:t xml:space="preserve">The design satisfies the three core goals stated in the problem statement: eliminating custody risk (private keys never leave the client), eliminating control risk (permissions are cryptographic proofs, not database rows), and reducing availability risk (blockchain anchoring decouples integrity from any single server's availability).</w:t>
      </w:r>
    </w:p>
    <w:p>
      <w:pPr>
        <w:spacing w:before="80" w:after="80"/>
        <w:jc w:val="both"/>
      </w:pPr>
      <w:r>
        <w:rPr>
          <w:rFonts w:ascii="Arial" w:cs="Arial" w:eastAsia="Arial" w:hAnsi="Arial"/>
          <w:b w:val="false"/>
          <w:bCs w:val="false"/>
          <w:color w:val="111827"/>
          <w:sz w:val="22"/>
          <w:szCs w:val="22"/>
        </w:rPr>
        <w:t xml:space="preserve">The identified open questions — key rotation, sync consistency, regulatory compliance — are real and non-trivial. They are also sequenced: none of them need to be solved before Phase 1 can be built and validated. The architecture is designed to accommodate them when they are addressed, without requiring a structural rewrite.</w:t>
      </w:r>
    </w:p>
    <w:p>
      <w:pPr>
        <w:spacing w:before="80" w:after="0"/>
      </w:pPr>
      <w:r>
        <w:t xml:space="preserve"/>
      </w:r>
    </w:p>
    <w:p>
      <w:pPr>
        <w:spacing w:before="80" w:after="80"/>
        <w:jc w:val="both"/>
      </w:pPr>
      <w:r>
        <w:rPr>
          <w:rFonts w:ascii="Arial" w:cs="Arial" w:eastAsia="Arial" w:hAnsi="Arial"/>
          <w:b w:val="false"/>
          <w:bCs w:val="false"/>
          <w:color w:val="111827"/>
          <w:sz w:val="22"/>
          <w:szCs w:val="22"/>
        </w:rPr>
        <w:t xml:space="preserve">This document should be read as a commitment to a direction, not a commitment to every detail. The blockchain selection, the specific on-chain data format, and the node topology are intentionally left open for the research phase that follows. What is fixed — and what this document justifies — is the identity model, the key custody invariants, and the separation between what goes on-chain and what stays off 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BFDBFE" w:sz="1"/>
              <w:left w:val="single" w:color="BFDBFE" w:sz="1"/>
              <w:bottom w:val="single" w:color="BFDBFE" w:sz="1"/>
              <w:right w:val="single" w:color="BFDBFE" w:sz="1"/>
            </w:tcBorders>
            <w:shd w:fill="D1FAE5" w:val="clear"/>
            <w:tcMar>
              <w:top w:type="dxa" w:w="100"/>
              <w:left w:type="dxa" w:w="180"/>
              <w:bottom w:type="dxa" w:w="100"/>
              <w:right w:type="dxa" w:w="180"/>
            </w:tcMar>
          </w:tcPr>
          <w:p>
            <w:pPr>
              <w:spacing w:before="0" w:after="60"/>
            </w:pPr>
            <w:r>
              <w:rPr>
                <w:rFonts w:ascii="Arial" w:cs="Arial" w:eastAsia="Arial" w:hAnsi="Arial"/>
                <w:b/>
                <w:bCs/>
                <w:color w:val="065F46"/>
                <w:sz w:val="20"/>
                <w:szCs w:val="20"/>
              </w:rPr>
              <w:t xml:space="preserve">✓ Strength</w:t>
            </w:r>
          </w:p>
          <w:p>
            <w:pPr>
              <w:jc w:val="both"/>
            </w:pPr>
            <w:r>
              <w:rPr>
                <w:rFonts w:ascii="Arial" w:cs="Arial" w:eastAsia="Arial" w:hAnsi="Arial"/>
                <w:color w:val="111827"/>
                <w:sz w:val="20"/>
                <w:szCs w:val="20"/>
              </w:rPr>
              <w:t xml:space="preserve">This architecture is ready to implement from Phase 1 through Phase 2 without a blockchain. The sync stub can be a local append-only log that is later replaced by a real chain integration. Build the identity layer correctly now; anchor it on-chain when the chain is chosen.</w:t>
            </w:r>
          </w:p>
        </w:tc>
      </w:tr>
    </w:tbl>
    <w:p>
      <w:pPr>
        <w:spacing w:before="160" w:after="0"/>
      </w:pPr>
      <w:r>
        <w:t xml:space="preserve"/>
      </w:r>
    </w:p>
    <w:p>
      <w:pPr>
        <w:pBdr>
          <w:bottom w:val="single" w:color="BFDBFE" w:sz="4" w:space="1"/>
        </w:pBdr>
        <w:spacing w:before="200" w:after="200"/>
      </w:pPr>
    </w:p>
    <w:p>
      <w:pPr>
        <w:pStyle w:val="Heading1"/>
        <w:pBdr>
          <w:bottom w:val="single" w:color="2563EB" w:sz="8" w:space="4"/>
        </w:pBdr>
        <w:spacing w:before="360" w:after="160"/>
      </w:pPr>
      <w:r>
        <w:rPr>
          <w:rFonts w:ascii="Arial" w:cs="Arial" w:eastAsia="Arial" w:hAnsi="Arial"/>
          <w:b/>
          <w:bCs/>
          <w:color w:val="1B2A4A"/>
          <w:sz w:val="36"/>
          <w:szCs w:val="36"/>
        </w:rPr>
        <w:t xml:space="preserve">References</w:t>
      </w:r>
    </w:p>
    <w:p>
      <w:pPr>
        <w:spacing w:before="80" w:after="0"/>
      </w:pPr>
      <w:r>
        <w:t xml:space="preserve"/>
      </w:r>
    </w:p>
    <w:p>
      <w:pPr>
        <w:spacing w:before="80" w:after="80"/>
        <w:jc w:val="both"/>
      </w:pPr>
      <w:r>
        <w:rPr>
          <w:rFonts w:ascii="Arial" w:cs="Arial" w:eastAsia="Arial" w:hAnsi="Arial"/>
          <w:b w:val="false"/>
          <w:bCs w:val="false"/>
          <w:color w:val="111827"/>
          <w:sz w:val="22"/>
          <w:szCs w:val="22"/>
        </w:rPr>
        <w:t xml:space="preserve">[1] W3C Decentralized Identifiers (DIDs) v1.0. https://www.w3.org/TR/did-core/ (July 2022)</w:t>
      </w:r>
    </w:p>
    <w:p>
      <w:pPr>
        <w:spacing w:before="80" w:after="80"/>
        <w:jc w:val="both"/>
      </w:pPr>
      <w:r>
        <w:rPr>
          <w:rFonts w:ascii="Arial" w:cs="Arial" w:eastAsia="Arial" w:hAnsi="Arial"/>
          <w:b w:val="false"/>
          <w:bCs w:val="false"/>
          <w:color w:val="111827"/>
          <w:sz w:val="22"/>
          <w:szCs w:val="22"/>
        </w:rPr>
        <w:t xml:space="preserve">[2] Sovrin Network — A Self-Sovereign Identity Network. https://sovrin.org/</w:t>
      </w:r>
    </w:p>
    <w:p>
      <w:pPr>
        <w:spacing w:before="80" w:after="80"/>
        <w:jc w:val="both"/>
      </w:pPr>
      <w:r>
        <w:rPr>
          <w:rFonts w:ascii="Arial" w:cs="Arial" w:eastAsia="Arial" w:hAnsi="Arial"/>
          <w:b w:val="false"/>
          <w:bCs w:val="false"/>
          <w:color w:val="111827"/>
          <w:sz w:val="22"/>
          <w:szCs w:val="22"/>
        </w:rPr>
        <w:t xml:space="preserve">[3] Hyperledger Indy — Distributed Ledger for Identity. https://www.hyperledger.org/projects/hyperledger-indy</w:t>
      </w:r>
    </w:p>
    <w:p>
      <w:pPr>
        <w:spacing w:before="80" w:after="80"/>
        <w:jc w:val="both"/>
      </w:pPr>
      <w:r>
        <w:rPr>
          <w:rFonts w:ascii="Arial" w:cs="Arial" w:eastAsia="Arial" w:hAnsi="Arial"/>
          <w:b w:val="false"/>
          <w:bCs w:val="false"/>
          <w:color w:val="111827"/>
          <w:sz w:val="22"/>
          <w:szCs w:val="22"/>
        </w:rPr>
        <w:t xml:space="preserve">[4] Estonian e-Health Foundation — X-Road Architecture. https://www.ria.ee/en/state-information-system/x-road.html</w:t>
      </w:r>
    </w:p>
    <w:p>
      <w:pPr>
        <w:spacing w:before="80" w:after="80"/>
        <w:jc w:val="both"/>
      </w:pPr>
      <w:r>
        <w:rPr>
          <w:rFonts w:ascii="Arial" w:cs="Arial" w:eastAsia="Arial" w:hAnsi="Arial"/>
          <w:b w:val="false"/>
          <w:bCs w:val="false"/>
          <w:color w:val="111827"/>
          <w:sz w:val="22"/>
          <w:szCs w:val="22"/>
        </w:rPr>
        <w:t xml:space="preserve">[5] Veramo (fka uPort) — Verifiable Data Framework. https://veramo.io/</w:t>
      </w:r>
    </w:p>
    <w:p>
      <w:pPr>
        <w:spacing w:before="80" w:after="80"/>
        <w:jc w:val="both"/>
      </w:pPr>
      <w:r>
        <w:rPr>
          <w:rFonts w:ascii="Arial" w:cs="Arial" w:eastAsia="Arial" w:hAnsi="Arial"/>
          <w:b w:val="false"/>
          <w:bCs w:val="false"/>
          <w:color w:val="111827"/>
          <w:sz w:val="22"/>
          <w:szCs w:val="22"/>
        </w:rPr>
        <w:t xml:space="preserve">[6] Signal Protocol — X3DH Key Agreement Protocol. https://signal.org/docs/specifications/x3dh/</w:t>
      </w:r>
    </w:p>
    <w:p>
      <w:pPr>
        <w:spacing w:before="80" w:after="80"/>
        <w:jc w:val="both"/>
      </w:pPr>
      <w:r>
        <w:rPr>
          <w:rFonts w:ascii="Arial" w:cs="Arial" w:eastAsia="Arial" w:hAnsi="Arial"/>
          <w:b w:val="false"/>
          <w:bCs w:val="false"/>
          <w:color w:val="111827"/>
          <w:sz w:val="22"/>
          <w:szCs w:val="22"/>
        </w:rPr>
        <w:t xml:space="preserve">[7] Shamir, A. (1979). How to Share a Secret. Communications of the ACM, 22(11), 612–613.</w:t>
      </w:r>
    </w:p>
    <w:p>
      <w:pPr>
        <w:spacing w:before="80" w:after="80"/>
        <w:jc w:val="both"/>
      </w:pPr>
      <w:r>
        <w:rPr>
          <w:rFonts w:ascii="Arial" w:cs="Arial" w:eastAsia="Arial" w:hAnsi="Arial"/>
          <w:b w:val="false"/>
          <w:bCs w:val="false"/>
          <w:color w:val="111827"/>
          <w:sz w:val="22"/>
          <w:szCs w:val="22"/>
        </w:rPr>
        <w:t xml:space="preserve">[8] NIST FIPS 186-5 — Digital Signature Standard (DSS), ECDSA P-256.</w:t>
      </w:r>
    </w:p>
    <w:p>
      <w:pPr>
        <w:spacing w:before="80" w:after="80"/>
        <w:jc w:val="both"/>
      </w:pPr>
      <w:r>
        <w:rPr>
          <w:rFonts w:ascii="Arial" w:cs="Arial" w:eastAsia="Arial" w:hAnsi="Arial"/>
          <w:b w:val="false"/>
          <w:bCs w:val="false"/>
          <w:color w:val="111827"/>
          <w:sz w:val="22"/>
          <w:szCs w:val="22"/>
        </w:rPr>
        <w:t xml:space="preserve">[9] RFC 5480 — Elliptic Curve Cryptography Subject Public Key Information.</w:t>
      </w:r>
    </w:p>
    <w:p>
      <w:pPr>
        <w:spacing w:before="80" w:after="80"/>
        <w:jc w:val="both"/>
      </w:pPr>
      <w:r>
        <w:rPr>
          <w:rFonts w:ascii="Arial" w:cs="Arial" w:eastAsia="Arial" w:hAnsi="Arial"/>
          <w:b w:val="false"/>
          <w:bCs w:val="false"/>
          <w:color w:val="111827"/>
          <w:sz w:val="22"/>
          <w:szCs w:val="22"/>
        </w:rPr>
        <w:t xml:space="preserve">[10] European Commission — GDPR Article 17 (Right to Erasure) and implications for blockchain.</w:t>
      </w:r>
    </w:p>
    <w:p>
      <w:pPr>
        <w:spacing w:before="80" w:after="80"/>
        <w:jc w:val="both"/>
      </w:pPr>
      <w:r>
        <w:rPr>
          <w:rFonts w:ascii="Arial" w:cs="Arial" w:eastAsia="Arial" w:hAnsi="Arial"/>
          <w:b w:val="false"/>
          <w:bCs w:val="false"/>
          <w:color w:val="111827"/>
          <w:sz w:val="22"/>
          <w:szCs w:val="22"/>
        </w:rPr>
        <w:t xml:space="preserve">[11] MoHFW, Government of India — Digital Personal Data Protection Act 2023 (DPDP Act).</w:t>
      </w:r>
    </w:p>
    <w:p>
      <w:pPr>
        <w:spacing w:before="200" w:after="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4"/>
      </w:pBdr>
      <w:jc w:val="center"/>
    </w:pPr>
    <w:r>
      <w:rPr>
        <w:rFonts w:ascii="Arial" w:cs="Arial" w:eastAsia="Arial" w:hAnsi="Arial"/>
        <w:color w:val="6B7280"/>
        <w:sz w:val="18"/>
        <w:szCs w:val="18"/>
      </w:rPr>
      <w:t xml:space="preserve">MedLedger — Hybrid SSI Architecture Design  |  Confidential Draft  |  Page </w:t>
    </w:r>
    <w:r>
      <w:rPr>
        <w:rFonts w:ascii="Arial" w:cs="Arial" w:eastAsia="Arial" w:hAnsi="Arial"/>
        <w:color w:val="6B7280"/>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2026-03-26T17:00:05.879Z</dcterms:created>
  <dcterms:modified xsi:type="dcterms:W3CDTF">2026-03-26T17:00:05.879Z</dcterms:modified>
</cp:coreProperties>
</file>

<file path=docProps/custom.xml><?xml version="1.0" encoding="utf-8"?>
<Properties xmlns="http://schemas.openxmlformats.org/officeDocument/2006/custom-properties" xmlns:vt="http://schemas.openxmlformats.org/officeDocument/2006/docPropsVTypes"/>
</file>