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0F2044"/>
          <w:sz w:val="52"/>
          <w:szCs w:val="52"/>
        </w:rPr>
        <w:t xml:space="preserve">SUVIDHA 2026 — KOISK UI</w:t>
      </w:r>
    </w:p>
    <w:p>
      <w:pPr>
        <w:spacing w:before="0" w:after="80"/>
        <w:jc w:val="center"/>
      </w:pPr>
      <w:r>
        <w:rPr>
          <w:rFonts w:ascii="Arial" w:cs="Arial" w:eastAsia="Arial" w:hAnsi="Arial"/>
          <w:b/>
          <w:bCs/>
          <w:color w:val="0B6E6E"/>
          <w:sz w:val="28"/>
          <w:szCs w:val="28"/>
        </w:rPr>
        <w:t xml:space="preserve">Technical Design &amp; Architecture Document</w:t>
      </w:r>
    </w:p>
    <w:p>
      <w:pPr>
        <w:spacing w:before="0" w:after="80"/>
        <w:jc w:val="center"/>
      </w:pPr>
      <w:r>
        <w:rPr>
          <w:rFonts w:ascii="Arial" w:cs="Arial" w:eastAsia="Arial" w:hAnsi="Arial"/>
          <w:color w:val="8896B3"/>
          <w:sz w:val="22"/>
          <w:szCs w:val="22"/>
        </w:rPr>
        <w:t xml:space="preserve">C-DAC CINE PPT Presentation Round  |  March 2026</w:t>
      </w:r>
    </w:p>
    <w:p>
      <w:pPr>
        <w:pBdr>
          <w:bottom w:val="single" w:color="00C9A7" w:sz="12" w:space="4"/>
        </w:pBdr>
        <w:spacing w:before="80" w:after="480"/>
        <w:jc w:val="center"/>
      </w:pPr>
      <w:r>
        <w:rPr>
          <w:rFonts w:ascii="Arial" w:cs="Arial" w:eastAsia="Arial" w:hAnsi="Arial"/>
          <w:i/>
          <w:iCs/>
          <w:color w:val="8896B3"/>
          <w:sz w:val="20"/>
          <w:szCs w:val="20"/>
        </w:rPr>
        <w:t xml:space="preserve">Touch-first civic utility kiosk for 8 Indian languages — React + FastAPI + IndexedDB</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56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Project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SUVIDHA 2026 — KOISK UI</w:t>
            </w:r>
          </w:p>
        </w:tc>
      </w:tr>
      <w:tr>
        <w:trPr>
          <w:tblHeader w:val="false"/>
        </w:trPr>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Competition</w:t>
            </w:r>
          </w:p>
        </w:tc>
        <w:tc>
          <w:tcPr>
            <w:tcW w:type="dxa" w:w="6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C-DAC CINE  |  PPT Round, Last week of March 2026</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Physical Final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April 2026</w:t>
            </w:r>
          </w:p>
        </w:tc>
      </w:tr>
      <w:tr>
        <w:trPr>
          <w:tblHeader w:val="false"/>
        </w:trPr>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Frontend Stack</w:t>
            </w:r>
          </w:p>
        </w:tc>
        <w:tc>
          <w:tcPr>
            <w:tcW w:type="dxa" w:w="6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React 18, Vite, Zustand, i18next, Tailwind CSS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 Stack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Python 3.11, FastAPI, SQLAlchemy 2.0, SQLite / PostgreSQL</w:t>
            </w:r>
          </w:p>
        </w:tc>
      </w:tr>
      <w:tr>
        <w:trPr>
          <w:tblHeader w:val="false"/>
        </w:trPr>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w:t>
            </w:r>
          </w:p>
        </w:tc>
        <w:tc>
          <w:tcPr>
            <w:tcW w:type="dxa" w:w="6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JWT HS256, bcrypt, OAuth2PasswordBearer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Payments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Mock engine  →  PortOne  →  Razorpay</w:t>
            </w:r>
          </w:p>
        </w:tc>
      </w:tr>
      <w:tr>
        <w:trPr>
          <w:tblHeader w:val="false"/>
        </w:trPr>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Offline Support</w:t>
            </w:r>
          </w:p>
        </w:tc>
        <w:tc>
          <w:tcPr>
            <w:tcW w:type="dxa" w:w="6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IndexedDB (localDB), offline queue, service-worker ready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Languages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 EN, HI, OD, TE, TA, KN, MR, MA (Meitei-Mayek)</w:t>
            </w:r>
          </w:p>
        </w:tc>
      </w:tr>
    </w:tbl>
    <w:p>
      <w:r>
        <w:br w:type="page"/>
      </w:r>
    </w:p>
    <w:p>
      <w:pPr>
        <w:pStyle w:val="Heading1"/>
        <w:pBdr>
          <w:bottom w:val="single" w:color="0B6E6E" w:sz="8" w:space="4"/>
        </w:pBdr>
        <w:spacing w:before="320" w:after="160"/>
      </w:pPr>
      <w:r>
        <w:rPr>
          <w:rFonts w:ascii="Arial" w:cs="Arial" w:eastAsia="Arial" w:hAnsi="Arial"/>
          <w:b/>
          <w:bCs/>
          <w:color w:val="0F2044"/>
          <w:sz w:val="32"/>
          <w:szCs w:val="32"/>
        </w:rPr>
        <w:t xml:space="preserve">1. Executive Summary</w:t>
      </w:r>
    </w:p>
    <w:p>
      <w:pPr>
        <w:spacing w:before="80" w:after="80"/>
      </w:pPr>
      <w:r>
        <w:rPr>
          <w:rFonts w:ascii="Arial" w:cs="Arial" w:eastAsia="Arial" w:hAnsi="Arial"/>
          <w:sz w:val="20"/>
          <w:szCs w:val="20"/>
        </w:rPr>
        <w:t xml:space="preserve">KOISK UI (SUVIDHA 2026) is a touch-first, offline-capable civic utility kiosk designed for Indian government terminals. Citizens can pay utility bills, apply for new connections, submit complaints, and obtain municipal certificates — all without an internet connection, without a smartphone, and without requiring literacy in English.</w:t>
      </w:r>
    </w:p>
    <w:p>
      <w:pPr>
        <w:spacing w:before="80" w:after="80"/>
      </w:pPr>
      <w:r>
        <w:t xml:space="preserve"/>
      </w:r>
    </w:p>
    <w:p>
      <w:pPr>
        <w:spacing w:before="80" w:after="80"/>
      </w:pPr>
      <w:r>
        <w:rPr>
          <w:rFonts w:ascii="Arial" w:cs="Arial" w:eastAsia="Arial" w:hAnsi="Arial"/>
          <w:sz w:val="20"/>
          <w:szCs w:val="20"/>
        </w:rPr>
        <w:t xml:space="preserve">The system is built as a decoupled architecture: a React/Vite PWA frontend communicates with a modular FastAPI REST backend through an Orchestrator layer that transparently routes requests to the real API when online, or to the local IndexedDB queue when offline.</w:t>
      </w:r>
    </w:p>
    <w:p>
      <w:pPr>
        <w:spacing w:before="80" w:after="80"/>
      </w:pPr>
      <w:r>
        <w:t xml:space="preserve"/>
      </w:r>
    </w:p>
    <w:p>
      <w:pPr>
        <w:spacing w:before="80" w:after="80"/>
      </w:pPr>
      <w:r>
        <w:rPr>
          <w:rFonts w:ascii="Arial" w:cs="Arial" w:eastAsia="Arial" w:hAnsi="Arial"/>
          <w:b/>
          <w:bCs/>
          <w:sz w:val="20"/>
          <w:szCs w:val="20"/>
        </w:rPr>
        <w:t xml:space="preserve">Four C-DAC judging pillars are directly addressed:</w:t>
      </w:r>
    </w:p>
    <w:p>
      <w:pPr>
        <w:pStyle w:val="ListParagraph"/>
        <w:numPr>
          <w:ilvl w:val="0"/>
          <w:numId w:val="2"/>
        </w:numPr>
        <w:spacing w:before="60" w:after="60"/>
      </w:pPr>
      <w:r>
        <w:rPr>
          <w:rFonts w:ascii="Arial" w:cs="Arial" w:eastAsia="Arial" w:hAnsi="Arial"/>
          <w:b w:val="false"/>
          <w:bCs w:val="false"/>
          <w:sz w:val="20"/>
          <w:szCs w:val="20"/>
        </w:rPr>
        <w:t xml:space="preserve">UI/UX Optimisation — large touch targets (min 64×64 px), virtual keyboard, 3-step payment wizard</w:t>
      </w:r>
    </w:p>
    <w:p>
      <w:pPr>
        <w:pStyle w:val="ListParagraph"/>
        <w:numPr>
          <w:ilvl w:val="0"/>
          <w:numId w:val="2"/>
        </w:numPr>
        <w:spacing w:before="60" w:after="60"/>
      </w:pPr>
      <w:r>
        <w:rPr>
          <w:rFonts w:ascii="Arial" w:cs="Arial" w:eastAsia="Arial" w:hAnsi="Arial"/>
          <w:b w:val="false"/>
          <w:bCs w:val="false"/>
          <w:sz w:val="20"/>
          <w:szCs w:val="20"/>
        </w:rPr>
        <w:t xml:space="preserve">Security &amp; Reliability — JWT HS256 auth, bcrypt passwords, OTP kiosk sessions, scoped admin roles</w:t>
      </w:r>
    </w:p>
    <w:p>
      <w:pPr>
        <w:pStyle w:val="ListParagraph"/>
        <w:numPr>
          <w:ilvl w:val="0"/>
          <w:numId w:val="2"/>
        </w:numPr>
        <w:spacing w:before="60" w:after="60"/>
      </w:pPr>
      <w:r>
        <w:rPr>
          <w:rFonts w:ascii="Arial" w:cs="Arial" w:eastAsia="Arial" w:hAnsi="Arial"/>
          <w:b w:val="false"/>
          <w:bCs w:val="false"/>
          <w:sz w:val="20"/>
          <w:szCs w:val="20"/>
        </w:rPr>
        <w:t xml:space="preserve">Accessibility &amp; Inclusion — 8 languages including Meitei-Mayek (unique among competitors), PIN login</w:t>
      </w:r>
    </w:p>
    <w:p>
      <w:pPr>
        <w:pStyle w:val="ListParagraph"/>
        <w:numPr>
          <w:ilvl w:val="0"/>
          <w:numId w:val="2"/>
        </w:numPr>
        <w:spacing w:before="60" w:after="60"/>
      </w:pPr>
      <w:r>
        <w:rPr>
          <w:rFonts w:ascii="Arial" w:cs="Arial" w:eastAsia="Arial" w:hAnsi="Arial"/>
          <w:b w:val="false"/>
          <w:bCs w:val="false"/>
          <w:sz w:val="20"/>
          <w:szCs w:val="20"/>
        </w:rPr>
        <w:t xml:space="preserve">Departmental Features — Electricity (6), Water (6), Municipal (8), Gas (tile)</w:t>
      </w:r>
    </w:p>
    <w:p>
      <w:r>
        <w:br w:type="page"/>
      </w:r>
    </w:p>
    <w:p>
      <w:pPr>
        <w:pStyle w:val="Heading1"/>
        <w:pBdr>
          <w:bottom w:val="single" w:color="0B6E6E" w:sz="8" w:space="4"/>
        </w:pBdr>
        <w:spacing w:before="320" w:after="160"/>
      </w:pPr>
      <w:r>
        <w:rPr>
          <w:rFonts w:ascii="Arial" w:cs="Arial" w:eastAsia="Arial" w:hAnsi="Arial"/>
          <w:b/>
          <w:bCs/>
          <w:color w:val="0F2044"/>
          <w:sz w:val="32"/>
          <w:szCs w:val="32"/>
        </w:rPr>
        <w:t xml:space="preserve">2. System Architecture</w:t>
      </w:r>
    </w:p>
    <w:p>
      <w:pPr>
        <w:pStyle w:val="Heading2"/>
        <w:spacing w:before="240" w:after="120"/>
      </w:pPr>
      <w:r>
        <w:rPr>
          <w:rFonts w:ascii="Arial" w:cs="Arial" w:eastAsia="Arial" w:hAnsi="Arial"/>
          <w:b/>
          <w:bCs/>
          <w:color w:val="0B6E6E"/>
          <w:sz w:val="26"/>
          <w:szCs w:val="26"/>
        </w:rPr>
        <w:t xml:space="preserve">2.1 High-Level Stack</w:t>
      </w:r>
    </w:p>
    <w:p>
      <w:pPr>
        <w:spacing w:before="80" w:after="80"/>
      </w:pPr>
      <w:r>
        <w:rPr>
          <w:rFonts w:ascii="Arial" w:cs="Arial" w:eastAsia="Arial" w:hAnsi="Arial"/>
          <w:sz w:val="20"/>
          <w:szCs w:val="20"/>
        </w:rPr>
        <w:t xml:space="preserve">The system follows a three-tier architecture with an Orchestrator bridge that enables transparent offline/online switching: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716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Technology / Purpose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Presentation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React 18 + Vite — SPA with client-side routing (React Router v6)</w:t>
            </w:r>
          </w:p>
        </w:tc>
      </w:tr>
      <w:tr>
        <w:trPr>
          <w:tblHeader w:val="false"/>
        </w:trPr>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State Mgmt</w:t>
            </w:r>
          </w:p>
        </w:tc>
        <w:tc>
          <w:tcPr>
            <w:tcW w:type="dxa" w:w="7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Zustand — auth store, payment store, offline queue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i18n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i18next + react-i18next — 8 locale JSON files, zero component changes to add a 9th</w:t>
            </w:r>
          </w:p>
        </w:tc>
      </w:tr>
      <w:tr>
        <w:trPr>
          <w:tblHeader w:val="false"/>
        </w:trPr>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Local Storage</w:t>
            </w:r>
          </w:p>
        </w:tc>
        <w:tc>
          <w:tcPr>
            <w:tcW w:type="dxa" w:w="7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IndexedDB via localDB.js — users, sessions, payments, bills, sync queue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Orchestrator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orchestrator.js — routes requests to mock/backend, queues offline operations</w:t>
            </w:r>
          </w:p>
        </w:tc>
      </w:tr>
      <w:tr>
        <w:trPr>
          <w:tblHeader w:val="false"/>
        </w:trPr>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API Transport</w:t>
            </w:r>
          </w:p>
        </w:tc>
        <w:tc>
          <w:tcPr>
            <w:tcW w:type="dxa" w:w="7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Axios — JWT Bearer token auto-attached via _authHeaders()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FastAPI 0.110+ — async REST, modular router structure under src/api/</w:t>
            </w:r>
          </w:p>
        </w:tc>
      </w:tr>
      <w:tr>
        <w:trPr>
          <w:tblHeader w:val="false"/>
        </w:trPr>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ORM</w:t>
            </w:r>
          </w:p>
        </w:tc>
        <w:tc>
          <w:tcPr>
            <w:tcW w:type="dxa" w:w="7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SQLAlchemy 2.0 — single Base, no dual-Base bug, SQLite dev / PostgreSQL prod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python-jose (JWT), passlib/bcrypt, OAuth2PasswordBearer</w:t>
            </w:r>
          </w:p>
        </w:tc>
      </w:tr>
      <w:tr>
        <w:trPr>
          <w:tblHeader w:val="false"/>
        </w:trPr>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Payment</w:t>
            </w:r>
          </w:p>
        </w:tc>
        <w:tc>
          <w:tcPr>
            <w:tcW w:type="dxa" w:w="7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Mock engine (dev) → PortOne (primary) → Razorpay (secondary/per-dept)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Database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SQLite (development &amp; demo), PostgreSQL (production target)</w:t>
            </w:r>
          </w:p>
        </w:tc>
      </w:tr>
    </w:tbl>
    <w:p>
      <w:pPr>
        <w:spacing w:before="80" w:after="80"/>
      </w:pPr>
      <w:r>
        <w:t xml:space="preserve"/>
      </w:r>
    </w:p>
    <w:p>
      <w:pPr>
        <w:pStyle w:val="Heading2"/>
        <w:spacing w:before="240" w:after="120"/>
      </w:pPr>
      <w:r>
        <w:rPr>
          <w:rFonts w:ascii="Arial" w:cs="Arial" w:eastAsia="Arial" w:hAnsi="Arial"/>
          <w:b/>
          <w:bCs/>
          <w:color w:val="0B6E6E"/>
          <w:sz w:val="26"/>
          <w:szCs w:val="26"/>
        </w:rPr>
        <w:t xml:space="preserve">2.2 Directory Structure</w:t>
      </w:r>
    </w:p>
    <w:p>
      <w:pPr>
        <w:spacing w:before="80" w:after="80"/>
      </w:pPr>
      <w:r>
        <w:rPr>
          <w:rFonts w:ascii="Arial" w:cs="Arial" w:eastAsia="Arial" w:hAnsi="Arial"/>
          <w:sz w:val="20"/>
          <w:szCs w:val="20"/>
        </w:rPr>
        <w:t xml:space="preserve">Backend (Python/FastAPI):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656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Contents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main.py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 factory — mounts all routers, CORS, startup hook</w:t>
            </w:r>
          </w:p>
        </w:tc>
      </w:tr>
      <w:tr>
        <w:trPr>
          <w:tblHeader w:val="false"/>
        </w:trPr>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src/api/admin/</w:t>
            </w:r>
          </w:p>
        </w:tc>
        <w:tc>
          <w:tcPr>
            <w:tcW w:type="dxa" w:w="6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 auth, request management, merchant setup, kiosk config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src/api/electricity/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Bill fetch, pay, new connection, meter change, transfer, reading, complaint</w:t>
            </w:r>
          </w:p>
        </w:tc>
      </w:tr>
      <w:tr>
        <w:trPr>
          <w:tblHeader w:val="false"/>
        </w:trPr>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src/api/water/</w:t>
            </w:r>
          </w:p>
        </w:tc>
        <w:tc>
          <w:tcPr>
            <w:tcW w:type="dxa" w:w="6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Bill fetch, pay, new connection, meter change, reading, leak, complaint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src/api/municipal/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Property tax, trade license (new+renewal), birth/death cert, building plan, complaint, grievance</w:t>
            </w:r>
          </w:p>
        </w:tc>
      </w:tr>
      <w:tr>
        <w:trPr>
          <w:tblHeader w:val="false"/>
        </w:trPr>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src/api/payments/</w:t>
            </w:r>
          </w:p>
        </w:tc>
        <w:tc>
          <w:tcPr>
            <w:tcW w:type="dxa" w:w="6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Initiate, complete, status, history, webhook (Razorpay + PortOne), request lookup</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src/api/kiosk/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Department catalogue, OTP session start/verify/end/validate</w:t>
            </w:r>
          </w:p>
        </w:tc>
      </w:tr>
      <w:tr>
        <w:trPr>
          <w:tblHeader w:val="false"/>
        </w:trPr>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src/api/shared/</w:t>
            </w:r>
          </w:p>
        </w:tc>
        <w:tc>
          <w:tcPr>
            <w:tcW w:type="dxa" w:w="6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deps.py (JWT helpers), schemas.py (SuccessResponse), utils.py (save_request)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src/database/models.py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Single source of truth — all ORM models, one Base</w:t>
            </w:r>
          </w:p>
        </w:tc>
      </w:tr>
      <w:tr>
        <w:trPr>
          <w:tblHeader w:val="false"/>
        </w:trPr>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src/payment/</w:t>
            </w:r>
          </w:p>
        </w:tc>
        <w:tc>
          <w:tcPr>
            <w:tcW w:type="dxa" w:w="6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mock_payment_engine.py, payment_handler.py (PortOne + Razorpay adapters)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src/security/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auth.py (JWT/bcrypt), auth_routes.py</w:t>
            </w:r>
          </w:p>
        </w:tc>
      </w:tr>
    </w:tbl>
    <w:p>
      <w:pPr>
        <w:spacing w:before="80" w:after="80"/>
      </w:pPr>
      <w:r>
        <w:t xml:space="preserve"/>
      </w:r>
    </w:p>
    <w:p>
      <w:pPr>
        <w:spacing w:before="80" w:after="80"/>
      </w:pPr>
      <w:r>
        <w:rPr>
          <w:rFonts w:ascii="Arial" w:cs="Arial" w:eastAsia="Arial" w:hAnsi="Arial"/>
          <w:sz w:val="20"/>
          <w:szCs w:val="20"/>
        </w:rPr>
        <w:t xml:space="preserve">Frontend (React/Vite):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616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Contents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src/App.jsx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Route definitions, KeyboardProvider integration</w:t>
            </w:r>
          </w:p>
        </w:tc>
      </w:tr>
      <w:tr>
        <w:trPr>
          <w:tblHeader w:val="false"/>
        </w:trPr>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src/main.jsx</w:t>
            </w:r>
          </w:p>
        </w:tc>
        <w:tc>
          <w:tcPr>
            <w:tcW w:type="dxa" w:w="6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ReactDOM root, BrowserRouter, KeyboardProvider wrap</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src/context/KeyboardContext.jsx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Global virtual keyboard state — focusInput, blurInput, handleKeyPress</w:t>
            </w:r>
          </w:p>
        </w:tc>
      </w:tr>
      <w:tr>
        <w:trPr>
          <w:tblHeader w:val="false"/>
        </w:trPr>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src/hooks/useKeyboardInput.js</w:t>
            </w:r>
          </w:p>
        </w:tc>
        <w:tc>
          <w:tcPr>
            <w:tcW w:type="dxa" w:w="6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Ref callback hook — attaches focus/blur to KeyboardContext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src/modules/auth/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LoginPage, RegisterPage, authStore (Zustand)</w:t>
            </w:r>
          </w:p>
        </w:tc>
      </w:tr>
      <w:tr>
        <w:trPr>
          <w:tblHeader w:val="false"/>
        </w:trPr>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src/modules/language/</w:t>
            </w:r>
          </w:p>
        </w:tc>
        <w:tc>
          <w:tcPr>
            <w:tcW w:type="dxa" w:w="6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LanguageSelect, i18n.js, locales/[en|hi|od|te|ta|kn|mr|ma].json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src/modules/localdb/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localDB.js — IndexedDB v3: users, sessions, payments, bills, requests, syncQueue</w:t>
            </w:r>
          </w:p>
        </w:tc>
      </w:tr>
      <w:tr>
        <w:trPr>
          <w:tblHeader w:val="false"/>
        </w:trPr>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src/modules/orchestrator/</w:t>
            </w:r>
          </w:p>
        </w:tc>
        <w:tc>
          <w:tcPr>
            <w:tcW w:type="dxa" w:w="6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orchestrator.js — online/offline routing; mockPaymentService.js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src/modules/payment/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paymentService, paymentStore, offlineQueue, gatewayAdapters, constants, utils</w:t>
            </w:r>
          </w:p>
        </w:tc>
      </w:tr>
      <w:tr>
        <w:trPr>
          <w:tblHeader w:val="false"/>
        </w:trPr>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src/components/kiosk/</w:t>
            </w:r>
          </w:p>
        </w:tc>
        <w:tc>
          <w:tcPr>
            <w:tcW w:type="dxa" w:w="6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Dashboard, Keyboard, KOISK_demo</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src/components/payment/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PaymentFlow, PaymentMethodSelector, CardInput, UPIInput, ReceiptScreen, OfflineBanner</w:t>
            </w:r>
          </w:p>
        </w:tc>
      </w:tr>
      <w:tr>
        <w:trPr>
          <w:tblHeader w:val="false"/>
        </w:trPr>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src/config/languages.js</w:t>
            </w:r>
          </w:p>
        </w:tc>
        <w:tc>
          <w:tcPr>
            <w:tcW w:type="dxa" w:w="6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SUPPORTED_LANGUAGES — single source of truth for all language metadata</w:t>
            </w:r>
          </w:p>
        </w:tc>
      </w:tr>
    </w:tbl>
    <w:p>
      <w:r>
        <w:br w:type="page"/>
      </w:r>
    </w:p>
    <w:p>
      <w:pPr>
        <w:pStyle w:val="Heading1"/>
        <w:pBdr>
          <w:bottom w:val="single" w:color="0B6E6E" w:sz="8" w:space="4"/>
        </w:pBdr>
        <w:spacing w:before="320" w:after="160"/>
      </w:pPr>
      <w:r>
        <w:rPr>
          <w:rFonts w:ascii="Arial" w:cs="Arial" w:eastAsia="Arial" w:hAnsi="Arial"/>
          <w:b/>
          <w:bCs/>
          <w:color w:val="0F2044"/>
          <w:sz w:val="32"/>
          <w:szCs w:val="32"/>
        </w:rPr>
        <w:t xml:space="preserve">3. Database Design</w:t>
      </w:r>
    </w:p>
    <w:p>
      <w:pPr>
        <w:pStyle w:val="Heading2"/>
        <w:spacing w:before="240" w:after="120"/>
      </w:pPr>
      <w:r>
        <w:rPr>
          <w:rFonts w:ascii="Arial" w:cs="Arial" w:eastAsia="Arial" w:hAnsi="Arial"/>
          <w:b/>
          <w:bCs/>
          <w:color w:val="0B6E6E"/>
          <w:sz w:val="26"/>
          <w:szCs w:val="26"/>
        </w:rPr>
        <w:t xml:space="preserve">3.1 ORM Models (src/database/models.py)</w:t>
      </w:r>
    </w:p>
    <w:p>
      <w:pPr>
        <w:spacing w:before="80" w:after="80"/>
      </w:pPr>
      <w:r>
        <w:rPr>
          <w:rFonts w:ascii="Arial" w:cs="Arial" w:eastAsia="Arial" w:hAnsi="Arial"/>
          <w:sz w:val="20"/>
          <w:szCs w:val="20"/>
        </w:rPr>
        <w:t xml:space="preserve">All models share a single declarative Base — eliminating the dual-Base import bug common in large FastAPI projects. The schema is SQLite-compatible in development and PostgreSQL-ready for production (JSONB columns automatically fall back to JSON when SQLite is detected).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696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Purpose &amp; Key Columns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Citizens — username, full_name, phone_number, hashed_password, is_active</w:t>
            </w:r>
          </w:p>
        </w:tc>
      </w:tr>
      <w:tr>
        <w:trPr>
          <w:tblHeader w:val="false"/>
        </w:trP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admins</w:t>
            </w:r>
          </w:p>
        </w:tc>
        <w:tc>
          <w:tcPr>
            <w:tcW w:type="dxa" w:w="6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 staff — role (super_admin | department_admin | merchant), department, merchant_config (JSONB)</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service_requests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Unified audit log for all department requests — department, service_type, status (state machine), payload (JSONB), payment_id FK</w:t>
            </w:r>
          </w:p>
        </w:tc>
      </w:tr>
      <w:tr>
        <w:trPr>
          <w:tblHeader w:val="false"/>
        </w:trP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electricity_meters</w:t>
            </w:r>
          </w:p>
        </w:tc>
        <w:tc>
          <w:tcPr>
            <w:tcW w:type="dxa" w:w="6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Citizen electricity meters — meter_number, outstanding_amount, last_reading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water_consumers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Water consumer records — consumer_number, property_type, outstanding_amount</w:t>
            </w:r>
          </w:p>
        </w:tc>
      </w:tr>
      <w:tr>
        <w:trPr>
          <w:tblHeader w:val="false"/>
        </w:trP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municipal_consumers</w:t>
            </w:r>
          </w:p>
        </w:tc>
        <w:tc>
          <w:tcPr>
            <w:tcW w:type="dxa" w:w="6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Municipal property records — property_id, ward_number, trade_license_no, annual_tax</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payments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Every payment attempt — gateway (mock|portone|razorpay), status, reference_no, paid_at</w:t>
            </w:r>
          </w:p>
        </w:tc>
      </w:tr>
      <w:tr>
        <w:trPr>
          <w:tblHeader w:val="false"/>
        </w:trP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payment_profiles</w:t>
            </w:r>
          </w:p>
        </w:tc>
        <w:tc>
          <w:tcPr>
            <w:tcW w:type="dxa" w:w="6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Per-user gateway customer IDs — portone_customer_id, razorpay_customer_id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refunds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Refund records linked to payments</w:t>
            </w:r>
          </w:p>
        </w:tc>
      </w:tr>
      <w:tr>
        <w:trPr>
          <w:tblHeader w:val="false"/>
        </w:trP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kiosk_sessions</w:t>
            </w:r>
          </w:p>
        </w:tc>
        <w:tc>
          <w:tcPr>
            <w:tcW w:type="dxa" w:w="6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Citizen kiosk visits — OTP flow, session_token, razorpay_customer_id, returning user detection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kiosk_config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Per-department Razorpay keys and kiosk settings (one row per dept + one global row)</w:t>
            </w:r>
          </w:p>
        </w:tc>
      </w:tr>
    </w:tbl>
    <w:p>
      <w:pPr>
        <w:spacing w:before="80" w:after="80"/>
      </w:pPr>
      <w:r>
        <w:t xml:space="preserve"/>
      </w:r>
    </w:p>
    <w:p>
      <w:pPr>
        <w:pStyle w:val="Heading2"/>
        <w:spacing w:before="240" w:after="120"/>
      </w:pPr>
      <w:r>
        <w:rPr>
          <w:rFonts w:ascii="Arial" w:cs="Arial" w:eastAsia="Arial" w:hAnsi="Arial"/>
          <w:b/>
          <w:bCs/>
          <w:color w:val="0B6E6E"/>
          <w:sz w:val="26"/>
          <w:szCs w:val="26"/>
        </w:rPr>
        <w:t xml:space="preserve">3.2 ServiceRequest State Machine</w:t>
      </w:r>
    </w:p>
    <w:p>
      <w:pPr>
        <w:spacing w:before="80" w:after="80"/>
      </w:pPr>
      <w:r>
        <w:rPr>
          <w:rFonts w:ascii="Arial" w:cs="Arial" w:eastAsia="Arial" w:hAnsi="Arial"/>
          <w:sz w:val="20"/>
          <w:szCs w:val="20"/>
        </w:rPr>
        <w:t xml:space="preserve">Every service request (from any department) flows through a standardised lifecycle:</w:t>
      </w:r>
    </w:p>
    <w:p>
      <w:pPr>
        <w:spacing w:before="80" w:after="80"/>
      </w:pPr>
      <w:r>
        <w:t xml:space="preserve"/>
      </w:r>
    </w:p>
    <w:p>
      <w:pPr>
        <w:spacing w:before="80" w:after="80"/>
      </w:pPr>
      <w:r>
        <w:rPr>
          <w:rFonts w:ascii="Courier New" w:cs="Courier New" w:eastAsia="Courier New" w:hAnsi="Courier New"/>
          <w:color w:val="0B6E6E"/>
          <w:sz w:val="18"/>
          <w:szCs w:val="18"/>
        </w:rPr>
        <w:t xml:space="preserve">DRAFT  →  SUBMITTED  →  ACKNOWLEDGED  →  PENDING  →  APPROVED / DENIED  →  IN_PROGRESS  →  DELIVERED / FAILED / CANCELLED</w:t>
      </w:r>
    </w:p>
    <w:p>
      <w:pPr>
        <w:spacing w:before="80" w:after="80"/>
      </w:pPr>
      <w:r>
        <w:t xml:space="preserve"/>
      </w:r>
    </w:p>
    <w:p>
      <w:pPr>
        <w:spacing w:before="80" w:after="80"/>
      </w:pPr>
      <w:r>
        <w:rPr>
          <w:rFonts w:ascii="Arial" w:cs="Arial" w:eastAsia="Arial" w:hAnsi="Arial"/>
          <w:sz w:val="20"/>
          <w:szCs w:val="20"/>
        </w:rPr>
        <w:t xml:space="preserve">Status transitions are triggered by admin PATCH calls to /admin/requests/{id}/status. completed_at is set automatically when a terminal status is reached.</w:t>
      </w:r>
    </w:p>
    <w:p>
      <w:r>
        <w:br w:type="page"/>
      </w:r>
    </w:p>
    <w:p>
      <w:pPr>
        <w:pStyle w:val="Heading1"/>
        <w:pBdr>
          <w:bottom w:val="single" w:color="0B6E6E" w:sz="8" w:space="4"/>
        </w:pBdr>
        <w:spacing w:before="320" w:after="160"/>
      </w:pPr>
      <w:r>
        <w:rPr>
          <w:rFonts w:ascii="Arial" w:cs="Arial" w:eastAsia="Arial" w:hAnsi="Arial"/>
          <w:b/>
          <w:bCs/>
          <w:color w:val="0F2044"/>
          <w:sz w:val="32"/>
          <w:szCs w:val="32"/>
        </w:rPr>
        <w:t xml:space="preserve">4. Authentication &amp; Security</w:t>
      </w:r>
    </w:p>
    <w:p>
      <w:pPr>
        <w:pStyle w:val="Heading2"/>
        <w:spacing w:before="240" w:after="120"/>
      </w:pPr>
      <w:r>
        <w:rPr>
          <w:rFonts w:ascii="Arial" w:cs="Arial" w:eastAsia="Arial" w:hAnsi="Arial"/>
          <w:b/>
          <w:bCs/>
          <w:color w:val="0B6E6E"/>
          <w:sz w:val="26"/>
          <w:szCs w:val="26"/>
        </w:rPr>
        <w:t xml:space="preserve">4.1 Admin JWT Flow</w:t>
      </w:r>
    </w:p>
    <w:p>
      <w:pPr>
        <w:spacing w:before="80" w:after="80"/>
      </w:pPr>
      <w:r>
        <w:rPr>
          <w:rFonts w:ascii="Arial" w:cs="Arial" w:eastAsia="Arial" w:hAnsi="Arial"/>
          <w:sz w:val="20"/>
          <w:szCs w:val="20"/>
        </w:rPr>
        <w:t xml:space="preserve">Admins authenticate via POST /admin/login (OAuth2 password form). On success, a HS256 JWT is issued containing sub (username), role, and department. The token is valid for 8 hours.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Claim</w:t>
            </w:r>
          </w:p>
        </w:tc>
        <w:tc>
          <w:tcPr>
            <w:tcW w:type="dxa" w:w="736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Value / Purpose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sub</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 username — used to look up the Admin row on every request</w:t>
            </w:r>
          </w:p>
        </w:tc>
      </w:tr>
      <w:tr>
        <w:trPr>
          <w:tblHeader w:val="false"/>
        </w:trPr>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role</w:t>
            </w:r>
          </w:p>
        </w:tc>
        <w:tc>
          <w:tcPr>
            <w:tcW w:type="dxa" w:w="73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super_admin | department_admin | merchant — controls route access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department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NULL for super_admin; set for dept admins — enforces row-level scoping in all admin endpoints</w:t>
            </w:r>
          </w:p>
        </w:tc>
      </w:tr>
      <w:tr>
        <w:trPr>
          <w:tblHeader w:val="false"/>
        </w:trPr>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exp</w:t>
            </w:r>
          </w:p>
        </w:tc>
        <w:tc>
          <w:tcPr>
            <w:tcW w:type="dxa" w:w="73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8-hour expiry (480 minutes) — configurable via env</w:t>
            </w:r>
          </w:p>
        </w:tc>
      </w:tr>
    </w:tbl>
    <w:p>
      <w:pPr>
        <w:spacing w:before="80" w:after="80"/>
      </w:pPr>
      <w:r>
        <w:t xml:space="preserve"/>
      </w:r>
    </w:p>
    <w:p>
      <w:pPr>
        <w:spacing w:before="80" w:after="80"/>
      </w:pPr>
      <w:r>
        <w:rPr>
          <w:rFonts w:ascii="Arial" w:cs="Arial" w:eastAsia="Arial" w:hAnsi="Arial"/>
          <w:sz w:val="20"/>
          <w:szCs w:val="20"/>
        </w:rPr>
        <w:t xml:space="preserve">Two dependency functions enforce role scoping in FastAPI:</w:t>
      </w:r>
    </w:p>
    <w:p>
      <w:pPr>
        <w:pStyle w:val="ListParagraph"/>
        <w:numPr>
          <w:ilvl w:val="0"/>
          <w:numId w:val="2"/>
        </w:numPr>
        <w:spacing w:before="60" w:after="60"/>
      </w:pPr>
      <w:r>
        <w:rPr>
          <w:rFonts w:ascii="Arial" w:cs="Arial" w:eastAsia="Arial" w:hAnsi="Arial"/>
          <w:b w:val="false"/>
          <w:bCs w:val="false"/>
          <w:sz w:val="20"/>
          <w:szCs w:val="20"/>
        </w:rPr>
        <w:t xml:space="preserve">get_current_admin — validates token, fetches Admin row, checks is_active</w:t>
      </w:r>
    </w:p>
    <w:p>
      <w:pPr>
        <w:pStyle w:val="ListParagraph"/>
        <w:numPr>
          <w:ilvl w:val="0"/>
          <w:numId w:val="2"/>
        </w:numPr>
        <w:spacing w:before="60" w:after="60"/>
      </w:pPr>
      <w:r>
        <w:rPr>
          <w:rFonts w:ascii="Arial" w:cs="Arial" w:eastAsia="Arial" w:hAnsi="Arial"/>
          <w:b w:val="false"/>
          <w:bCs w:val="false"/>
          <w:sz w:val="20"/>
          <w:szCs w:val="20"/>
        </w:rPr>
        <w:t xml:space="preserve">require_super_admin — wraps get_current_admin, raises 403 if role is not super_admin</w:t>
      </w:r>
    </w:p>
    <w:p>
      <w:pPr>
        <w:spacing w:before="80" w:after="80"/>
      </w:pPr>
      <w:r>
        <w:t xml:space="preserve"/>
      </w:r>
    </w:p>
    <w:p>
      <w:pPr>
        <w:spacing w:before="80" w:after="80"/>
      </w:pPr>
      <w:r>
        <w:rPr>
          <w:rFonts w:ascii="Arial" w:cs="Arial" w:eastAsia="Arial" w:hAnsi="Arial"/>
          <w:sz w:val="20"/>
          <w:szCs w:val="20"/>
        </w:rPr>
        <w:t xml:space="preserve">Department-scoped filtering: every admin endpoint that reads service_requests or payments automatically adds .filter(department == admin.department) when the admin is not a super_admin. Judges can verify this logic in src/api/admin/router.py lines 55–65 and 105–115.</w:t>
      </w:r>
    </w:p>
    <w:p>
      <w:pPr>
        <w:spacing w:before="80" w:after="80"/>
      </w:pPr>
      <w:r>
        <w:t xml:space="preserve"/>
      </w:r>
    </w:p>
    <w:p>
      <w:pPr>
        <w:pStyle w:val="Heading2"/>
        <w:spacing w:before="240" w:after="120"/>
      </w:pPr>
      <w:r>
        <w:rPr>
          <w:rFonts w:ascii="Arial" w:cs="Arial" w:eastAsia="Arial" w:hAnsi="Arial"/>
          <w:b/>
          <w:bCs/>
          <w:color w:val="0B6E6E"/>
          <w:sz w:val="26"/>
          <w:szCs w:val="26"/>
        </w:rPr>
        <w:t xml:space="preserve">4.2 Citizen OTP Session Flow (Kiosk)</w:t>
      </w:r>
    </w:p>
    <w:p>
      <w:pPr>
        <w:spacing w:before="80" w:after="80"/>
      </w:pPr>
      <w:r>
        <w:rPr>
          <w:rFonts w:ascii="Arial" w:cs="Arial" w:eastAsia="Arial" w:hAnsi="Arial"/>
          <w:sz w:val="20"/>
          <w:szCs w:val="20"/>
        </w:rPr>
        <w:t xml:space="preserve">Citizens do not create persistent accounts on the kiosk terminal. Instead, a per-visit session is established via OTP: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856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856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API Endpoint</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Citizen enters name + phone</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/kiosk/session/start</w:t>
            </w:r>
          </w:p>
        </w:tc>
      </w:tr>
      <w:tr>
        <w:trPr>
          <w:tblHeader w:val="false"/>
        </w:trPr>
        <w:tc>
          <w:tcPr>
            <w:tcW w:type="dxa" w:w="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8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OTP generated (6-digit), SHA-256 hashed, stored; SMS sent via stub</w:t>
            </w:r>
          </w:p>
        </w:tc>
        <w:tc>
          <w:tcPr>
            <w:tcW w:type="dxa" w:w="8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(same)</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Citizen enters OTP; server verifies hash within 5-minute window (3 attempts)</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/kiosk/session/verify-otp</w:t>
            </w:r>
          </w:p>
        </w:tc>
      </w:tr>
      <w:tr>
        <w:trPr>
          <w:tblHeader w:val="false"/>
        </w:trPr>
        <w:tc>
          <w:tcPr>
            <w:tcW w:type="dxa" w:w="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8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Razorpay customer created (new user) or reused (returning user)</w:t>
            </w:r>
          </w:p>
        </w:tc>
        <w:tc>
          <w:tcPr>
            <w:tcW w:type="dxa" w:w="8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(same)</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session_token (URL-safe 32-byte random) issued; valid 30 minutes</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(same)</w:t>
            </w:r>
          </w:p>
        </w:tc>
      </w:tr>
      <w:tr>
        <w:trPr>
          <w:tblHeader w:val="false"/>
        </w:trPr>
        <w:tc>
          <w:tcPr>
            <w:tcW w:type="dxa" w:w="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8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Citizen taps Done; session_token nulled</w:t>
            </w:r>
          </w:p>
        </w:tc>
        <w:tc>
          <w:tcPr>
            <w:tcW w:type="dxa" w:w="8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/kiosk/session/end</w:t>
            </w:r>
          </w:p>
        </w:tc>
      </w:tr>
    </w:tbl>
    <w:p>
      <w:pPr>
        <w:spacing w:before="80" w:after="80"/>
      </w:pPr>
      <w:r>
        <w:t xml:space="preserve"/>
      </w:r>
    </w:p>
    <w:p>
      <w:pPr>
        <w:spacing w:before="80" w:after="80"/>
      </w:pPr>
      <w:r>
        <w:rPr>
          <w:rFonts w:ascii="Arial" w:cs="Arial" w:eastAsia="Arial" w:hAnsi="Arial"/>
          <w:b/>
          <w:bCs/>
          <w:sz w:val="20"/>
          <w:szCs w:val="20"/>
        </w:rPr>
        <w:t xml:space="preserve">Security measures in the OTP flow:</w:t>
      </w:r>
    </w:p>
    <w:p>
      <w:pPr>
        <w:pStyle w:val="ListParagraph"/>
        <w:numPr>
          <w:ilvl w:val="0"/>
          <w:numId w:val="2"/>
        </w:numPr>
        <w:spacing w:before="60" w:after="60"/>
      </w:pPr>
      <w:r>
        <w:rPr>
          <w:rFonts w:ascii="Arial" w:cs="Arial" w:eastAsia="Arial" w:hAnsi="Arial"/>
          <w:b w:val="false"/>
          <w:bCs w:val="false"/>
          <w:sz w:val="20"/>
          <w:szCs w:val="20"/>
        </w:rPr>
        <w:t xml:space="preserve">OTP is SHA-256 hashed before storage — never stored or logged in plaintext</w:t>
      </w:r>
    </w:p>
    <w:p>
      <w:pPr>
        <w:pStyle w:val="ListParagraph"/>
        <w:numPr>
          <w:ilvl w:val="0"/>
          <w:numId w:val="2"/>
        </w:numPr>
        <w:spacing w:before="60" w:after="60"/>
      </w:pPr>
      <w:r>
        <w:rPr>
          <w:rFonts w:ascii="Arial" w:cs="Arial" w:eastAsia="Arial" w:hAnsi="Arial"/>
          <w:b w:val="false"/>
          <w:bCs w:val="false"/>
          <w:sz w:val="20"/>
          <w:szCs w:val="20"/>
        </w:rPr>
        <w:t xml:space="preserve">MAX_OTP_ATTEMPTS = 3 — brute-force protection; session must be restarted after 3 failures</w:t>
      </w:r>
    </w:p>
    <w:p>
      <w:pPr>
        <w:pStyle w:val="ListParagraph"/>
        <w:numPr>
          <w:ilvl w:val="0"/>
          <w:numId w:val="2"/>
        </w:numPr>
        <w:spacing w:before="60" w:after="60"/>
      </w:pPr>
      <w:r>
        <w:rPr>
          <w:rFonts w:ascii="Arial" w:cs="Arial" w:eastAsia="Arial" w:hAnsi="Arial"/>
          <w:b w:val="false"/>
          <w:bCs w:val="false"/>
          <w:sz w:val="20"/>
          <w:szCs w:val="20"/>
        </w:rPr>
        <w:t xml:space="preserve">OTP_EXPIRY_SECONDS = 300 — time-bounded; replay attacks are blocked</w:t>
      </w:r>
    </w:p>
    <w:p>
      <w:pPr>
        <w:pStyle w:val="ListParagraph"/>
        <w:numPr>
          <w:ilvl w:val="0"/>
          <w:numId w:val="2"/>
        </w:numPr>
        <w:spacing w:before="60" w:after="60"/>
      </w:pPr>
      <w:r>
        <w:rPr>
          <w:rFonts w:ascii="Arial" w:cs="Arial" w:eastAsia="Arial" w:hAnsi="Arial"/>
          <w:b w:val="false"/>
          <w:bCs w:val="false"/>
          <w:sz w:val="20"/>
          <w:szCs w:val="20"/>
        </w:rPr>
        <w:t xml:space="preserve">session_token is secrets.token_urlsafe(32) — cryptographically random, 256 bits of entropy</w:t>
      </w:r>
    </w:p>
    <w:p>
      <w:pPr>
        <w:spacing w:before="80" w:after="80"/>
      </w:pPr>
      <w:r>
        <w:t xml:space="preserve"/>
      </w:r>
    </w:p>
    <w:p>
      <w:pPr>
        <w:pStyle w:val="Heading2"/>
        <w:spacing w:before="240" w:after="120"/>
      </w:pPr>
      <w:r>
        <w:rPr>
          <w:rFonts w:ascii="Arial" w:cs="Arial" w:eastAsia="Arial" w:hAnsi="Arial"/>
          <w:b/>
          <w:bCs/>
          <w:color w:val="0B6E6E"/>
          <w:sz w:val="26"/>
          <w:szCs w:val="26"/>
        </w:rPr>
        <w:t xml:space="preserve">4.3 Password Security</w:t>
      </w:r>
    </w:p>
    <w:p>
      <w:pPr>
        <w:spacing w:before="80" w:after="80"/>
      </w:pPr>
      <w:r>
        <w:rPr>
          <w:rFonts w:ascii="Arial" w:cs="Arial" w:eastAsia="Arial" w:hAnsi="Arial"/>
          <w:sz w:val="20"/>
          <w:szCs w:val="20"/>
        </w:rPr>
        <w:t xml:space="preserve">Admin passwords are hashed with bcrypt via passlib (CryptContext). The frontend PIN (citizen login) is stored in IndexedDB — migration to bcrypt-js is planned for Phase 2 and is a single-function change in authStore.js.</w:t>
      </w:r>
    </w:p>
    <w:p>
      <w:pPr>
        <w:spacing w:before="80" w:after="80"/>
      </w:pPr>
      <w:r>
        <w:t xml:space="preserve"/>
      </w:r>
    </w:p>
    <w:p>
      <w:pPr>
        <w:pStyle w:val="Heading2"/>
        <w:spacing w:before="240" w:after="120"/>
      </w:pPr>
      <w:r>
        <w:rPr>
          <w:rFonts w:ascii="Arial" w:cs="Arial" w:eastAsia="Arial" w:hAnsi="Arial"/>
          <w:b/>
          <w:bCs/>
          <w:color w:val="0B6E6E"/>
          <w:sz w:val="26"/>
          <w:szCs w:val="26"/>
        </w:rPr>
        <w:t xml:space="preserve">4.4 Frontend Auth (Citizen)</w:t>
      </w:r>
    </w:p>
    <w:p>
      <w:pPr>
        <w:spacing w:before="80" w:after="80"/>
      </w:pPr>
      <w:r>
        <w:rPr>
          <w:rFonts w:ascii="Arial" w:cs="Arial" w:eastAsia="Arial" w:hAnsi="Arial"/>
          <w:sz w:val="20"/>
          <w:szCs w:val="20"/>
        </w:rPr>
        <w:t xml:space="preserve">Citizen authentication is handled entirely client-side via Zustand authStore and IndexedDB:</w:t>
      </w:r>
    </w:p>
    <w:p>
      <w:pPr>
        <w:pStyle w:val="ListParagraph"/>
        <w:numPr>
          <w:ilvl w:val="0"/>
          <w:numId w:val="2"/>
        </w:numPr>
        <w:spacing w:before="60" w:after="60"/>
      </w:pPr>
      <w:r>
        <w:rPr>
          <w:rFonts w:ascii="Arial" w:cs="Arial" w:eastAsia="Arial" w:hAnsi="Arial"/>
          <w:b w:val="false"/>
          <w:bCs w:val="false"/>
          <w:sz w:val="20"/>
          <w:szCs w:val="20"/>
        </w:rPr>
        <w:t xml:space="preserve">Register: validates phone (Indian mobile regex), 4-digit PIN, creates UUID-keyed user record in IndexedDB</w:t>
      </w:r>
    </w:p>
    <w:p>
      <w:pPr>
        <w:pStyle w:val="ListParagraph"/>
        <w:numPr>
          <w:ilvl w:val="0"/>
          <w:numId w:val="2"/>
        </w:numPr>
        <w:spacing w:before="60" w:after="60"/>
      </w:pPr>
      <w:r>
        <w:rPr>
          <w:rFonts w:ascii="Arial" w:cs="Arial" w:eastAsia="Arial" w:hAnsi="Arial"/>
          <w:b w:val="false"/>
          <w:bCs w:val="false"/>
          <w:sz w:val="20"/>
          <w:szCs w:val="20"/>
        </w:rPr>
        <w:t xml:space="preserve">Login: looks up user by phone, compares PIN hash, creates 8-hour session record</w:t>
      </w:r>
    </w:p>
    <w:p>
      <w:pPr>
        <w:pStyle w:val="ListParagraph"/>
        <w:numPr>
          <w:ilvl w:val="0"/>
          <w:numId w:val="2"/>
        </w:numPr>
        <w:spacing w:before="60" w:after="60"/>
      </w:pPr>
      <w:r>
        <w:rPr>
          <w:rFonts w:ascii="Arial" w:cs="Arial" w:eastAsia="Arial" w:hAnsi="Arial"/>
          <w:b w:val="false"/>
          <w:bCs w:val="false"/>
          <w:sz w:val="20"/>
          <w:szCs w:val="20"/>
        </w:rPr>
        <w:t xml:space="preserve">Session rehydration: on app mount, reads koisk_session from localStorage, validates expiry, loads user from IndexedDB</w:t>
      </w:r>
    </w:p>
    <w:p>
      <w:pPr>
        <w:pStyle w:val="ListParagraph"/>
        <w:numPr>
          <w:ilvl w:val="0"/>
          <w:numId w:val="2"/>
        </w:numPr>
        <w:spacing w:before="60" w:after="60"/>
      </w:pPr>
      <w:r>
        <w:rPr>
          <w:rFonts w:ascii="Arial" w:cs="Arial" w:eastAsia="Arial" w:hAnsi="Arial"/>
          <w:b w:val="false"/>
          <w:bCs w:val="false"/>
          <w:sz w:val="20"/>
          <w:szCs w:val="20"/>
        </w:rPr>
        <w:t xml:space="preserve">Demo login: loginDemo() provides instant access via a pre-seeded demo user — useful for live kiosk demonstrations without registration</w:t>
      </w:r>
    </w:p>
    <w:p>
      <w:r>
        <w:br w:type="page"/>
      </w:r>
    </w:p>
    <w:p>
      <w:pPr>
        <w:pStyle w:val="Heading1"/>
        <w:pBdr>
          <w:bottom w:val="single" w:color="0B6E6E" w:sz="8" w:space="4"/>
        </w:pBdr>
        <w:spacing w:before="320" w:after="160"/>
      </w:pPr>
      <w:r>
        <w:rPr>
          <w:rFonts w:ascii="Arial" w:cs="Arial" w:eastAsia="Arial" w:hAnsi="Arial"/>
          <w:b/>
          <w:bCs/>
          <w:color w:val="0F2044"/>
          <w:sz w:val="32"/>
          <w:szCs w:val="32"/>
        </w:rPr>
        <w:t xml:space="preserve">5. Payment Architecture</w:t>
      </w:r>
    </w:p>
    <w:p>
      <w:pPr>
        <w:pStyle w:val="Heading2"/>
        <w:spacing w:before="240" w:after="120"/>
      </w:pPr>
      <w:r>
        <w:rPr>
          <w:rFonts w:ascii="Arial" w:cs="Arial" w:eastAsia="Arial" w:hAnsi="Arial"/>
          <w:b/>
          <w:bCs/>
          <w:color w:val="0B6E6E"/>
          <w:sz w:val="26"/>
          <w:szCs w:val="26"/>
        </w:rPr>
        <w:t xml:space="preserve">5.1 Gateway Strategy</w:t>
      </w:r>
    </w:p>
    <w:p>
      <w:pPr>
        <w:spacing w:before="80" w:after="80"/>
      </w:pPr>
      <w:r>
        <w:rPr>
          <w:rFonts w:ascii="Arial" w:cs="Arial" w:eastAsia="Arial" w:hAnsi="Arial"/>
          <w:sz w:val="20"/>
          <w:szCs w:val="20"/>
        </w:rPr>
        <w:t xml:space="preserve">The payment system supports three modes, configured per-deployment via environment variables and per-department via the kiosk_config table: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Mode</w:t>
            </w:r>
          </w:p>
        </w:tc>
        <w:tc>
          <w:tcPr>
            <w:tcW w:type="dxa" w:w="776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When Used</w:t>
            </w:r>
          </w:p>
        </w:tc>
        <w:tc>
          <w:tcPr>
            <w:tcW w:type="dxa" w:w="776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Mock Engine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Development &amp; demo</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svc_initiate / svc_complete in mock_payment_engine.py — mirrors real gateway interface exactly, configurable failure rate</w:t>
            </w:r>
          </w:p>
        </w:tc>
      </w:tr>
      <w:tr>
        <w:trPr>
          <w:tblHeader w:val="false"/>
        </w:trPr>
        <w:tc>
          <w:tcPr>
            <w:tcW w:type="dxa" w:w="1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PortOne</w:t>
            </w:r>
          </w:p>
        </w:tc>
        <w:tc>
          <w:tcPr>
            <w:tcW w:type="dxa" w:w="7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production gateway</w:t>
            </w:r>
          </w:p>
        </w:tc>
        <w:tc>
          <w:tcPr>
            <w:tcW w:type="dxa" w:w="7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Unified gateway supporting UPI, card, netbanking; customer IDs stored in payment_profiles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Razorpay</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Per-department alternate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Department admins can set their own Razorpay key pair via /admin/kiosk-config; keys stored with last-4 hint for display</w:t>
            </w:r>
          </w:p>
        </w:tc>
      </w:tr>
    </w:tbl>
    <w:p>
      <w:pPr>
        <w:spacing w:before="80" w:after="80"/>
      </w:pPr>
      <w:r>
        <w:t xml:space="preserve"/>
      </w:r>
    </w:p>
    <w:p>
      <w:pPr>
        <w:pStyle w:val="Heading2"/>
        <w:spacing w:before="240" w:after="120"/>
      </w:pPr>
      <w:r>
        <w:rPr>
          <w:rFonts w:ascii="Arial" w:cs="Arial" w:eastAsia="Arial" w:hAnsi="Arial"/>
          <w:b/>
          <w:bCs/>
          <w:color w:val="0B6E6E"/>
          <w:sz w:val="26"/>
          <w:szCs w:val="26"/>
        </w:rPr>
        <w:t xml:space="preserve">5.2 Payment Flow</w:t>
      </w:r>
    </w:p>
    <w:p>
      <w:pPr>
        <w:spacing w:before="80" w:after="80"/>
      </w:pPr>
      <w:r>
        <w:rPr>
          <w:rFonts w:ascii="Arial" w:cs="Arial" w:eastAsia="Arial" w:hAnsi="Arial"/>
          <w:sz w:val="20"/>
          <w:szCs w:val="20"/>
        </w:rPr>
        <w:t xml:space="preserve">All department routers follow the same two-step payment pattern:</w:t>
      </w:r>
    </w:p>
    <w:p>
      <w:pPr>
        <w:pStyle w:val="ListParagraph"/>
        <w:numPr>
          <w:ilvl w:val="0"/>
          <w:numId w:val="3"/>
        </w:numPr>
        <w:spacing w:before="60" w:after="60"/>
      </w:pPr>
      <w:r>
        <w:rPr>
          <w:rFonts w:ascii="Courier New" w:cs="Courier New" w:eastAsia="Courier New" w:hAnsi="Courier New"/>
          <w:sz w:val="20"/>
          <w:szCs w:val="20"/>
        </w:rPr>
        <w:t xml:space="preserve">POST /api/v1/{dept}/pay-bill  →  svc_initiate()  →  returns orderId + isMock flag</w:t>
      </w:r>
    </w:p>
    <w:p>
      <w:pPr>
        <w:pStyle w:val="ListParagraph"/>
        <w:numPr>
          <w:ilvl w:val="0"/>
          <w:numId w:val="3"/>
        </w:numPr>
        <w:spacing w:before="60" w:after="60"/>
      </w:pPr>
      <w:r>
        <w:rPr>
          <w:rFonts w:ascii="Courier New" w:cs="Courier New" w:eastAsia="Courier New" w:hAnsi="Courier New"/>
          <w:sz w:val="20"/>
          <w:szCs w:val="20"/>
        </w:rPr>
        <w:t xml:space="preserve">If isMock: svc_complete()  →  returns receipt immediately</w:t>
      </w:r>
    </w:p>
    <w:p>
      <w:pPr>
        <w:pStyle w:val="ListParagraph"/>
        <w:numPr>
          <w:ilvl w:val="0"/>
          <w:numId w:val="3"/>
        </w:numPr>
        <w:spacing w:before="60" w:after="60"/>
      </w:pPr>
      <w:r>
        <w:rPr>
          <w:rFonts w:ascii="Courier New" w:cs="Courier New" w:eastAsia="Courier New" w:hAnsi="Courier New"/>
          <w:sz w:val="20"/>
          <w:szCs w:val="20"/>
        </w:rPr>
        <w:t xml:space="preserve">If real gateway: frontend completes with gateway SDK, then POST /api/v1/payments/complete</w:t>
      </w:r>
    </w:p>
    <w:p>
      <w:pPr>
        <w:pStyle w:val="ListParagraph"/>
        <w:numPr>
          <w:ilvl w:val="0"/>
          <w:numId w:val="3"/>
        </w:numPr>
        <w:spacing w:before="60" w:after="60"/>
      </w:pPr>
      <w:r>
        <w:rPr>
          <w:rFonts w:ascii="Courier New" w:cs="Courier New" w:eastAsia="Courier New" w:hAnsi="Courier New"/>
          <w:sz w:val="20"/>
          <w:szCs w:val="20"/>
        </w:rPr>
        <w:t xml:space="preserve">Webhook (POST /api/v1/payments/webhook) receives confirmation; signature verified (Razorpay HMAC / PortOne)</w:t>
      </w:r>
    </w:p>
    <w:p>
      <w:pPr>
        <w:spacing w:before="80" w:after="80"/>
      </w:pPr>
      <w:r>
        <w:t xml:space="preserve"/>
      </w:r>
    </w:p>
    <w:p>
      <w:pPr>
        <w:pStyle w:val="Heading2"/>
        <w:spacing w:before="240" w:after="120"/>
      </w:pPr>
      <w:r>
        <w:rPr>
          <w:rFonts w:ascii="Arial" w:cs="Arial" w:eastAsia="Arial" w:hAnsi="Arial"/>
          <w:b/>
          <w:bCs/>
          <w:color w:val="0B6E6E"/>
          <w:sz w:val="26"/>
          <w:szCs w:val="26"/>
        </w:rPr>
        <w:t xml:space="preserve">5.3 Offline Payment Queue</w:t>
      </w:r>
    </w:p>
    <w:p>
      <w:pPr>
        <w:spacing w:before="80" w:after="80"/>
      </w:pPr>
      <w:r>
        <w:rPr>
          <w:rFonts w:ascii="Arial" w:cs="Arial" w:eastAsia="Arial" w:hAnsi="Arial"/>
          <w:sz w:val="20"/>
          <w:szCs w:val="20"/>
        </w:rPr>
        <w:t xml:space="preserve">If the backend is unreachable, the Orchestrator routes the payment through offlineQueue.js. Queued payments are stored in the IndexedDB syncQueue store and replayed automatically when connectivity is restored. The OfflineBanner component surfaces this state to the citizen.</w:t>
      </w:r>
    </w:p>
    <w:p>
      <w:r>
        <w:br w:type="page"/>
      </w:r>
    </w:p>
    <w:p>
      <w:pPr>
        <w:pStyle w:val="Heading1"/>
        <w:pBdr>
          <w:bottom w:val="single" w:color="0B6E6E" w:sz="8" w:space="4"/>
        </w:pBdr>
        <w:spacing w:before="320" w:after="160"/>
      </w:pPr>
      <w:r>
        <w:rPr>
          <w:rFonts w:ascii="Arial" w:cs="Arial" w:eastAsia="Arial" w:hAnsi="Arial"/>
          <w:b/>
          <w:bCs/>
          <w:color w:val="0F2044"/>
          <w:sz w:val="32"/>
          <w:szCs w:val="32"/>
        </w:rPr>
        <w:t xml:space="preserve">6. Departmental Features</w:t>
      </w:r>
    </w:p>
    <w:p>
      <w:pPr>
        <w:pStyle w:val="Heading2"/>
        <w:spacing w:before="240" w:after="120"/>
      </w:pPr>
      <w:r>
        <w:rPr>
          <w:rFonts w:ascii="Arial" w:cs="Arial" w:eastAsia="Arial" w:hAnsi="Arial"/>
          <w:b/>
          <w:bCs/>
          <w:color w:val="0B6E6E"/>
          <w:sz w:val="26"/>
          <w:szCs w:val="26"/>
        </w:rPr>
        <w:t xml:space="preserve">6.1 Service Matrix</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Service</w:t>
            </w:r>
          </w:p>
        </w:tc>
        <w:tc>
          <w:tcPr>
            <w:tcW w:type="dxa" w:w="174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Electricity</w:t>
            </w:r>
          </w:p>
        </w:tc>
        <w:tc>
          <w:tcPr>
            <w:tcW w:type="dxa" w:w="174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Water</w:t>
            </w:r>
          </w:p>
        </w:tc>
        <w:tc>
          <w:tcPr>
            <w:tcW w:type="dxa" w:w="174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Municipal</w:t>
            </w:r>
          </w:p>
        </w:tc>
        <w:tc>
          <w:tcPr>
            <w:tcW w:type="dxa" w:w="174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Pay Bill</w:t>
            </w:r>
          </w:p>
        </w:tc>
        <w:tc>
          <w:tcPr>
            <w:tcW w:type="dxa" w:w="1740"/>
            <w:tcBorders>
              <w:top w:val="single" w:color="CCCCCC" w:sz="1"/>
              <w:left w:val="single" w:color="CCCCCC" w:sz="1"/>
              <w:bottom w:val="single" w:color="CCCCCC" w:sz="1"/>
              <w:right w:val="single" w:color="CCCCCC" w:sz="1"/>
            </w:tcBorders>
            <w:shd w:fill="E6FAF5" w:val="clear"/>
            <w:tcMar>
              <w:top w:type="dxa" w:w="80"/>
              <w:left w:type="dxa" w:w="120"/>
              <w:bottom w:type="dxa" w:w="80"/>
              <w:right w:type="dxa" w:w="120"/>
            </w:tcMar>
            <w:vAlign w:val="center"/>
          </w:tcPr>
          <w:p>
            <w:pPr>
              <w:jc w:val="center"/>
            </w:pPr>
            <w:r>
              <w:rPr>
                <w:rFonts w:ascii="Arial" w:cs="Arial" w:eastAsia="Arial" w:hAnsi="Arial"/>
                <w:b w:val="false"/>
                <w:bCs w:val="false"/>
                <w:color w:val="0B6E6E"/>
                <w:sz w:val="18"/>
                <w:szCs w:val="18"/>
              </w:rPr>
              <w:t xml:space="preserve">✓</w:t>
            </w:r>
          </w:p>
        </w:tc>
        <w:tc>
          <w:tcPr>
            <w:tcW w:type="dxa" w:w="1740"/>
            <w:tcBorders>
              <w:top w:val="single" w:color="CCCCCC" w:sz="1"/>
              <w:left w:val="single" w:color="CCCCCC" w:sz="1"/>
              <w:bottom w:val="single" w:color="CCCCCC" w:sz="1"/>
              <w:right w:val="single" w:color="CCCCCC" w:sz="1"/>
            </w:tcBorders>
            <w:shd w:fill="E6FAF5" w:val="clear"/>
            <w:tcMar>
              <w:top w:type="dxa" w:w="80"/>
              <w:left w:type="dxa" w:w="120"/>
              <w:bottom w:type="dxa" w:w="80"/>
              <w:right w:type="dxa" w:w="120"/>
            </w:tcMar>
            <w:vAlign w:val="center"/>
          </w:tcPr>
          <w:p>
            <w:pPr>
              <w:jc w:val="center"/>
            </w:pPr>
            <w:r>
              <w:rPr>
                <w:rFonts w:ascii="Arial" w:cs="Arial" w:eastAsia="Arial" w:hAnsi="Arial"/>
                <w:b w:val="false"/>
                <w:bCs w:val="false"/>
                <w:color w:val="0B6E6E"/>
                <w:sz w:val="18"/>
                <w:szCs w:val="18"/>
              </w:rPr>
              <w:t xml:space="preserve">✓</w:t>
            </w:r>
          </w:p>
        </w:tc>
        <w:tc>
          <w:tcPr>
            <w:tcW w:type="dxa" w:w="1740"/>
            <w:tcBorders>
              <w:top w:val="single" w:color="CCCCCC" w:sz="1"/>
              <w:left w:val="single" w:color="CCCCCC" w:sz="1"/>
              <w:bottom w:val="single" w:color="CCCCCC" w:sz="1"/>
              <w:right w:val="single" w:color="CCCCCC" w:sz="1"/>
            </w:tcBorders>
            <w:shd w:fill="E6FAF5" w:val="clear"/>
            <w:tcMar>
              <w:top w:type="dxa" w:w="80"/>
              <w:left w:type="dxa" w:w="120"/>
              <w:bottom w:type="dxa" w:w="80"/>
              <w:right w:type="dxa" w:w="120"/>
            </w:tcMar>
            <w:vAlign w:val="center"/>
          </w:tcPr>
          <w:p>
            <w:pPr>
              <w:jc w:val="center"/>
            </w:pPr>
            <w:r>
              <w:rPr>
                <w:rFonts w:ascii="Arial" w:cs="Arial" w:eastAsia="Arial" w:hAnsi="Arial"/>
                <w:b w:val="false"/>
                <w:bCs w:val="false"/>
                <w:color w:val="0B6E6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Tile only</w:t>
            </w:r>
          </w:p>
        </w:tc>
      </w:tr>
      <w:tr>
        <w:trPr>
          <w:tblHeader w:val="false"/>
        </w:trP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New Connection</w:t>
            </w:r>
          </w:p>
        </w:tc>
        <w:tc>
          <w:tcPr>
            <w:tcW w:type="dxa" w:w="1740"/>
            <w:tcBorders>
              <w:top w:val="single" w:color="CCCCCC" w:sz="1"/>
              <w:left w:val="single" w:color="CCCCCC" w:sz="1"/>
              <w:bottom w:val="single" w:color="CCCCCC" w:sz="1"/>
              <w:right w:val="single" w:color="CCCCCC" w:sz="1"/>
            </w:tcBorders>
            <w:shd w:fill="E6FAF5" w:val="clear"/>
            <w:tcMar>
              <w:top w:type="dxa" w:w="80"/>
              <w:left w:type="dxa" w:w="120"/>
              <w:bottom w:type="dxa" w:w="80"/>
              <w:right w:type="dxa" w:w="120"/>
            </w:tcMar>
            <w:vAlign w:val="center"/>
          </w:tcPr>
          <w:p>
            <w:pPr>
              <w:jc w:val="center"/>
            </w:pPr>
            <w:r>
              <w:rPr>
                <w:rFonts w:ascii="Arial" w:cs="Arial" w:eastAsia="Arial" w:hAnsi="Arial"/>
                <w:b w:val="false"/>
                <w:bCs w:val="false"/>
                <w:color w:val="0B6E6E"/>
                <w:sz w:val="18"/>
                <w:szCs w:val="18"/>
              </w:rPr>
              <w:t xml:space="preserve">✓</w:t>
            </w:r>
          </w:p>
        </w:tc>
        <w:tc>
          <w:tcPr>
            <w:tcW w:type="dxa" w:w="1740"/>
            <w:tcBorders>
              <w:top w:val="single" w:color="CCCCCC" w:sz="1"/>
              <w:left w:val="single" w:color="CCCCCC" w:sz="1"/>
              <w:bottom w:val="single" w:color="CCCCCC" w:sz="1"/>
              <w:right w:val="single" w:color="CCCCCC" w:sz="1"/>
            </w:tcBorders>
            <w:shd w:fill="E6FAF5" w:val="clear"/>
            <w:tcMar>
              <w:top w:type="dxa" w:w="80"/>
              <w:left w:type="dxa" w:w="120"/>
              <w:bottom w:type="dxa" w:w="80"/>
              <w:right w:type="dxa" w:w="120"/>
            </w:tcMar>
            <w:vAlign w:val="center"/>
          </w:tcPr>
          <w:p>
            <w:pPr>
              <w:jc w:val="center"/>
            </w:pPr>
            <w:r>
              <w:rPr>
                <w:rFonts w:ascii="Arial" w:cs="Arial" w:eastAsia="Arial" w:hAnsi="Arial"/>
                <w:b w:val="false"/>
                <w:bCs w:val="false"/>
                <w:color w:val="0B6E6E"/>
                <w:sz w:val="18"/>
                <w:szCs w:val="18"/>
              </w:rPr>
              <w:t xml:space="preserve">✓</w:t>
            </w:r>
          </w:p>
        </w:tc>
        <w:tc>
          <w:tcPr>
            <w:tcW w:type="dxa" w:w="17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8896B3"/>
                <w:sz w:val="18"/>
                <w:szCs w:val="18"/>
              </w:rPr>
              <w:t xml:space="preserve">—</w:t>
            </w:r>
          </w:p>
        </w:tc>
        <w:tc>
          <w:tcPr>
            <w:tcW w:type="dxa" w:w="17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8896B3"/>
                <w:sz w:val="18"/>
                <w:szCs w:val="18"/>
              </w:rPr>
              <w:t xml:space="preserv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Meter Change</w:t>
            </w:r>
          </w:p>
        </w:tc>
        <w:tc>
          <w:tcPr>
            <w:tcW w:type="dxa" w:w="1740"/>
            <w:tcBorders>
              <w:top w:val="single" w:color="CCCCCC" w:sz="1"/>
              <w:left w:val="single" w:color="CCCCCC" w:sz="1"/>
              <w:bottom w:val="single" w:color="CCCCCC" w:sz="1"/>
              <w:right w:val="single" w:color="CCCCCC" w:sz="1"/>
            </w:tcBorders>
            <w:shd w:fill="E6FAF5" w:val="clear"/>
            <w:tcMar>
              <w:top w:type="dxa" w:w="80"/>
              <w:left w:type="dxa" w:w="120"/>
              <w:bottom w:type="dxa" w:w="80"/>
              <w:right w:type="dxa" w:w="120"/>
            </w:tcMar>
            <w:vAlign w:val="center"/>
          </w:tcPr>
          <w:p>
            <w:pPr>
              <w:jc w:val="center"/>
            </w:pPr>
            <w:r>
              <w:rPr>
                <w:rFonts w:ascii="Arial" w:cs="Arial" w:eastAsia="Arial" w:hAnsi="Arial"/>
                <w:b w:val="false"/>
                <w:bCs w:val="false"/>
                <w:color w:val="0B6E6E"/>
                <w:sz w:val="18"/>
                <w:szCs w:val="18"/>
              </w:rPr>
              <w:t xml:space="preserve">✓</w:t>
            </w:r>
          </w:p>
        </w:tc>
        <w:tc>
          <w:tcPr>
            <w:tcW w:type="dxa" w:w="1740"/>
            <w:tcBorders>
              <w:top w:val="single" w:color="CCCCCC" w:sz="1"/>
              <w:left w:val="single" w:color="CCCCCC" w:sz="1"/>
              <w:bottom w:val="single" w:color="CCCCCC" w:sz="1"/>
              <w:right w:val="single" w:color="CCCCCC" w:sz="1"/>
            </w:tcBorders>
            <w:shd w:fill="E6FAF5" w:val="clear"/>
            <w:tcMar>
              <w:top w:type="dxa" w:w="80"/>
              <w:left w:type="dxa" w:w="120"/>
              <w:bottom w:type="dxa" w:w="80"/>
              <w:right w:type="dxa" w:w="120"/>
            </w:tcMar>
            <w:vAlign w:val="center"/>
          </w:tcPr>
          <w:p>
            <w:pPr>
              <w:jc w:val="center"/>
            </w:pPr>
            <w:r>
              <w:rPr>
                <w:rFonts w:ascii="Arial" w:cs="Arial" w:eastAsia="Arial" w:hAnsi="Arial"/>
                <w:b w:val="false"/>
                <w:bCs w:val="false"/>
                <w:color w:val="0B6E6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8896B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8896B3"/>
                <w:sz w:val="18"/>
                <w:szCs w:val="18"/>
              </w:rPr>
              <w:t xml:space="preserve">—</w:t>
            </w:r>
          </w:p>
        </w:tc>
      </w:tr>
      <w:tr>
        <w:trPr>
          <w:tblHeader w:val="false"/>
        </w:trP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Service Transfer</w:t>
            </w:r>
          </w:p>
        </w:tc>
        <w:tc>
          <w:tcPr>
            <w:tcW w:type="dxa" w:w="1740"/>
            <w:tcBorders>
              <w:top w:val="single" w:color="CCCCCC" w:sz="1"/>
              <w:left w:val="single" w:color="CCCCCC" w:sz="1"/>
              <w:bottom w:val="single" w:color="CCCCCC" w:sz="1"/>
              <w:right w:val="single" w:color="CCCCCC" w:sz="1"/>
            </w:tcBorders>
            <w:shd w:fill="E6FAF5" w:val="clear"/>
            <w:tcMar>
              <w:top w:type="dxa" w:w="80"/>
              <w:left w:type="dxa" w:w="120"/>
              <w:bottom w:type="dxa" w:w="80"/>
              <w:right w:type="dxa" w:w="120"/>
            </w:tcMar>
            <w:vAlign w:val="center"/>
          </w:tcPr>
          <w:p>
            <w:pPr>
              <w:jc w:val="center"/>
            </w:pPr>
            <w:r>
              <w:rPr>
                <w:rFonts w:ascii="Arial" w:cs="Arial" w:eastAsia="Arial" w:hAnsi="Arial"/>
                <w:b w:val="false"/>
                <w:bCs w:val="false"/>
                <w:color w:val="0B6E6E"/>
                <w:sz w:val="18"/>
                <w:szCs w:val="18"/>
              </w:rPr>
              <w:t xml:space="preserve">✓</w:t>
            </w:r>
          </w:p>
        </w:tc>
        <w:tc>
          <w:tcPr>
            <w:tcW w:type="dxa" w:w="17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8896B3"/>
                <w:sz w:val="18"/>
                <w:szCs w:val="18"/>
              </w:rPr>
              <w:t xml:space="preserve">—</w:t>
            </w:r>
          </w:p>
        </w:tc>
        <w:tc>
          <w:tcPr>
            <w:tcW w:type="dxa" w:w="17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8896B3"/>
                <w:sz w:val="18"/>
                <w:szCs w:val="18"/>
              </w:rPr>
              <w:t xml:space="preserve">—</w:t>
            </w:r>
          </w:p>
        </w:tc>
        <w:tc>
          <w:tcPr>
            <w:tcW w:type="dxa" w:w="17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8896B3"/>
                <w:sz w:val="18"/>
                <w:szCs w:val="18"/>
              </w:rPr>
              <w:t xml:space="preserv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Submit Meter Reading</w:t>
            </w:r>
          </w:p>
        </w:tc>
        <w:tc>
          <w:tcPr>
            <w:tcW w:type="dxa" w:w="1740"/>
            <w:tcBorders>
              <w:top w:val="single" w:color="CCCCCC" w:sz="1"/>
              <w:left w:val="single" w:color="CCCCCC" w:sz="1"/>
              <w:bottom w:val="single" w:color="CCCCCC" w:sz="1"/>
              <w:right w:val="single" w:color="CCCCCC" w:sz="1"/>
            </w:tcBorders>
            <w:shd w:fill="E6FAF5" w:val="clear"/>
            <w:tcMar>
              <w:top w:type="dxa" w:w="80"/>
              <w:left w:type="dxa" w:w="120"/>
              <w:bottom w:type="dxa" w:w="80"/>
              <w:right w:type="dxa" w:w="120"/>
            </w:tcMar>
            <w:vAlign w:val="center"/>
          </w:tcPr>
          <w:p>
            <w:pPr>
              <w:jc w:val="center"/>
            </w:pPr>
            <w:r>
              <w:rPr>
                <w:rFonts w:ascii="Arial" w:cs="Arial" w:eastAsia="Arial" w:hAnsi="Arial"/>
                <w:b w:val="false"/>
                <w:bCs w:val="false"/>
                <w:color w:val="0B6E6E"/>
                <w:sz w:val="18"/>
                <w:szCs w:val="18"/>
              </w:rPr>
              <w:t xml:space="preserve">✓</w:t>
            </w:r>
          </w:p>
        </w:tc>
        <w:tc>
          <w:tcPr>
            <w:tcW w:type="dxa" w:w="1740"/>
            <w:tcBorders>
              <w:top w:val="single" w:color="CCCCCC" w:sz="1"/>
              <w:left w:val="single" w:color="CCCCCC" w:sz="1"/>
              <w:bottom w:val="single" w:color="CCCCCC" w:sz="1"/>
              <w:right w:val="single" w:color="CCCCCC" w:sz="1"/>
            </w:tcBorders>
            <w:shd w:fill="E6FAF5" w:val="clear"/>
            <w:tcMar>
              <w:top w:type="dxa" w:w="80"/>
              <w:left w:type="dxa" w:w="120"/>
              <w:bottom w:type="dxa" w:w="80"/>
              <w:right w:type="dxa" w:w="120"/>
            </w:tcMar>
            <w:vAlign w:val="center"/>
          </w:tcPr>
          <w:p>
            <w:pPr>
              <w:jc w:val="center"/>
            </w:pPr>
            <w:r>
              <w:rPr>
                <w:rFonts w:ascii="Arial" w:cs="Arial" w:eastAsia="Arial" w:hAnsi="Arial"/>
                <w:b w:val="false"/>
                <w:bCs w:val="false"/>
                <w:color w:val="0B6E6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8896B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8896B3"/>
                <w:sz w:val="18"/>
                <w:szCs w:val="18"/>
              </w:rPr>
              <w:t xml:space="preserve">—</w:t>
            </w:r>
          </w:p>
        </w:tc>
      </w:tr>
      <w:tr>
        <w:trPr>
          <w:tblHeader w:val="false"/>
        </w:trP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Complaint / Grievance</w:t>
            </w:r>
          </w:p>
        </w:tc>
        <w:tc>
          <w:tcPr>
            <w:tcW w:type="dxa" w:w="1740"/>
            <w:tcBorders>
              <w:top w:val="single" w:color="CCCCCC" w:sz="1"/>
              <w:left w:val="single" w:color="CCCCCC" w:sz="1"/>
              <w:bottom w:val="single" w:color="CCCCCC" w:sz="1"/>
              <w:right w:val="single" w:color="CCCCCC" w:sz="1"/>
            </w:tcBorders>
            <w:shd w:fill="E6FAF5" w:val="clear"/>
            <w:tcMar>
              <w:top w:type="dxa" w:w="80"/>
              <w:left w:type="dxa" w:w="120"/>
              <w:bottom w:type="dxa" w:w="80"/>
              <w:right w:type="dxa" w:w="120"/>
            </w:tcMar>
            <w:vAlign w:val="center"/>
          </w:tcPr>
          <w:p>
            <w:pPr>
              <w:jc w:val="center"/>
            </w:pPr>
            <w:r>
              <w:rPr>
                <w:rFonts w:ascii="Arial" w:cs="Arial" w:eastAsia="Arial" w:hAnsi="Arial"/>
                <w:b w:val="false"/>
                <w:bCs w:val="false"/>
                <w:color w:val="0B6E6E"/>
                <w:sz w:val="18"/>
                <w:szCs w:val="18"/>
              </w:rPr>
              <w:t xml:space="preserve">✓</w:t>
            </w:r>
          </w:p>
        </w:tc>
        <w:tc>
          <w:tcPr>
            <w:tcW w:type="dxa" w:w="1740"/>
            <w:tcBorders>
              <w:top w:val="single" w:color="CCCCCC" w:sz="1"/>
              <w:left w:val="single" w:color="CCCCCC" w:sz="1"/>
              <w:bottom w:val="single" w:color="CCCCCC" w:sz="1"/>
              <w:right w:val="single" w:color="CCCCCC" w:sz="1"/>
            </w:tcBorders>
            <w:shd w:fill="E6FAF5" w:val="clear"/>
            <w:tcMar>
              <w:top w:type="dxa" w:w="80"/>
              <w:left w:type="dxa" w:w="120"/>
              <w:bottom w:type="dxa" w:w="80"/>
              <w:right w:type="dxa" w:w="120"/>
            </w:tcMar>
            <w:vAlign w:val="center"/>
          </w:tcPr>
          <w:p>
            <w:pPr>
              <w:jc w:val="center"/>
            </w:pPr>
            <w:r>
              <w:rPr>
                <w:rFonts w:ascii="Arial" w:cs="Arial" w:eastAsia="Arial" w:hAnsi="Arial"/>
                <w:b w:val="false"/>
                <w:bCs w:val="false"/>
                <w:color w:val="0B6E6E"/>
                <w:sz w:val="18"/>
                <w:szCs w:val="18"/>
              </w:rPr>
              <w:t xml:space="preserve">✓</w:t>
            </w:r>
          </w:p>
        </w:tc>
        <w:tc>
          <w:tcPr>
            <w:tcW w:type="dxa" w:w="1740"/>
            <w:tcBorders>
              <w:top w:val="single" w:color="CCCCCC" w:sz="1"/>
              <w:left w:val="single" w:color="CCCCCC" w:sz="1"/>
              <w:bottom w:val="single" w:color="CCCCCC" w:sz="1"/>
              <w:right w:val="single" w:color="CCCCCC" w:sz="1"/>
            </w:tcBorders>
            <w:shd w:fill="E6FAF5" w:val="clear"/>
            <w:tcMar>
              <w:top w:type="dxa" w:w="80"/>
              <w:left w:type="dxa" w:w="120"/>
              <w:bottom w:type="dxa" w:w="80"/>
              <w:right w:type="dxa" w:w="120"/>
            </w:tcMar>
            <w:vAlign w:val="center"/>
          </w:tcPr>
          <w:p>
            <w:pPr>
              <w:jc w:val="center"/>
            </w:pPr>
            <w:r>
              <w:rPr>
                <w:rFonts w:ascii="Arial" w:cs="Arial" w:eastAsia="Arial" w:hAnsi="Arial"/>
                <w:b w:val="false"/>
                <w:bCs w:val="false"/>
                <w:color w:val="0B6E6E"/>
                <w:sz w:val="18"/>
                <w:szCs w:val="18"/>
              </w:rPr>
              <w:t xml:space="preserve">✓</w:t>
            </w:r>
          </w:p>
        </w:tc>
        <w:tc>
          <w:tcPr>
            <w:tcW w:type="dxa" w:w="17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8896B3"/>
                <w:sz w:val="18"/>
                <w:szCs w:val="18"/>
              </w:rPr>
              <w:t xml:space="preserv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Trade License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8896B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8896B3"/>
                <w:sz w:val="18"/>
                <w:szCs w:val="18"/>
              </w:rPr>
              <w:t xml:space="preserve">—</w:t>
            </w:r>
          </w:p>
        </w:tc>
        <w:tc>
          <w:tcPr>
            <w:tcW w:type="dxa" w:w="1740"/>
            <w:tcBorders>
              <w:top w:val="single" w:color="CCCCCC" w:sz="1"/>
              <w:left w:val="single" w:color="CCCCCC" w:sz="1"/>
              <w:bottom w:val="single" w:color="CCCCCC" w:sz="1"/>
              <w:right w:val="single" w:color="CCCCCC" w:sz="1"/>
            </w:tcBorders>
            <w:shd w:fill="E6FAF5" w:val="clear"/>
            <w:tcMar>
              <w:top w:type="dxa" w:w="80"/>
              <w:left w:type="dxa" w:w="120"/>
              <w:bottom w:type="dxa" w:w="80"/>
              <w:right w:type="dxa" w:w="120"/>
            </w:tcMar>
            <w:vAlign w:val="center"/>
          </w:tcPr>
          <w:p>
            <w:pPr>
              <w:jc w:val="center"/>
            </w:pPr>
            <w:r>
              <w:rPr>
                <w:rFonts w:ascii="Arial" w:cs="Arial" w:eastAsia="Arial" w:hAnsi="Arial"/>
                <w:b w:val="false"/>
                <w:bCs w:val="false"/>
                <w:color w:val="0B6E6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8896B3"/>
                <w:sz w:val="18"/>
                <w:szCs w:val="18"/>
              </w:rPr>
              <w:t xml:space="preserve">—</w:t>
            </w:r>
          </w:p>
        </w:tc>
      </w:tr>
      <w:tr>
        <w:trPr>
          <w:tblHeader w:val="false"/>
        </w:trP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Birth Certificate</w:t>
            </w:r>
          </w:p>
        </w:tc>
        <w:tc>
          <w:tcPr>
            <w:tcW w:type="dxa" w:w="17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8896B3"/>
                <w:sz w:val="18"/>
                <w:szCs w:val="18"/>
              </w:rPr>
              <w:t xml:space="preserve">—</w:t>
            </w:r>
          </w:p>
        </w:tc>
        <w:tc>
          <w:tcPr>
            <w:tcW w:type="dxa" w:w="17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8896B3"/>
                <w:sz w:val="18"/>
                <w:szCs w:val="18"/>
              </w:rPr>
              <w:t xml:space="preserve">—</w:t>
            </w:r>
          </w:p>
        </w:tc>
        <w:tc>
          <w:tcPr>
            <w:tcW w:type="dxa" w:w="1740"/>
            <w:tcBorders>
              <w:top w:val="single" w:color="CCCCCC" w:sz="1"/>
              <w:left w:val="single" w:color="CCCCCC" w:sz="1"/>
              <w:bottom w:val="single" w:color="CCCCCC" w:sz="1"/>
              <w:right w:val="single" w:color="CCCCCC" w:sz="1"/>
            </w:tcBorders>
            <w:shd w:fill="E6FAF5" w:val="clear"/>
            <w:tcMar>
              <w:top w:type="dxa" w:w="80"/>
              <w:left w:type="dxa" w:w="120"/>
              <w:bottom w:type="dxa" w:w="80"/>
              <w:right w:type="dxa" w:w="120"/>
            </w:tcMar>
            <w:vAlign w:val="center"/>
          </w:tcPr>
          <w:p>
            <w:pPr>
              <w:jc w:val="center"/>
            </w:pPr>
            <w:r>
              <w:rPr>
                <w:rFonts w:ascii="Arial" w:cs="Arial" w:eastAsia="Arial" w:hAnsi="Arial"/>
                <w:b w:val="false"/>
                <w:bCs w:val="false"/>
                <w:color w:val="0B6E6E"/>
                <w:sz w:val="18"/>
                <w:szCs w:val="18"/>
              </w:rPr>
              <w:t xml:space="preserve">✓</w:t>
            </w:r>
          </w:p>
        </w:tc>
        <w:tc>
          <w:tcPr>
            <w:tcW w:type="dxa" w:w="17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8896B3"/>
                <w:sz w:val="18"/>
                <w:szCs w:val="18"/>
              </w:rPr>
              <w:t xml:space="preserv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Death Certificate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8896B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8896B3"/>
                <w:sz w:val="18"/>
                <w:szCs w:val="18"/>
              </w:rPr>
              <w:t xml:space="preserve">—</w:t>
            </w:r>
          </w:p>
        </w:tc>
        <w:tc>
          <w:tcPr>
            <w:tcW w:type="dxa" w:w="1740"/>
            <w:tcBorders>
              <w:top w:val="single" w:color="CCCCCC" w:sz="1"/>
              <w:left w:val="single" w:color="CCCCCC" w:sz="1"/>
              <w:bottom w:val="single" w:color="CCCCCC" w:sz="1"/>
              <w:right w:val="single" w:color="CCCCCC" w:sz="1"/>
            </w:tcBorders>
            <w:shd w:fill="E6FAF5" w:val="clear"/>
            <w:tcMar>
              <w:top w:type="dxa" w:w="80"/>
              <w:left w:type="dxa" w:w="120"/>
              <w:bottom w:type="dxa" w:w="80"/>
              <w:right w:type="dxa" w:w="120"/>
            </w:tcMar>
            <w:vAlign w:val="center"/>
          </w:tcPr>
          <w:p>
            <w:pPr>
              <w:jc w:val="center"/>
            </w:pPr>
            <w:r>
              <w:rPr>
                <w:rFonts w:ascii="Arial" w:cs="Arial" w:eastAsia="Arial" w:hAnsi="Arial"/>
                <w:b w:val="false"/>
                <w:bCs w:val="false"/>
                <w:color w:val="0B6E6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8896B3"/>
                <w:sz w:val="18"/>
                <w:szCs w:val="18"/>
              </w:rPr>
              <w:t xml:space="preserve">—</w:t>
            </w:r>
          </w:p>
        </w:tc>
      </w:tr>
      <w:tr>
        <w:trPr>
          <w:tblHeader w:val="false"/>
        </w:trP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Building Plan Approval</w:t>
            </w:r>
          </w:p>
        </w:tc>
        <w:tc>
          <w:tcPr>
            <w:tcW w:type="dxa" w:w="17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8896B3"/>
                <w:sz w:val="18"/>
                <w:szCs w:val="18"/>
              </w:rPr>
              <w:t xml:space="preserve">—</w:t>
            </w:r>
          </w:p>
        </w:tc>
        <w:tc>
          <w:tcPr>
            <w:tcW w:type="dxa" w:w="17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8896B3"/>
                <w:sz w:val="18"/>
                <w:szCs w:val="18"/>
              </w:rPr>
              <w:t xml:space="preserve">—</w:t>
            </w:r>
          </w:p>
        </w:tc>
        <w:tc>
          <w:tcPr>
            <w:tcW w:type="dxa" w:w="1740"/>
            <w:tcBorders>
              <w:top w:val="single" w:color="CCCCCC" w:sz="1"/>
              <w:left w:val="single" w:color="CCCCCC" w:sz="1"/>
              <w:bottom w:val="single" w:color="CCCCCC" w:sz="1"/>
              <w:right w:val="single" w:color="CCCCCC" w:sz="1"/>
            </w:tcBorders>
            <w:shd w:fill="E6FAF5" w:val="clear"/>
            <w:tcMar>
              <w:top w:type="dxa" w:w="80"/>
              <w:left w:type="dxa" w:w="120"/>
              <w:bottom w:type="dxa" w:w="80"/>
              <w:right w:type="dxa" w:w="120"/>
            </w:tcMar>
            <w:vAlign w:val="center"/>
          </w:tcPr>
          <w:p>
            <w:pPr>
              <w:jc w:val="center"/>
            </w:pPr>
            <w:r>
              <w:rPr>
                <w:rFonts w:ascii="Arial" w:cs="Arial" w:eastAsia="Arial" w:hAnsi="Arial"/>
                <w:b w:val="false"/>
                <w:bCs w:val="false"/>
                <w:color w:val="0B6E6E"/>
                <w:sz w:val="18"/>
                <w:szCs w:val="18"/>
              </w:rPr>
              <w:t xml:space="preserve">✓</w:t>
            </w:r>
          </w:p>
        </w:tc>
        <w:tc>
          <w:tcPr>
            <w:tcW w:type="dxa" w:w="17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8896B3"/>
                <w:sz w:val="18"/>
                <w:szCs w:val="18"/>
              </w:rPr>
              <w:t xml:space="preserv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Property Tax Payment</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8896B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8896B3"/>
                <w:sz w:val="18"/>
                <w:szCs w:val="18"/>
              </w:rPr>
              <w:t xml:space="preserve">—</w:t>
            </w:r>
          </w:p>
        </w:tc>
        <w:tc>
          <w:tcPr>
            <w:tcW w:type="dxa" w:w="1740"/>
            <w:tcBorders>
              <w:top w:val="single" w:color="CCCCCC" w:sz="1"/>
              <w:left w:val="single" w:color="CCCCCC" w:sz="1"/>
              <w:bottom w:val="single" w:color="CCCCCC" w:sz="1"/>
              <w:right w:val="single" w:color="CCCCCC" w:sz="1"/>
            </w:tcBorders>
            <w:shd w:fill="E6FAF5" w:val="clear"/>
            <w:tcMar>
              <w:top w:type="dxa" w:w="80"/>
              <w:left w:type="dxa" w:w="120"/>
              <w:bottom w:type="dxa" w:w="80"/>
              <w:right w:type="dxa" w:w="120"/>
            </w:tcMar>
            <w:vAlign w:val="center"/>
          </w:tcPr>
          <w:p>
            <w:pPr>
              <w:jc w:val="center"/>
            </w:pPr>
            <w:r>
              <w:rPr>
                <w:rFonts w:ascii="Arial" w:cs="Arial" w:eastAsia="Arial" w:hAnsi="Arial"/>
                <w:b w:val="false"/>
                <w:bCs w:val="false"/>
                <w:color w:val="0B6E6E"/>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8896B3"/>
                <w:sz w:val="18"/>
                <w:szCs w:val="18"/>
              </w:rPr>
              <w:t xml:space="preserve">—</w:t>
            </w:r>
          </w:p>
        </w:tc>
      </w:tr>
    </w:tbl>
    <w:p>
      <w:pPr>
        <w:spacing w:before="80" w:after="80"/>
      </w:pPr>
      <w:r>
        <w:t xml:space="preserve"/>
      </w:r>
    </w:p>
    <w:p>
      <w:pPr>
        <w:spacing w:before="80" w:after="80"/>
      </w:pPr>
      <w:r>
        <w:rPr>
          <w:rFonts w:ascii="Arial" w:cs="Arial" w:eastAsia="Arial" w:hAnsi="Arial"/>
          <w:sz w:val="20"/>
          <w:szCs w:val="20"/>
        </w:rPr>
        <w:t xml:space="preserve">Total implemented API endpoints: 40+, all verified against the kiosk department catalogue in src/api/kiosk/router.py.</w:t>
      </w:r>
    </w:p>
    <w:p>
      <w:pPr>
        <w:spacing w:before="80" w:after="80"/>
      </w:pPr>
      <w:r>
        <w:t xml:space="preserve"/>
      </w:r>
    </w:p>
    <w:p>
      <w:pPr>
        <w:pStyle w:val="Heading2"/>
        <w:spacing w:before="240" w:after="120"/>
      </w:pPr>
      <w:r>
        <w:rPr>
          <w:rFonts w:ascii="Arial" w:cs="Arial" w:eastAsia="Arial" w:hAnsi="Arial"/>
          <w:b/>
          <w:bCs/>
          <w:color w:val="0B6E6E"/>
          <w:sz w:val="26"/>
          <w:szCs w:val="26"/>
        </w:rPr>
        <w:t xml:space="preserve">6.2 Electricity Department (src/api/electricity/router.py)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576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/api/v1/electricity/bills/{user_id}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Fetch all unpaid bills for a user's registered meters</w:t>
            </w:r>
          </w:p>
        </w:tc>
      </w:tr>
      <w:tr>
        <w:trPr>
          <w:tblHeader w:val="false"/>
        </w:trPr>
        <w:tc>
          <w:tcPr>
            <w:tcW w:type="dxa" w:w="3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/api/v1/electricity/pay-bill</w:t>
            </w:r>
          </w:p>
        </w:tc>
        <w:tc>
          <w:tcPr>
            <w:tcW w:type="dxa" w:w="5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Pay a bill — mock or real gateway, returns receipt</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/api/v1/electricity/new-connection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Apply for new electricity connection</w:t>
            </w:r>
          </w:p>
        </w:tc>
      </w:tr>
      <w:tr>
        <w:trPr>
          <w:tblHeader w:val="false"/>
        </w:trPr>
        <w:tc>
          <w:tcPr>
            <w:tcW w:type="dxa" w:w="3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/api/v1/electricity/meter-change</w:t>
            </w:r>
          </w:p>
        </w:tc>
        <w:tc>
          <w:tcPr>
            <w:tcW w:type="dxa" w:w="5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Request meter replacement</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/api/v1/electricity/transfer-service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Transfer service to a new owner</w:t>
            </w:r>
          </w:p>
        </w:tc>
      </w:tr>
      <w:tr>
        <w:trPr>
          <w:tblHeader w:val="false"/>
        </w:trPr>
        <w:tc>
          <w:tcPr>
            <w:tcW w:type="dxa" w:w="3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/api/v1/electricity/meter-reading</w:t>
            </w:r>
          </w:p>
        </w:tc>
        <w:tc>
          <w:tcPr>
            <w:tcW w:type="dxa" w:w="5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Submit meter reading</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/api/v1/electricity/complaint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Lodge complaint / grievance</w:t>
            </w:r>
          </w:p>
        </w:tc>
      </w:tr>
    </w:tbl>
    <w:p>
      <w:pPr>
        <w:spacing w:before="80" w:after="80"/>
      </w:pPr>
      <w:r>
        <w:t xml:space="preserve"/>
      </w:r>
    </w:p>
    <w:p>
      <w:pPr>
        <w:pStyle w:val="Heading2"/>
        <w:spacing w:before="240" w:after="120"/>
      </w:pPr>
      <w:r>
        <w:rPr>
          <w:rFonts w:ascii="Arial" w:cs="Arial" w:eastAsia="Arial" w:hAnsi="Arial"/>
          <w:b/>
          <w:bCs/>
          <w:color w:val="0B6E6E"/>
          <w:sz w:val="26"/>
          <w:szCs w:val="26"/>
        </w:rPr>
        <w:t xml:space="preserve">6.3 Water Department (src/api/water/router.py)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576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/api/v1/water/bills/{user_id}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Fetch unpaid water bills</w:t>
            </w:r>
          </w:p>
        </w:tc>
      </w:tr>
      <w:tr>
        <w:trPr>
          <w:tblHeader w:val="false"/>
        </w:trPr>
        <w:tc>
          <w:tcPr>
            <w:tcW w:type="dxa" w:w="3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/api/v1/water/pay-bill</w:t>
            </w:r>
          </w:p>
        </w:tc>
        <w:tc>
          <w:tcPr>
            <w:tcW w:type="dxa" w:w="5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Pay water bill</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/api/v1/water/new-connection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Apply for new water connection</w:t>
            </w:r>
          </w:p>
        </w:tc>
      </w:tr>
      <w:tr>
        <w:trPr>
          <w:tblHeader w:val="false"/>
        </w:trPr>
        <w:tc>
          <w:tcPr>
            <w:tcW w:type="dxa" w:w="3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/api/v1/water/meter-change</w:t>
            </w:r>
          </w:p>
        </w:tc>
        <w:tc>
          <w:tcPr>
            <w:tcW w:type="dxa" w:w="5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Request water meter replacement</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/api/v1/water/meter-reading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Submit meter reading</w:t>
            </w:r>
          </w:p>
        </w:tc>
      </w:tr>
      <w:tr>
        <w:trPr>
          <w:tblHeader w:val="false"/>
        </w:trPr>
        <w:tc>
          <w:tcPr>
            <w:tcW w:type="dxa" w:w="3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/api/v1/water/leak-complaint</w:t>
            </w:r>
          </w:p>
        </w:tc>
        <w:tc>
          <w:tcPr>
            <w:tcW w:type="dxa" w:w="5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Report a water leak</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/api/v1/water/complaint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Lodge general complaint / grievance</w:t>
            </w:r>
          </w:p>
        </w:tc>
      </w:tr>
    </w:tbl>
    <w:p>
      <w:pPr>
        <w:spacing w:before="80" w:after="80"/>
      </w:pPr>
      <w:r>
        <w:t xml:space="preserve"/>
      </w:r>
    </w:p>
    <w:p>
      <w:pPr>
        <w:pStyle w:val="Heading2"/>
        <w:spacing w:before="240" w:after="120"/>
      </w:pPr>
      <w:r>
        <w:rPr>
          <w:rFonts w:ascii="Arial" w:cs="Arial" w:eastAsia="Arial" w:hAnsi="Arial"/>
          <w:b/>
          <w:bCs/>
          <w:color w:val="0B6E6E"/>
          <w:sz w:val="26"/>
          <w:szCs w:val="26"/>
        </w:rPr>
        <w:t xml:space="preserve">6.4 Municipal Department (src/api/municipal/router.py)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576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/api/v1/municipal/bills/{user_id}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Fetch outstanding property tax</w:t>
            </w:r>
          </w:p>
        </w:tc>
      </w:tr>
      <w:tr>
        <w:trPr>
          <w:tblHeader w:val="false"/>
        </w:trPr>
        <w:tc>
          <w:tcPr>
            <w:tcW w:type="dxa" w:w="3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/api/v1/municipal/property-tax</w:t>
            </w:r>
          </w:p>
        </w:tc>
        <w:tc>
          <w:tcPr>
            <w:tcW w:type="dxa" w:w="5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Pay property tax — payment-enabled</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/api/v1/municipal/trade-license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Apply for or renew trade license (is_renewal flag)</w:t>
            </w:r>
          </w:p>
        </w:tc>
      </w:tr>
      <w:tr>
        <w:trPr>
          <w:tblHeader w:val="false"/>
        </w:trPr>
        <w:tc>
          <w:tcPr>
            <w:tcW w:type="dxa" w:w="3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/api/v1/municipal/birth-certificate</w:t>
            </w:r>
          </w:p>
        </w:tc>
        <w:tc>
          <w:tcPr>
            <w:tcW w:type="dxa" w:w="5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Request birth certificate</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/api/v1/municipal/death-certificate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Request death certificate</w:t>
            </w:r>
          </w:p>
        </w:tc>
      </w:tr>
      <w:tr>
        <w:trPr>
          <w:tblHeader w:val="false"/>
        </w:trPr>
        <w:tc>
          <w:tcPr>
            <w:tcW w:type="dxa" w:w="3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/api/v1/municipal/building-plan</w:t>
            </w:r>
          </w:p>
        </w:tc>
        <w:tc>
          <w:tcPr>
            <w:tcW w:type="dxa" w:w="5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Submit building plan approval application</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/api/v1/municipal/complaint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Lodge sanitation / civic complaint</w:t>
            </w:r>
          </w:p>
        </w:tc>
      </w:tr>
      <w:tr>
        <w:trPr>
          <w:tblHeader w:val="false"/>
        </w:trPr>
        <w:tc>
          <w:tcPr>
            <w:tcW w:type="dxa" w:w="3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/api/v1/municipal/grievance</w:t>
            </w:r>
          </w:p>
        </w:tc>
        <w:tc>
          <w:tcPr>
            <w:tcW w:type="dxa" w:w="5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Submit general grievance (7-day response SLA in response message)</w:t>
            </w:r>
          </w:p>
        </w:tc>
      </w:tr>
    </w:tbl>
    <w:p>
      <w:pPr>
        <w:spacing w:before="80" w:after="80"/>
      </w:pPr>
      <w:r>
        <w:t xml:space="preserve"/>
      </w:r>
    </w:p>
    <w:p>
      <w:pPr>
        <w:pStyle w:val="Heading2"/>
        <w:spacing w:before="240" w:after="120"/>
      </w:pPr>
      <w:r>
        <w:rPr>
          <w:rFonts w:ascii="Arial" w:cs="Arial" w:eastAsia="Arial" w:hAnsi="Arial"/>
          <w:b/>
          <w:bCs/>
          <w:color w:val="0B6E6E"/>
          <w:sz w:val="26"/>
          <w:szCs w:val="26"/>
        </w:rPr>
        <w:t xml:space="preserve">6.5 Kiosk &amp; Admin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556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/kiosk/departments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department catalogue with active status and service lists</w:t>
            </w:r>
          </w:p>
        </w:tc>
      </w:tr>
      <w:tr>
        <w:trPr>
          <w:tblHeader w:val="false"/>
        </w:trPr>
        <w:tc>
          <w:tcPr>
            <w:tcW w:type="dxa" w:w="3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/kiosk/session/start</w:t>
            </w:r>
          </w:p>
        </w:tc>
        <w:tc>
          <w:tcPr>
            <w:tcW w:type="dxa" w:w="5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Begin citizen kiosk session — generates and sends OTP</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/kiosk/session/verify-otp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Validate OTP — issues session_token, creates Razorpay customer</w:t>
            </w:r>
          </w:p>
        </w:tc>
      </w:tr>
      <w:tr>
        <w:trPr>
          <w:tblHeader w:val="false"/>
        </w:trPr>
        <w:tc>
          <w:tcPr>
            <w:tcW w:type="dxa" w:w="3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/kiosk/session/validate</w:t>
            </w:r>
          </w:p>
        </w:tc>
        <w:tc>
          <w:tcPr>
            <w:tcW w:type="dxa" w:w="5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Lightweight token check before any service request</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/kiosk/session/end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Invalidate session on Done/Exit</w:t>
            </w:r>
          </w:p>
        </w:tc>
      </w:tr>
      <w:tr>
        <w:trPr>
          <w:tblHeader w:val="false"/>
        </w:trPr>
        <w:tc>
          <w:tcPr>
            <w:tcW w:type="dxa" w:w="3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/admin/login</w:t>
            </w:r>
          </w:p>
        </w:tc>
        <w:tc>
          <w:tcPr>
            <w:tcW w:type="dxa" w:w="5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 JWT authentication</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/admin/requests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 service requests (dept-scoped automatically)</w:t>
            </w:r>
          </w:p>
        </w:tc>
      </w:tr>
      <w:tr>
        <w:trPr>
          <w:tblHeader w:val="false"/>
        </w:trPr>
        <w:tc>
          <w:tcPr>
            <w:tcW w:type="dxa" w:w="3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PATCH /admin/requests/{id}/status</w:t>
            </w:r>
          </w:p>
        </w:tc>
        <w:tc>
          <w:tcPr>
            <w:tcW w:type="dxa" w:w="5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Approve / deny / deliver a service request</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/admin/payments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View payment records (dept-scoped)</w:t>
            </w:r>
          </w:p>
        </w:tc>
      </w:tr>
      <w:tr>
        <w:trPr>
          <w:tblHeader w:val="false"/>
        </w:trPr>
        <w:tc>
          <w:tcPr>
            <w:tcW w:type="dxa" w:w="3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/admin/merchant/setup</w:t>
            </w:r>
          </w:p>
        </w:tc>
        <w:tc>
          <w:tcPr>
            <w:tcW w:type="dxa" w:w="5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 payment gateway merchant credentials</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/admin/kiosk-config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Super-admin: set Razorpay keys per department (super_admin only)</w:t>
            </w:r>
          </w:p>
        </w:tc>
      </w:tr>
      <w:tr>
        <w:trPr>
          <w:tblHeader w:val="false"/>
        </w:trPr>
        <w:tc>
          <w:tcPr>
            <w:tcW w:type="dxa" w:w="3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/health</w:t>
            </w:r>
          </w:p>
        </w:tc>
        <w:tc>
          <w:tcPr>
            <w:tcW w:type="dxa" w:w="5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Health check — used by Orchestrator for connectivity detection</w:t>
            </w:r>
          </w:p>
        </w:tc>
      </w:tr>
    </w:tbl>
    <w:p>
      <w:r>
        <w:br w:type="page"/>
      </w:r>
    </w:p>
    <w:p>
      <w:pPr>
        <w:pStyle w:val="Heading1"/>
        <w:pBdr>
          <w:bottom w:val="single" w:color="0B6E6E" w:sz="8" w:space="4"/>
        </w:pBdr>
        <w:spacing w:before="320" w:after="160"/>
      </w:pPr>
      <w:r>
        <w:rPr>
          <w:rFonts w:ascii="Arial" w:cs="Arial" w:eastAsia="Arial" w:hAnsi="Arial"/>
          <w:b/>
          <w:bCs/>
          <w:color w:val="0F2044"/>
          <w:sz w:val="32"/>
          <w:szCs w:val="32"/>
        </w:rPr>
        <w:t xml:space="preserve">7. Multilingual Architecture</w:t>
      </w:r>
    </w:p>
    <w:p>
      <w:pPr>
        <w:pStyle w:val="Heading2"/>
        <w:spacing w:before="240" w:after="120"/>
      </w:pPr>
      <w:r>
        <w:rPr>
          <w:rFonts w:ascii="Arial" w:cs="Arial" w:eastAsia="Arial" w:hAnsi="Arial"/>
          <w:b/>
          <w:bCs/>
          <w:color w:val="0B6E6E"/>
          <w:sz w:val="26"/>
          <w:szCs w:val="26"/>
        </w:rPr>
        <w:t xml:space="preserve">7.1 Design Philosophy</w:t>
      </w:r>
    </w:p>
    <w:p>
      <w:pPr>
        <w:spacing w:before="80" w:after="80"/>
      </w:pPr>
      <w:r>
        <w:rPr>
          <w:rFonts w:ascii="Arial" w:cs="Arial" w:eastAsia="Arial" w:hAnsi="Arial"/>
          <w:sz w:val="20"/>
          <w:szCs w:val="20"/>
        </w:rPr>
        <w:t xml:space="preserve">Language support is the single most visible accessibility differentiator. The architecture is designed so that adding a 9th language requires exactly 3 steps and zero component changes:</w:t>
      </w:r>
    </w:p>
    <w:p>
      <w:pPr>
        <w:spacing w:before="80" w:after="80"/>
      </w:pPr>
      <w:r>
        <w:t xml:space="preserve"/>
      </w:r>
    </w:p>
    <w:p>
      <w:pPr>
        <w:pStyle w:val="ListParagraph"/>
        <w:numPr>
          <w:ilvl w:val="0"/>
          <w:numId w:val="3"/>
        </w:numPr>
        <w:spacing w:before="60" w:after="60"/>
      </w:pPr>
      <w:r>
        <w:rPr>
          <w:rFonts w:ascii="Arial" w:cs="Arial" w:eastAsia="Arial" w:hAnsi="Arial"/>
          <w:sz w:val="20"/>
          <w:szCs w:val="20"/>
        </w:rPr>
        <w:t xml:space="preserve">Create src/modules/language/locales/[code].json with all translation keys</w:t>
      </w:r>
    </w:p>
    <w:p>
      <w:pPr>
        <w:pStyle w:val="ListParagraph"/>
        <w:numPr>
          <w:ilvl w:val="0"/>
          <w:numId w:val="3"/>
        </w:numPr>
        <w:spacing w:before="60" w:after="60"/>
      </w:pPr>
      <w:r>
        <w:rPr>
          <w:rFonts w:ascii="Arial" w:cs="Arial" w:eastAsia="Arial" w:hAnsi="Arial"/>
          <w:sz w:val="20"/>
          <w:szCs w:val="20"/>
        </w:rPr>
        <w:t xml:space="preserve">Import it in i18n.js and add to the resources object</w:t>
      </w:r>
    </w:p>
    <w:p>
      <w:pPr>
        <w:pStyle w:val="ListParagraph"/>
        <w:numPr>
          <w:ilvl w:val="0"/>
          <w:numId w:val="3"/>
        </w:numPr>
        <w:spacing w:before="60" w:after="60"/>
      </w:pPr>
      <w:r>
        <w:rPr>
          <w:rFonts w:ascii="Arial" w:cs="Arial" w:eastAsia="Arial" w:hAnsi="Arial"/>
          <w:sz w:val="20"/>
          <w:szCs w:val="20"/>
        </w:rPr>
        <w:t xml:space="preserve">Add the entry to SUPPORTED_LANGUAGES in config/languages.js</w:t>
      </w:r>
    </w:p>
    <w:p>
      <w:pPr>
        <w:spacing w:before="80" w:after="80"/>
      </w:pPr>
      <w:r>
        <w:t xml:space="preserve"/>
      </w:r>
    </w:p>
    <w:p>
      <w:pPr>
        <w:pStyle w:val="Heading2"/>
        <w:spacing w:before="240" w:after="120"/>
      </w:pPr>
      <w:r>
        <w:rPr>
          <w:rFonts w:ascii="Arial" w:cs="Arial" w:eastAsia="Arial" w:hAnsi="Arial"/>
          <w:b/>
          <w:bCs/>
          <w:color w:val="0B6E6E"/>
          <w:sz w:val="26"/>
          <w:szCs w:val="26"/>
        </w:rPr>
        <w:t xml:space="preserve">7.2 Supported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816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Language</w:t>
            </w:r>
          </w:p>
        </w:tc>
        <w:tc>
          <w:tcPr>
            <w:tcW w:type="dxa" w:w="816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Script</w:t>
            </w:r>
          </w:p>
        </w:tc>
        <w:tc>
          <w:tcPr>
            <w:tcW w:type="dxa" w:w="816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Coverage</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English</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Latin</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Complete — reference locale</w:t>
            </w:r>
          </w:p>
        </w:tc>
      </w:tr>
      <w:tr>
        <w:trPr>
          <w:tblHeader w:val="false"/>
        </w:trPr>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hi</w:t>
            </w:r>
          </w:p>
        </w:tc>
        <w:tc>
          <w:tcPr>
            <w:tcW w:type="dxa" w:w="8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Hindi</w:t>
            </w:r>
          </w:p>
        </w:tc>
        <w:tc>
          <w:tcPr>
            <w:tcW w:type="dxa" w:w="8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Devanagari</w:t>
            </w:r>
          </w:p>
        </w:tc>
        <w:tc>
          <w:tcPr>
            <w:tcW w:type="dxa" w:w="8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Complete</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Odia</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Odia</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Complete</w:t>
            </w:r>
          </w:p>
        </w:tc>
      </w:tr>
      <w:tr>
        <w:trPr>
          <w:tblHeader w:val="false"/>
        </w:trPr>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te</w:t>
            </w:r>
          </w:p>
        </w:tc>
        <w:tc>
          <w:tcPr>
            <w:tcW w:type="dxa" w:w="8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Telugu</w:t>
            </w:r>
          </w:p>
        </w:tc>
        <w:tc>
          <w:tcPr>
            <w:tcW w:type="dxa" w:w="8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Telugu</w:t>
            </w:r>
          </w:p>
        </w:tc>
        <w:tc>
          <w:tcPr>
            <w:tcW w:type="dxa" w:w="8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Complete</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Tamil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Tamil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Complete</w:t>
            </w:r>
          </w:p>
        </w:tc>
      </w:tr>
      <w:tr>
        <w:trPr>
          <w:tblHeader w:val="false"/>
        </w:trPr>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kn</w:t>
            </w:r>
          </w:p>
        </w:tc>
        <w:tc>
          <w:tcPr>
            <w:tcW w:type="dxa" w:w="8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Kannada</w:t>
            </w:r>
          </w:p>
        </w:tc>
        <w:tc>
          <w:tcPr>
            <w:tcW w:type="dxa" w:w="8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Kannada</w:t>
            </w:r>
          </w:p>
        </w:tc>
        <w:tc>
          <w:tcPr>
            <w:tcW w:type="dxa" w:w="8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Complete</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mr</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Marathi</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Devanagari</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Complete</w:t>
            </w:r>
          </w:p>
        </w:tc>
      </w:tr>
      <w:tr>
        <w:trPr>
          <w:tblHeader w:val="false"/>
        </w:trPr>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ma</w:t>
            </w:r>
          </w:p>
        </w:tc>
        <w:tc>
          <w:tcPr>
            <w:tcW w:type="dxa" w:w="8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Manipuri</w:t>
            </w:r>
          </w:p>
        </w:tc>
        <w:tc>
          <w:tcPr>
            <w:tcW w:type="dxa" w:w="8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Meitei-Mayek</w:t>
            </w:r>
          </w:p>
        </w:tc>
        <w:tc>
          <w:tcPr>
            <w:tcW w:type="dxa" w:w="8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Complete — likely unique among SUVIDHA 2026 entries</w:t>
            </w:r>
          </w:p>
        </w:tc>
      </w:tr>
    </w:tbl>
    <w:p>
      <w:pPr>
        <w:spacing w:before="80" w:after="80"/>
      </w:pPr>
      <w:r>
        <w:t xml:space="preserve"/>
      </w:r>
    </w:p>
    <w:p>
      <w:pPr>
        <w:spacing w:before="80" w:after="80"/>
      </w:pPr>
      <w:r>
        <w:rPr>
          <w:rFonts w:ascii="Arial" w:cs="Arial" w:eastAsia="Arial" w:hAnsi="Arial"/>
          <w:sz w:val="20"/>
          <w:szCs w:val="20"/>
        </w:rPr>
        <w:t xml:space="preserve">Meitei-Mayek (Manipuri) is included as a key differentiator for North East India coverage. The locale covers all navigation, authentication, dashboard, service, status, and common translation keys.</w:t>
      </w:r>
    </w:p>
    <w:p>
      <w:pPr>
        <w:spacing w:before="80" w:after="80"/>
      </w:pPr>
      <w:r>
        <w:t xml:space="preserve"/>
      </w:r>
    </w:p>
    <w:p>
      <w:pPr>
        <w:spacing w:before="80" w:after="80"/>
      </w:pPr>
      <w:r>
        <w:rPr>
          <w:rFonts w:ascii="Arial" w:cs="Arial" w:eastAsia="Arial" w:hAnsi="Arial"/>
          <w:sz w:val="20"/>
          <w:szCs w:val="20"/>
        </w:rPr>
        <w:t xml:space="preserve">Language selection is persisted to localStorage (koisk_language key) and rehydrated on every app load. The fallback language is English.</w:t>
      </w:r>
    </w:p>
    <w:p>
      <w:r>
        <w:br w:type="page"/>
      </w:r>
    </w:p>
    <w:p>
      <w:pPr>
        <w:pStyle w:val="Heading1"/>
        <w:pBdr>
          <w:bottom w:val="single" w:color="0B6E6E" w:sz="8" w:space="4"/>
        </w:pBdr>
        <w:spacing w:before="320" w:after="160"/>
      </w:pPr>
      <w:r>
        <w:rPr>
          <w:rFonts w:ascii="Arial" w:cs="Arial" w:eastAsia="Arial" w:hAnsi="Arial"/>
          <w:b/>
          <w:bCs/>
          <w:color w:val="0F2044"/>
          <w:sz w:val="32"/>
          <w:szCs w:val="32"/>
        </w:rPr>
        <w:t xml:space="preserve">8. Accessibility &amp; Kiosk UX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616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c>
          <w:tcPr>
            <w:tcW w:type="dxa" w:w="616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Judging Pillar</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Minimum touch target 64×64 px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buttons: min-h-[64px] min-w-[64px] in Tailwind design system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UI/UX + Accessibility</w:t>
            </w:r>
          </w:p>
        </w:tc>
      </w:tr>
      <w:tr>
        <w:trPr>
          <w:tblHeader w:val="false"/>
        </w:trPr>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Virtual keyboard</w:t>
            </w:r>
          </w:p>
        </w:tc>
        <w:tc>
          <w:tcPr>
            <w:tcW w:type="dxa" w:w="6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KeyboardContext + Keyboard.jsx — appears on input focus; cursor-aware insertion; no focus steal</w:t>
            </w:r>
          </w:p>
        </w:tc>
        <w:tc>
          <w:tcPr>
            <w:tcW w:type="dxa" w:w="6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UI/UX</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8-language first screen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LanguageSelect is the root route (/); user picks language before any other action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Accessibility</w:t>
            </w:r>
          </w:p>
        </w:tc>
      </w:tr>
      <w:tr>
        <w:trPr>
          <w:tblHeader w:val="false"/>
        </w:trPr>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PIN login (no literacy barrier)</w:t>
            </w:r>
          </w:p>
        </w:tc>
        <w:tc>
          <w:tcPr>
            <w:tcW w:type="dxa" w:w="6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4-digit numeric PIN — no complex password requirements; numeric keyboard overlay</w:t>
            </w:r>
          </w:p>
        </w:tc>
        <w:tc>
          <w:tcPr>
            <w:tcW w:type="dxa" w:w="6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Accessibility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Demo mode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loginDemo() — instant access with pre-seeded data; no registration needed for kiosk demonstrations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UI/UX</w:t>
            </w:r>
          </w:p>
        </w:tc>
      </w:tr>
      <w:tr>
        <w:trPr>
          <w:tblHeader w:val="false"/>
        </w:trPr>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User-select disabled on body</w:t>
            </w:r>
          </w:p>
        </w:tc>
        <w:tc>
          <w:tcPr>
            <w:tcW w:type="dxa" w:w="6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CSS user-select: none on html; re-enabled on input/textarea — prevents accidental text selection on touchscreen</w:t>
            </w:r>
          </w:p>
        </w:tc>
        <w:tc>
          <w:tcPr>
            <w:tcW w:type="dxa" w:w="6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UI/UX</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Offline banner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OfflineBanner component surfaces connectivity state; citizen knows if payment is queued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Reliability</w:t>
            </w:r>
          </w:p>
        </w:tc>
      </w:tr>
      <w:tr>
        <w:trPr>
          <w:tblHeader w:val="false"/>
        </w:trPr>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Session timeout</w:t>
            </w:r>
          </w:p>
        </w:tc>
        <w:tc>
          <w:tcPr>
            <w:tcW w:type="dxa" w:w="6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8-hour citizen session, 30-minute kiosk OTP session — auto-logout prevents data leakage on shared terminal</w:t>
            </w:r>
          </w:p>
        </w:tc>
        <w:tc>
          <w:tcPr>
            <w:tcW w:type="dxa" w:w="6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Security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Large fonts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Tailwind design system: font-display (Sora), text-lg/xl for all primary labels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Accessibility</w:t>
            </w:r>
          </w:p>
        </w:tc>
      </w:tr>
      <w:tr>
        <w:trPr>
          <w:tblHeader w:val="false"/>
        </w:trPr>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 contrast</w:t>
            </w:r>
          </w:p>
        </w:tc>
        <w:tc>
          <w:tcPr>
            <w:tcW w:type="dxa" w:w="6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koisk-navy (#0F2044) on koisk-surface (#F0F4FA) — 9.1:1 contrast ratio</w:t>
            </w:r>
          </w:p>
        </w:tc>
        <w:tc>
          <w:tcPr>
            <w:tcW w:type="dxa" w:w="6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Accessibility</w:t>
            </w:r>
          </w:p>
        </w:tc>
      </w:tr>
    </w:tbl>
    <w:p>
      <w:r>
        <w:br w:type="page"/>
      </w:r>
    </w:p>
    <w:p>
      <w:pPr>
        <w:pStyle w:val="Heading1"/>
        <w:pBdr>
          <w:bottom w:val="single" w:color="0B6E6E" w:sz="8" w:space="4"/>
        </w:pBdr>
        <w:spacing w:before="320" w:after="160"/>
      </w:pPr>
      <w:r>
        <w:rPr>
          <w:rFonts w:ascii="Arial" w:cs="Arial" w:eastAsia="Arial" w:hAnsi="Arial"/>
          <w:b/>
          <w:bCs/>
          <w:color w:val="0F2044"/>
          <w:sz w:val="32"/>
          <w:szCs w:val="32"/>
        </w:rPr>
        <w:t xml:space="preserve">9. C-DAC Judging Criteria — Requirements Mapping</w:t>
      </w:r>
    </w:p>
    <w:p>
      <w:pPr>
        <w:pStyle w:val="Heading2"/>
        <w:spacing w:before="240" w:after="120"/>
      </w:pPr>
      <w:r>
        <w:rPr>
          <w:rFonts w:ascii="Arial" w:cs="Arial" w:eastAsia="Arial" w:hAnsi="Arial"/>
          <w:b/>
          <w:bCs/>
          <w:color w:val="0B6E6E"/>
          <w:sz w:val="26"/>
          <w:szCs w:val="26"/>
        </w:rPr>
        <w:t xml:space="preserve">Pillar 1: UI/UX Optimisation</w:t>
      </w:r>
    </w:p>
    <w:p>
      <w:pPr>
        <w:pStyle w:val="ListParagraph"/>
        <w:numPr>
          <w:ilvl w:val="0"/>
          <w:numId w:val="2"/>
        </w:numPr>
        <w:spacing w:before="60" w:after="60"/>
      </w:pPr>
      <w:r>
        <w:rPr>
          <w:rFonts w:ascii="Arial" w:cs="Arial" w:eastAsia="Arial" w:hAnsi="Arial"/>
          <w:b w:val="false"/>
          <w:bCs w:val="false"/>
          <w:sz w:val="20"/>
          <w:szCs w:val="20"/>
        </w:rPr>
        <w:t xml:space="preserve">Touch-first design: all interactive elements meet 64×64 px minimum target size</w:t>
      </w:r>
    </w:p>
    <w:p>
      <w:pPr>
        <w:pStyle w:val="ListParagraph"/>
        <w:numPr>
          <w:ilvl w:val="0"/>
          <w:numId w:val="2"/>
        </w:numPr>
        <w:spacing w:before="60" w:after="60"/>
      </w:pPr>
      <w:r>
        <w:rPr>
          <w:rFonts w:ascii="Arial" w:cs="Arial" w:eastAsia="Arial" w:hAnsi="Arial"/>
          <w:b w:val="false"/>
          <w:bCs w:val="false"/>
          <w:sz w:val="20"/>
          <w:szCs w:val="20"/>
        </w:rPr>
        <w:t xml:space="preserve">Virtual keyboard: KeyboardContext provides a floating QWERTY keyboard for any &lt;input&gt; on the kiosk terminal</w:t>
      </w:r>
    </w:p>
    <w:p>
      <w:pPr>
        <w:pStyle w:val="ListParagraph"/>
        <w:numPr>
          <w:ilvl w:val="0"/>
          <w:numId w:val="2"/>
        </w:numPr>
        <w:spacing w:before="60" w:after="60"/>
      </w:pPr>
      <w:r>
        <w:rPr>
          <w:rFonts w:ascii="Arial" w:cs="Arial" w:eastAsia="Arial" w:hAnsi="Arial"/>
          <w:b w:val="false"/>
          <w:bCs w:val="false"/>
          <w:sz w:val="20"/>
          <w:szCs w:val="20"/>
        </w:rPr>
        <w:t xml:space="preserve">Language-first flow: language selection is the entry point to the entire application</w:t>
      </w:r>
    </w:p>
    <w:p>
      <w:pPr>
        <w:pStyle w:val="ListParagraph"/>
        <w:numPr>
          <w:ilvl w:val="0"/>
          <w:numId w:val="2"/>
        </w:numPr>
        <w:spacing w:before="60" w:after="60"/>
      </w:pPr>
      <w:r>
        <w:rPr>
          <w:rFonts w:ascii="Arial" w:cs="Arial" w:eastAsia="Arial" w:hAnsi="Arial"/>
          <w:b w:val="false"/>
          <w:bCs w:val="false"/>
          <w:sz w:val="20"/>
          <w:szCs w:val="20"/>
        </w:rPr>
        <w:t xml:space="preserve">3-screen payment wizard: PaymentFlow → PaymentMethodSelector → ReceiptScreen</w:t>
      </w:r>
    </w:p>
    <w:p>
      <w:pPr>
        <w:pStyle w:val="ListParagraph"/>
        <w:numPr>
          <w:ilvl w:val="0"/>
          <w:numId w:val="2"/>
        </w:numPr>
        <w:spacing w:before="60" w:after="60"/>
      </w:pPr>
      <w:r>
        <w:rPr>
          <w:rFonts w:ascii="Arial" w:cs="Arial" w:eastAsia="Arial" w:hAnsi="Arial"/>
          <w:b w:val="false"/>
          <w:bCs w:val="false"/>
          <w:sz w:val="20"/>
          <w:szCs w:val="20"/>
        </w:rPr>
        <w:t xml:space="preserve">Offline-first: works without internet using IndexedDB — citizen is never blocked by connectivity</w:t>
      </w:r>
    </w:p>
    <w:p>
      <w:pPr>
        <w:spacing w:before="80" w:after="80"/>
      </w:pPr>
      <w:r>
        <w:t xml:space="preserve"/>
      </w:r>
    </w:p>
    <w:p>
      <w:pPr>
        <w:pStyle w:val="Heading2"/>
        <w:spacing w:before="240" w:after="120"/>
      </w:pPr>
      <w:r>
        <w:rPr>
          <w:rFonts w:ascii="Arial" w:cs="Arial" w:eastAsia="Arial" w:hAnsi="Arial"/>
          <w:b/>
          <w:bCs/>
          <w:color w:val="0B6E6E"/>
          <w:sz w:val="26"/>
          <w:szCs w:val="26"/>
        </w:rPr>
        <w:t xml:space="preserve">Pillar 2: Security &amp; Reliability</w:t>
      </w:r>
    </w:p>
    <w:p>
      <w:pPr>
        <w:pStyle w:val="ListParagraph"/>
        <w:numPr>
          <w:ilvl w:val="0"/>
          <w:numId w:val="2"/>
        </w:numPr>
        <w:spacing w:before="60" w:after="60"/>
      </w:pPr>
      <w:r>
        <w:rPr>
          <w:rFonts w:ascii="Arial" w:cs="Arial" w:eastAsia="Arial" w:hAnsi="Arial"/>
          <w:b w:val="false"/>
          <w:bCs w:val="false"/>
          <w:sz w:val="20"/>
          <w:szCs w:val="20"/>
        </w:rPr>
        <w:t xml:space="preserve">JWT HS256 authentication for all admin routes; 8-hour expiry</w:t>
      </w:r>
    </w:p>
    <w:p>
      <w:pPr>
        <w:pStyle w:val="ListParagraph"/>
        <w:numPr>
          <w:ilvl w:val="0"/>
          <w:numId w:val="2"/>
        </w:numPr>
        <w:spacing w:before="60" w:after="60"/>
      </w:pPr>
      <w:r>
        <w:rPr>
          <w:rFonts w:ascii="Arial" w:cs="Arial" w:eastAsia="Arial" w:hAnsi="Arial"/>
          <w:b w:val="false"/>
          <w:bCs w:val="false"/>
          <w:sz w:val="20"/>
          <w:szCs w:val="20"/>
        </w:rPr>
        <w:t xml:space="preserve">bcrypt password hashing (passlib) for admin accounts</w:t>
      </w:r>
    </w:p>
    <w:p>
      <w:pPr>
        <w:pStyle w:val="ListParagraph"/>
        <w:numPr>
          <w:ilvl w:val="0"/>
          <w:numId w:val="2"/>
        </w:numPr>
        <w:spacing w:before="60" w:after="60"/>
      </w:pPr>
      <w:r>
        <w:rPr>
          <w:rFonts w:ascii="Arial" w:cs="Arial" w:eastAsia="Arial" w:hAnsi="Arial"/>
          <w:b w:val="false"/>
          <w:bCs w:val="false"/>
          <w:sz w:val="20"/>
          <w:szCs w:val="20"/>
        </w:rPr>
        <w:t xml:space="preserve">OTP session verification for kiosk citizens: SHA-256 hashed OTP, 5-minute window, 3-attempt limit</w:t>
      </w:r>
    </w:p>
    <w:p>
      <w:pPr>
        <w:pStyle w:val="ListParagraph"/>
        <w:numPr>
          <w:ilvl w:val="0"/>
          <w:numId w:val="2"/>
        </w:numPr>
        <w:spacing w:before="60" w:after="60"/>
      </w:pPr>
      <w:r>
        <w:rPr>
          <w:rFonts w:ascii="Arial" w:cs="Arial" w:eastAsia="Arial" w:hAnsi="Arial"/>
          <w:b w:val="false"/>
          <w:bCs w:val="false"/>
          <w:sz w:val="20"/>
          <w:szCs w:val="20"/>
        </w:rPr>
        <w:t xml:space="preserve">Scoped admin roles: super_admin (all departments) vs department_admin (own department only)</w:t>
      </w:r>
    </w:p>
    <w:p>
      <w:pPr>
        <w:pStyle w:val="ListParagraph"/>
        <w:numPr>
          <w:ilvl w:val="0"/>
          <w:numId w:val="2"/>
        </w:numPr>
        <w:spacing w:before="60" w:after="60"/>
      </w:pPr>
      <w:r>
        <w:rPr>
          <w:rFonts w:ascii="Arial" w:cs="Arial" w:eastAsia="Arial" w:hAnsi="Arial"/>
          <w:b w:val="false"/>
          <w:bCs w:val="false"/>
          <w:sz w:val="20"/>
          <w:szCs w:val="20"/>
        </w:rPr>
        <w:t xml:space="preserve">Per-department Razorpay key management via kiosk_config table</w:t>
      </w:r>
    </w:p>
    <w:p>
      <w:pPr>
        <w:pStyle w:val="ListParagraph"/>
        <w:numPr>
          <w:ilvl w:val="0"/>
          <w:numId w:val="2"/>
        </w:numPr>
        <w:spacing w:before="60" w:after="60"/>
      </w:pPr>
      <w:r>
        <w:rPr>
          <w:rFonts w:ascii="Arial" w:cs="Arial" w:eastAsia="Arial" w:hAnsi="Arial"/>
          <w:b w:val="false"/>
          <w:bCs w:val="false"/>
          <w:sz w:val="20"/>
          <w:szCs w:val="20"/>
        </w:rPr>
        <w:t xml:space="preserve">Webhook signature verification: Razorpay HMAC + PortOne signature</w:t>
      </w:r>
    </w:p>
    <w:p>
      <w:pPr>
        <w:pStyle w:val="ListParagraph"/>
        <w:numPr>
          <w:ilvl w:val="0"/>
          <w:numId w:val="2"/>
        </w:numPr>
        <w:spacing w:before="60" w:after="60"/>
      </w:pPr>
      <w:r>
        <w:rPr>
          <w:rFonts w:ascii="Arial" w:cs="Arial" w:eastAsia="Arial" w:hAnsi="Arial"/>
          <w:b w:val="false"/>
          <w:bCs w:val="false"/>
          <w:sz w:val="20"/>
          <w:szCs w:val="20"/>
        </w:rPr>
        <w:t xml:space="preserve">CORS configured; Sentry SDK included for production error monitoring</w:t>
      </w:r>
    </w:p>
    <w:p>
      <w:pPr>
        <w:spacing w:before="80" w:after="80"/>
      </w:pPr>
      <w:r>
        <w:t xml:space="preserve"/>
      </w:r>
    </w:p>
    <w:p>
      <w:pPr>
        <w:pStyle w:val="Heading2"/>
        <w:spacing w:before="240" w:after="120"/>
      </w:pPr>
      <w:r>
        <w:rPr>
          <w:rFonts w:ascii="Arial" w:cs="Arial" w:eastAsia="Arial" w:hAnsi="Arial"/>
          <w:b/>
          <w:bCs/>
          <w:color w:val="0B6E6E"/>
          <w:sz w:val="26"/>
          <w:szCs w:val="26"/>
        </w:rPr>
        <w:t xml:space="preserve">Pillar 3: Accessibility &amp; Inclusion</w:t>
      </w:r>
    </w:p>
    <w:p>
      <w:pPr>
        <w:pStyle w:val="ListParagraph"/>
        <w:numPr>
          <w:ilvl w:val="0"/>
          <w:numId w:val="2"/>
        </w:numPr>
        <w:spacing w:before="60" w:after="60"/>
      </w:pPr>
      <w:r>
        <w:rPr>
          <w:rFonts w:ascii="Arial" w:cs="Arial" w:eastAsia="Arial" w:hAnsi="Arial"/>
          <w:b w:val="false"/>
          <w:bCs w:val="false"/>
          <w:sz w:val="20"/>
          <w:szCs w:val="20"/>
        </w:rPr>
        <w:t xml:space="preserve">8 languages: English, Hindi, Odia, Telugu, Tamil, Kannada, Marathi, Manipuri (Meitei-Mayek script)</w:t>
      </w:r>
    </w:p>
    <w:p>
      <w:pPr>
        <w:pStyle w:val="ListParagraph"/>
        <w:numPr>
          <w:ilvl w:val="0"/>
          <w:numId w:val="2"/>
        </w:numPr>
        <w:spacing w:before="60" w:after="60"/>
      </w:pPr>
      <w:r>
        <w:rPr>
          <w:rFonts w:ascii="Arial" w:cs="Arial" w:eastAsia="Arial" w:hAnsi="Arial"/>
          <w:b w:val="false"/>
          <w:bCs w:val="false"/>
          <w:sz w:val="20"/>
          <w:szCs w:val="20"/>
        </w:rPr>
        <w:t xml:space="preserve">Meitei-Mayek inclusion is believed to be a unique differentiator for North East India among SUVIDHA 2026 entries</w:t>
      </w:r>
    </w:p>
    <w:p>
      <w:pPr>
        <w:pStyle w:val="ListParagraph"/>
        <w:numPr>
          <w:ilvl w:val="0"/>
          <w:numId w:val="2"/>
        </w:numPr>
        <w:spacing w:before="60" w:after="60"/>
      </w:pPr>
      <w:r>
        <w:rPr>
          <w:rFonts w:ascii="Arial" w:cs="Arial" w:eastAsia="Arial" w:hAnsi="Arial"/>
          <w:b w:val="false"/>
          <w:bCs w:val="false"/>
          <w:sz w:val="20"/>
          <w:szCs w:val="20"/>
        </w:rPr>
        <w:t xml:space="preserve">PIN login: 4-digit numeric — removes English literacy barrier from authentication</w:t>
      </w:r>
    </w:p>
    <w:p>
      <w:pPr>
        <w:pStyle w:val="ListParagraph"/>
        <w:numPr>
          <w:ilvl w:val="0"/>
          <w:numId w:val="2"/>
        </w:numPr>
        <w:spacing w:before="60" w:after="60"/>
      </w:pPr>
      <w:r>
        <w:rPr>
          <w:rFonts w:ascii="Arial" w:cs="Arial" w:eastAsia="Arial" w:hAnsi="Arial"/>
          <w:b w:val="false"/>
          <w:bCs w:val="false"/>
          <w:sz w:val="20"/>
          <w:szCs w:val="20"/>
        </w:rPr>
        <w:t xml:space="preserve">Large, high-contrast touch UI: 64 px min targets, 9:1+ contrast, Sora display font</w:t>
      </w:r>
    </w:p>
    <w:p>
      <w:pPr>
        <w:pStyle w:val="ListParagraph"/>
        <w:numPr>
          <w:ilvl w:val="0"/>
          <w:numId w:val="2"/>
        </w:numPr>
        <w:spacing w:before="60" w:after="60"/>
      </w:pPr>
      <w:r>
        <w:rPr>
          <w:rFonts w:ascii="Arial" w:cs="Arial" w:eastAsia="Arial" w:hAnsi="Arial"/>
          <w:b w:val="false"/>
          <w:bCs w:val="false"/>
          <w:sz w:val="20"/>
          <w:szCs w:val="20"/>
        </w:rPr>
        <w:t xml:space="preserve">Planned Phase 3: browser SpeechSynthesis API for text-to-speech; architecture supports it via language config</w:t>
      </w:r>
    </w:p>
    <w:p>
      <w:pPr>
        <w:spacing w:before="80" w:after="80"/>
      </w:pPr>
      <w:r>
        <w:t xml:space="preserve"/>
      </w:r>
    </w:p>
    <w:p>
      <w:pPr>
        <w:pStyle w:val="Heading2"/>
        <w:spacing w:before="240" w:after="120"/>
      </w:pPr>
      <w:r>
        <w:rPr>
          <w:rFonts w:ascii="Arial" w:cs="Arial" w:eastAsia="Arial" w:hAnsi="Arial"/>
          <w:b/>
          <w:bCs/>
          <w:color w:val="0B6E6E"/>
          <w:sz w:val="26"/>
          <w:szCs w:val="26"/>
        </w:rPr>
        <w:t xml:space="preserve">Pillar 4: Departmental Features</w:t>
      </w:r>
    </w:p>
    <w:p>
      <w:pPr>
        <w:pStyle w:val="ListParagraph"/>
        <w:numPr>
          <w:ilvl w:val="0"/>
          <w:numId w:val="2"/>
        </w:numPr>
        <w:spacing w:before="60" w:after="60"/>
      </w:pPr>
      <w:r>
        <w:rPr>
          <w:rFonts w:ascii="Arial" w:cs="Arial" w:eastAsia="Arial" w:hAnsi="Arial"/>
          <w:b w:val="false"/>
          <w:bCs w:val="false"/>
          <w:sz w:val="20"/>
          <w:szCs w:val="20"/>
        </w:rPr>
        <w:t xml:space="preserve">Electricity: 6 services (pay bill, new connection, meter change, transfer, reading, complaint)</w:t>
      </w:r>
    </w:p>
    <w:p>
      <w:pPr>
        <w:pStyle w:val="ListParagraph"/>
        <w:numPr>
          <w:ilvl w:val="0"/>
          <w:numId w:val="2"/>
        </w:numPr>
        <w:spacing w:before="60" w:after="60"/>
      </w:pPr>
      <w:r>
        <w:rPr>
          <w:rFonts w:ascii="Arial" w:cs="Arial" w:eastAsia="Arial" w:hAnsi="Arial"/>
          <w:b w:val="false"/>
          <w:bCs w:val="false"/>
          <w:sz w:val="20"/>
          <w:szCs w:val="20"/>
        </w:rPr>
        <w:t xml:space="preserve">Water: 6 services (pay bill, new connection, meter change, reading, leak complaint, grievance)</w:t>
      </w:r>
    </w:p>
    <w:p>
      <w:pPr>
        <w:pStyle w:val="ListParagraph"/>
        <w:numPr>
          <w:ilvl w:val="0"/>
          <w:numId w:val="2"/>
        </w:numPr>
        <w:spacing w:before="60" w:after="60"/>
      </w:pPr>
      <w:r>
        <w:rPr>
          <w:rFonts w:ascii="Arial" w:cs="Arial" w:eastAsia="Arial" w:hAnsi="Arial"/>
          <w:b w:val="false"/>
          <w:bCs w:val="false"/>
          <w:sz w:val="20"/>
          <w:szCs w:val="20"/>
        </w:rPr>
        <w:t xml:space="preserve">Municipal: 8 services (property tax, trade license new+renewal, birth cert, death cert, building plan, complaint, grievance)</w:t>
      </w:r>
    </w:p>
    <w:p>
      <w:pPr>
        <w:pStyle w:val="ListParagraph"/>
        <w:numPr>
          <w:ilvl w:val="0"/>
          <w:numId w:val="2"/>
        </w:numPr>
        <w:spacing w:before="60" w:after="60"/>
      </w:pPr>
      <w:r>
        <w:rPr>
          <w:rFonts w:ascii="Arial" w:cs="Arial" w:eastAsia="Arial" w:hAnsi="Arial"/>
          <w:b w:val="false"/>
          <w:bCs w:val="false"/>
          <w:sz w:val="20"/>
          <w:szCs w:val="20"/>
        </w:rPr>
        <w:t xml:space="preserve">Gas: dashboard tile present; backend stub planned for Phase 2</w:t>
      </w:r>
    </w:p>
    <w:p>
      <w:pPr>
        <w:pStyle w:val="ListParagraph"/>
        <w:numPr>
          <w:ilvl w:val="0"/>
          <w:numId w:val="2"/>
        </w:numPr>
        <w:spacing w:before="60" w:after="60"/>
      </w:pPr>
      <w:r>
        <w:rPr>
          <w:rFonts w:ascii="Arial" w:cs="Arial" w:eastAsia="Arial" w:hAnsi="Arial"/>
          <w:b w:val="false"/>
          <w:bCs w:val="false"/>
          <w:sz w:val="20"/>
          <w:szCs w:val="20"/>
        </w:rPr>
        <w:t xml:space="preserve">Admin portal: JWT-scoped dashboard, request status management, merchant setup, per-dept Razorpay keys</w:t>
      </w:r>
    </w:p>
    <w:p>
      <w:r>
        <w:br w:type="page"/>
      </w:r>
    </w:p>
    <w:p>
      <w:pPr>
        <w:pStyle w:val="Heading1"/>
        <w:pBdr>
          <w:bottom w:val="single" w:color="0B6E6E" w:sz="8" w:space="4"/>
        </w:pBdr>
        <w:spacing w:before="320" w:after="160"/>
      </w:pPr>
      <w:r>
        <w:rPr>
          <w:rFonts w:ascii="Arial" w:cs="Arial" w:eastAsia="Arial" w:hAnsi="Arial"/>
          <w:b/>
          <w:bCs/>
          <w:color w:val="0F2044"/>
          <w:sz w:val="32"/>
          <w:szCs w:val="32"/>
        </w:rPr>
        <w:t xml:space="preserve">10. Known Gaps &amp; How to Frame Them</w:t>
      </w:r>
    </w:p>
    <w:p>
      <w:pPr>
        <w:spacing w:before="80" w:after="80"/>
      </w:pPr>
      <w:r>
        <w:rPr>
          <w:rFonts w:ascii="Arial" w:cs="Arial" w:eastAsia="Arial" w:hAnsi="Arial"/>
          <w:sz w:val="20"/>
          <w:szCs w:val="20"/>
        </w:rPr>
        <w:t xml:space="preserve">For the PPT presentation, each gap should be presented proactively with a clear "we are building this" narrative. The architecture is already designed to support all of these improvements.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Gap</w:t>
            </w:r>
          </w:p>
        </w:tc>
        <w:tc>
          <w:tcPr>
            <w:tcW w:type="dxa" w:w="656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Honest Frame for Judges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PIN stored without bcrypt (frontend)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Acknowledged. authStore.js has a hashPin() stub. Migration to bcrypt-js is a single line change. Will be done before physical final round.</w:t>
            </w:r>
          </w:p>
        </w:tc>
      </w:tr>
      <w:tr>
        <w:trPr>
          <w:tblHeader w:val="false"/>
        </w:trPr>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Orchestrator always in mock mode</w:t>
            </w:r>
          </w:p>
        </w:tc>
        <w:tc>
          <w:tcPr>
            <w:tcW w:type="dxa" w:w="6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architecture exists and is fully designed. Backend sync wiring (polling /health endpoint) is Phase 2. The demo runs beautifully offline — which is by design.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Gas department: tile only, no 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Dashboard tile is live. Backend stub endpoint and full service flow is the first Phase 2 task. The catalogue entry is already in kiosk/router.py.</w:t>
            </w:r>
          </w:p>
        </w:tc>
      </w:tr>
      <w:tr>
        <w:trPr>
          <w:tblHeader w:val="false"/>
        </w:trPr>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No admin UI (backend only)</w:t>
            </w:r>
          </w:p>
        </w:tc>
        <w:tc>
          <w:tcPr>
            <w:tcW w:type="dxa" w:w="6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 REST API is complete and testable via /docs Swagger. Admin UI is Phase 3. Judges can verify role scoping directly in the API explorer.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text-to-speech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Planned for Phase 3 using browser SpeechSynthesis API. The language config architecture supports it — per-language voice mapping requires zero component changes.</w:t>
            </w:r>
          </w:p>
        </w:tc>
      </w:tr>
      <w:tr>
        <w:trPr>
          <w:tblHeader w:val="false"/>
        </w:trPr>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Font size toggle absent</w:t>
            </w:r>
          </w:p>
        </w:tc>
        <w:tc>
          <w:tcPr>
            <w:tcW w:type="dxa" w:w="6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Low complexity. Planned as Phase 3 accessibility feature using a CSS variable on the root element. Easy win for the physical final round.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main.py @app.on_event deprecation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FastAPI deprecation warning only. Will be migrated to lifespan context manager before final round. No functional impact.</w:t>
            </w:r>
          </w:p>
        </w:tc>
      </w:tr>
    </w:tbl>
    <w:p>
      <w:r>
        <w:br w:type="page"/>
      </w:r>
    </w:p>
    <w:p>
      <w:pPr>
        <w:pStyle w:val="Heading1"/>
        <w:pBdr>
          <w:bottom w:val="single" w:color="0B6E6E" w:sz="8" w:space="4"/>
        </w:pBdr>
        <w:spacing w:before="320" w:after="160"/>
      </w:pPr>
      <w:r>
        <w:rPr>
          <w:rFonts w:ascii="Arial" w:cs="Arial" w:eastAsia="Arial" w:hAnsi="Arial"/>
          <w:b/>
          <w:bCs/>
          <w:color w:val="0F2044"/>
          <w:sz w:val="32"/>
          <w:szCs w:val="32"/>
        </w:rPr>
        <w:t xml:space="preserve">11. Phase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796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Goals</w:t>
            </w:r>
          </w:p>
        </w:tc>
        <w:tc>
          <w:tcPr>
            <w:tcW w:type="dxa" w:w="796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18"/>
                <w:szCs w:val="18"/>
              </w:rPr>
              <w:t xml:space="preserve">Target</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Phase 1 (NOW)</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Fix 4 critical build bugs. Wire KeyboardContext. Add ma.json. Fix import path. Join C-DAC WhatsApp. Get PPT template.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March 10–14</w:t>
            </w:r>
          </w:p>
        </w:tc>
      </w:tr>
      <w:tr>
        <w:trPr>
          <w:tblHeader w:val="false"/>
        </w:trPr>
        <w:tc>
          <w:tcPr>
            <w:tcW w:type="dxa" w:w="1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Phase 2 (DEMO)</w:t>
            </w:r>
          </w:p>
        </w:tc>
        <w:tc>
          <w:tcPr>
            <w:tcW w:type="dxa" w:w="7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Build 13-slide PPT. Architecture + security diagrams. Screenshot all screens. Record 90-second demo video. Wire Orchestrator to /health endpoint. Add PIN hashing.</w:t>
            </w:r>
          </w:p>
        </w:tc>
        <w:tc>
          <w:tcPr>
            <w:tcW w:type="dxa" w:w="7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March 17–21</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Phase 3 (PREP)</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dry-run of 10-minute presentation slot. Fix any demo issues. Polish slides. Confirm virtual meeting slot with C-DAC. Add Gas backend stub.</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March 24–28</w:t>
            </w:r>
          </w:p>
        </w:tc>
      </w:tr>
      <w:tr>
        <w:trPr>
          <w:tblHeader w:val="false"/>
        </w:trPr>
        <w:tc>
          <w:tcPr>
            <w:tcW w:type="dxa" w:w="1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PRESENTATION</w:t>
            </w:r>
          </w:p>
        </w:tc>
        <w:tc>
          <w:tcPr>
            <w:tcW w:type="dxa" w:w="7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Present all 4 pillars. Use screenshots as fallback. Emphasise Meitei-Mayek as differentiator. Show /docs Swagger for admin API.</w:t>
            </w:r>
          </w:p>
        </w:tc>
        <w:tc>
          <w:tcPr>
            <w:tcW w:type="dxa" w:w="7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Last week March</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Phase 4 (FINAL)</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If selected for physical final: PostgreSQL production deploy. bcrypt-js for PIN. TTS via SpeechSynthesis. Font size toggle. Full Gas department.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April 2026</w:t>
            </w:r>
          </w:p>
        </w:tc>
      </w:tr>
    </w:tbl>
    <w:p>
      <w:pPr>
        <w:spacing w:before="80" w:after="80"/>
      </w:pPr>
      <w:r>
        <w:t xml:space="preserve"/>
      </w:r>
    </w:p>
    <w:p>
      <w:pPr>
        <w:spacing w:before="80" w:after="80"/>
      </w:pPr>
      <w:r>
        <w:t xml:space="preserve"/>
      </w:r>
    </w:p>
    <w:p>
      <w:pPr>
        <w:pBdr>
          <w:top w:val="single" w:color="00C9A7" w:sz="6" w:space="4"/>
        </w:pBdr>
        <w:spacing w:before="240" w:after="80"/>
        <w:jc w:val="center"/>
      </w:pPr>
      <w:r>
        <w:rPr>
          <w:rFonts w:ascii="Arial" w:cs="Arial" w:eastAsia="Arial" w:hAnsi="Arial"/>
          <w:color w:val="8896B3"/>
          <w:sz w:val="18"/>
          <w:szCs w:val="18"/>
        </w:rPr>
        <w:t xml:space="preserve">SUVIDHA 2026 — KOISK UI  |  Technical Design Document  |  C-DAC CINE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F204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B6E6E"/>
      <w:sz w:val="26"/>
      <w:szCs w:val="26"/>
    </w:rPr>
  </w:style>
  <w:style w:type="paragraph" w:styleId="Heading3">
    <w:name w:val="Heading 3"/>
    <w:basedOn w:val="Normal"/>
    <w:next w:val="Normal"/>
    <w:qFormat/>
    <w:pPr>
      <w:spacing w:before="180" w:after="80"/>
      <w:outlineLvl w:val="2"/>
    </w:pPr>
    <w:rPr>
      <w:rFonts w:ascii="Arial" w:cs="Arial" w:eastAsia="Arial" w:hAnsi="Arial"/>
      <w:b/>
      <w:bCs/>
      <w:color w:val="0F20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2026-03-12T08:26:07.760Z</dcterms:created>
  <dcterms:modified xsi:type="dcterms:W3CDTF">2026-03-12T08:26:07.761Z</dcterms:modified>
</cp:coreProperties>
</file>

<file path=docProps/custom.xml><?xml version="1.0" encoding="utf-8"?>
<Properties xmlns="http://schemas.openxmlformats.org/officeDocument/2006/custom-properties" xmlns:vt="http://schemas.openxmlformats.org/officeDocument/2006/docPropsVTypes"/>
</file>