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960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1915"/>
        <w:gridCol w:w="2167"/>
        <w:gridCol w:w="2187"/>
        <w:gridCol w:w="3691"/>
      </w:tblGrid>
      <w:tr w:rsidR="009269D0" w:rsidRPr="009269D0" w:rsidTr="009269D0">
        <w:trPr>
          <w:trHeight w:val="419"/>
        </w:trPr>
        <w:tc>
          <w:tcPr>
            <w:tcW w:w="1915" w:type="dxa"/>
            <w:tcBorders>
              <w:top w:val="single" w:sz="6" w:space="0" w:color="37342D"/>
              <w:left w:val="single" w:sz="6" w:space="0" w:color="37342D"/>
              <w:bottom w:val="single" w:sz="6" w:space="0" w:color="37342D"/>
              <w:right w:val="single" w:sz="6" w:space="0" w:color="37342D"/>
            </w:tcBorders>
            <w:shd w:val="clear" w:color="auto" w:fill="F6F5F1"/>
            <w:tcMar>
              <w:top w:w="100" w:type="dxa"/>
              <w:left w:w="15" w:type="dxa"/>
              <w:bottom w:w="0" w:type="dxa"/>
              <w:right w:w="15" w:type="dxa"/>
            </w:tcMar>
            <w:hideMark/>
          </w:tcPr>
          <w:p w:rsidR="009269D0" w:rsidRPr="009269D0" w:rsidRDefault="009269D0" w:rsidP="009269D0">
            <w:r w:rsidRPr="009269D0">
              <w:rPr>
                <w:b/>
                <w:bCs/>
              </w:rPr>
              <w:t>Feature</w:t>
            </w:r>
          </w:p>
        </w:tc>
        <w:tc>
          <w:tcPr>
            <w:tcW w:w="2167" w:type="dxa"/>
            <w:tcBorders>
              <w:top w:val="single" w:sz="6" w:space="0" w:color="37342D"/>
              <w:left w:val="single" w:sz="6" w:space="0" w:color="37342D"/>
              <w:bottom w:val="single" w:sz="6" w:space="0" w:color="37342D"/>
              <w:right w:val="single" w:sz="6" w:space="0" w:color="37342D"/>
            </w:tcBorders>
            <w:shd w:val="clear" w:color="auto" w:fill="F6F5F1"/>
            <w:tcMar>
              <w:top w:w="100" w:type="dxa"/>
              <w:left w:w="15" w:type="dxa"/>
              <w:bottom w:w="0" w:type="dxa"/>
              <w:right w:w="15" w:type="dxa"/>
            </w:tcMar>
            <w:hideMark/>
          </w:tcPr>
          <w:p w:rsidR="009269D0" w:rsidRPr="009269D0" w:rsidRDefault="009269D0" w:rsidP="009269D0">
            <w:proofErr w:type="spellStart"/>
            <w:r w:rsidRPr="009269D0">
              <w:rPr>
                <w:b/>
                <w:bCs/>
              </w:rPr>
              <w:t>Alteryx</w:t>
            </w:r>
            <w:proofErr w:type="spellEnd"/>
          </w:p>
        </w:tc>
        <w:tc>
          <w:tcPr>
            <w:tcW w:w="2187" w:type="dxa"/>
            <w:tcBorders>
              <w:top w:val="single" w:sz="6" w:space="0" w:color="37342D"/>
              <w:left w:val="single" w:sz="6" w:space="0" w:color="37342D"/>
              <w:bottom w:val="single" w:sz="6" w:space="0" w:color="37342D"/>
              <w:right w:val="single" w:sz="6" w:space="0" w:color="37342D"/>
            </w:tcBorders>
            <w:shd w:val="clear" w:color="auto" w:fill="F6F5F1"/>
            <w:tcMar>
              <w:top w:w="100" w:type="dxa"/>
              <w:left w:w="15" w:type="dxa"/>
              <w:bottom w:w="0" w:type="dxa"/>
              <w:right w:w="15" w:type="dxa"/>
            </w:tcMar>
            <w:hideMark/>
          </w:tcPr>
          <w:p w:rsidR="009269D0" w:rsidRPr="009269D0" w:rsidRDefault="009269D0" w:rsidP="009269D0">
            <w:r w:rsidRPr="009269D0">
              <w:rPr>
                <w:b/>
                <w:bCs/>
              </w:rPr>
              <w:t>Matillion</w:t>
            </w:r>
          </w:p>
        </w:tc>
        <w:tc>
          <w:tcPr>
            <w:tcW w:w="3691" w:type="dxa"/>
            <w:tcBorders>
              <w:top w:val="single" w:sz="6" w:space="0" w:color="37342D"/>
              <w:left w:val="single" w:sz="6" w:space="0" w:color="37342D"/>
              <w:bottom w:val="single" w:sz="6" w:space="0" w:color="37342D"/>
              <w:right w:val="single" w:sz="6" w:space="0" w:color="37342D"/>
            </w:tcBorders>
            <w:shd w:val="clear" w:color="auto" w:fill="F6F5F1"/>
            <w:tcMar>
              <w:top w:w="100" w:type="dxa"/>
              <w:left w:w="15" w:type="dxa"/>
              <w:bottom w:w="0" w:type="dxa"/>
              <w:right w:w="15" w:type="dxa"/>
            </w:tcMar>
            <w:hideMark/>
          </w:tcPr>
          <w:p w:rsidR="009269D0" w:rsidRPr="009269D0" w:rsidRDefault="009269D0" w:rsidP="009269D0">
            <w:proofErr w:type="spellStart"/>
            <w:r w:rsidRPr="009269D0">
              <w:rPr>
                <w:b/>
                <w:bCs/>
              </w:rPr>
              <w:t>Informatica</w:t>
            </w:r>
            <w:proofErr w:type="spellEnd"/>
          </w:p>
        </w:tc>
      </w:tr>
      <w:tr w:rsidR="009269D0" w:rsidRPr="009269D0" w:rsidTr="009269D0">
        <w:trPr>
          <w:trHeight w:val="1543"/>
        </w:trPr>
        <w:tc>
          <w:tcPr>
            <w:tcW w:w="1915" w:type="dxa"/>
            <w:tcBorders>
              <w:top w:val="single" w:sz="6" w:space="0" w:color="37342D"/>
              <w:left w:val="single" w:sz="6" w:space="0" w:color="37342D"/>
              <w:bottom w:val="single" w:sz="6" w:space="0" w:color="37342D"/>
              <w:right w:val="single" w:sz="6" w:space="0" w:color="37342D"/>
            </w:tcBorders>
            <w:shd w:val="clear" w:color="auto" w:fill="F6F5F1"/>
            <w:tcMar>
              <w:top w:w="126" w:type="dxa"/>
              <w:left w:w="15" w:type="dxa"/>
              <w:bottom w:w="0" w:type="dxa"/>
              <w:right w:w="15" w:type="dxa"/>
            </w:tcMar>
            <w:hideMark/>
          </w:tcPr>
          <w:p w:rsidR="009269D0" w:rsidRPr="009269D0" w:rsidRDefault="009269D0" w:rsidP="009269D0">
            <w:r w:rsidRPr="009269D0">
              <w:rPr>
                <w:b/>
                <w:bCs/>
              </w:rPr>
              <w:t>Focus</w:t>
            </w:r>
          </w:p>
        </w:tc>
        <w:tc>
          <w:tcPr>
            <w:tcW w:w="2167" w:type="dxa"/>
            <w:tcBorders>
              <w:top w:val="single" w:sz="6" w:space="0" w:color="37342D"/>
              <w:left w:val="single" w:sz="6" w:space="0" w:color="37342D"/>
              <w:bottom w:val="single" w:sz="6" w:space="0" w:color="37342D"/>
              <w:right w:val="single" w:sz="6" w:space="0" w:color="37342D"/>
            </w:tcBorders>
            <w:shd w:val="clear" w:color="auto" w:fill="auto"/>
            <w:tcMar>
              <w:top w:w="38" w:type="dxa"/>
              <w:left w:w="15" w:type="dxa"/>
              <w:bottom w:w="0" w:type="dxa"/>
              <w:right w:w="15" w:type="dxa"/>
            </w:tcMar>
            <w:hideMark/>
          </w:tcPr>
          <w:p w:rsidR="009269D0" w:rsidRPr="009269D0" w:rsidRDefault="009269D0" w:rsidP="009269D0">
            <w:r w:rsidRPr="009269D0">
              <w:t>Self-service data preparation &amp; analytics</w:t>
            </w:r>
          </w:p>
        </w:tc>
        <w:tc>
          <w:tcPr>
            <w:tcW w:w="2187" w:type="dxa"/>
            <w:tcBorders>
              <w:top w:val="single" w:sz="6" w:space="0" w:color="37342D"/>
              <w:left w:val="single" w:sz="6" w:space="0" w:color="37342D"/>
              <w:bottom w:val="single" w:sz="6" w:space="0" w:color="37342D"/>
              <w:right w:val="single" w:sz="6" w:space="0" w:color="37342D"/>
            </w:tcBorders>
            <w:shd w:val="clear" w:color="auto" w:fill="auto"/>
            <w:tcMar>
              <w:top w:w="39" w:type="dxa"/>
              <w:left w:w="15" w:type="dxa"/>
              <w:bottom w:w="0" w:type="dxa"/>
              <w:right w:w="15" w:type="dxa"/>
            </w:tcMar>
            <w:hideMark/>
          </w:tcPr>
          <w:p w:rsidR="009269D0" w:rsidRPr="009269D0" w:rsidRDefault="009269D0" w:rsidP="009269D0">
            <w:r w:rsidRPr="009269D0">
              <w:t>Cloud-native ETL,</w:t>
            </w:r>
          </w:p>
          <w:p w:rsidR="009269D0" w:rsidRPr="009269D0" w:rsidRDefault="009269D0" w:rsidP="009269D0">
            <w:r w:rsidRPr="009269D0">
              <w:t>optimized  for</w:t>
            </w:r>
          </w:p>
          <w:p w:rsidR="009269D0" w:rsidRPr="009269D0" w:rsidRDefault="009269D0" w:rsidP="009269D0">
            <w:r w:rsidRPr="009269D0">
              <w:t>data warehouses</w:t>
            </w:r>
          </w:p>
        </w:tc>
        <w:tc>
          <w:tcPr>
            <w:tcW w:w="3691" w:type="dxa"/>
            <w:tcBorders>
              <w:top w:val="single" w:sz="6" w:space="0" w:color="37342D"/>
              <w:left w:val="single" w:sz="6" w:space="0" w:color="37342D"/>
              <w:bottom w:val="single" w:sz="6" w:space="0" w:color="37342D"/>
              <w:right w:val="single" w:sz="6" w:space="0" w:color="37342D"/>
            </w:tcBorders>
            <w:shd w:val="clear" w:color="auto" w:fill="auto"/>
            <w:tcMar>
              <w:top w:w="39" w:type="dxa"/>
              <w:left w:w="15" w:type="dxa"/>
              <w:bottom w:w="0" w:type="dxa"/>
              <w:right w:w="15" w:type="dxa"/>
            </w:tcMar>
            <w:hideMark/>
          </w:tcPr>
          <w:p w:rsidR="009269D0" w:rsidRPr="009269D0" w:rsidRDefault="009269D0" w:rsidP="009269D0">
            <w:r w:rsidRPr="009269D0">
              <w:t>Enterprise-grade  data integration platform</w:t>
            </w:r>
          </w:p>
        </w:tc>
      </w:tr>
      <w:tr w:rsidR="009269D0" w:rsidRPr="009269D0" w:rsidTr="009269D0">
        <w:trPr>
          <w:trHeight w:val="1058"/>
        </w:trPr>
        <w:tc>
          <w:tcPr>
            <w:tcW w:w="1915" w:type="dxa"/>
            <w:tcBorders>
              <w:top w:val="single" w:sz="6" w:space="0" w:color="37342D"/>
              <w:left w:val="single" w:sz="6" w:space="0" w:color="37342D"/>
              <w:bottom w:val="single" w:sz="6" w:space="0" w:color="37342D"/>
              <w:right w:val="single" w:sz="6" w:space="0" w:color="37342D"/>
            </w:tcBorders>
            <w:shd w:val="clear" w:color="auto" w:fill="F6F5F1"/>
            <w:tcMar>
              <w:top w:w="126" w:type="dxa"/>
              <w:left w:w="15" w:type="dxa"/>
              <w:bottom w:w="0" w:type="dxa"/>
              <w:right w:w="15" w:type="dxa"/>
            </w:tcMar>
            <w:hideMark/>
          </w:tcPr>
          <w:p w:rsidR="009269D0" w:rsidRPr="009269D0" w:rsidRDefault="009269D0" w:rsidP="009269D0">
            <w:r w:rsidRPr="009269D0">
              <w:rPr>
                <w:b/>
                <w:bCs/>
              </w:rPr>
              <w:t>Deployment</w:t>
            </w:r>
          </w:p>
        </w:tc>
        <w:tc>
          <w:tcPr>
            <w:tcW w:w="2167" w:type="dxa"/>
            <w:tcBorders>
              <w:top w:val="single" w:sz="6" w:space="0" w:color="37342D"/>
              <w:left w:val="single" w:sz="6" w:space="0" w:color="37342D"/>
              <w:bottom w:val="single" w:sz="6" w:space="0" w:color="37342D"/>
              <w:right w:val="single" w:sz="6" w:space="0" w:color="37342D"/>
            </w:tcBorders>
            <w:shd w:val="clear" w:color="auto" w:fill="auto"/>
            <w:tcMar>
              <w:top w:w="193" w:type="dxa"/>
              <w:left w:w="15" w:type="dxa"/>
              <w:bottom w:w="0" w:type="dxa"/>
              <w:right w:w="15" w:type="dxa"/>
            </w:tcMar>
            <w:hideMark/>
          </w:tcPr>
          <w:p w:rsidR="009269D0" w:rsidRPr="009269D0" w:rsidRDefault="009269D0" w:rsidP="009269D0">
            <w:r w:rsidRPr="009269D0">
              <w:t>On-premises, cloud, hybrid</w:t>
            </w:r>
          </w:p>
        </w:tc>
        <w:tc>
          <w:tcPr>
            <w:tcW w:w="2187" w:type="dxa"/>
            <w:tcBorders>
              <w:top w:val="single" w:sz="6" w:space="0" w:color="37342D"/>
              <w:left w:val="single" w:sz="6" w:space="0" w:color="37342D"/>
              <w:bottom w:val="single" w:sz="6" w:space="0" w:color="37342D"/>
              <w:right w:val="single" w:sz="6" w:space="0" w:color="37342D"/>
            </w:tcBorders>
            <w:shd w:val="clear" w:color="auto" w:fill="auto"/>
            <w:tcMar>
              <w:top w:w="46" w:type="dxa"/>
              <w:left w:w="15" w:type="dxa"/>
              <w:bottom w:w="0" w:type="dxa"/>
              <w:right w:w="15" w:type="dxa"/>
            </w:tcMar>
            <w:hideMark/>
          </w:tcPr>
          <w:p w:rsidR="009269D0" w:rsidRPr="009269D0" w:rsidRDefault="009269D0" w:rsidP="009269D0">
            <w:r w:rsidRPr="009269D0">
              <w:t>Cloud-native (AWS, Azure, GCP,</w:t>
            </w:r>
          </w:p>
          <w:p w:rsidR="009269D0" w:rsidRPr="009269D0" w:rsidRDefault="009269D0" w:rsidP="009269D0">
            <w:r w:rsidRPr="009269D0">
              <w:t>Snowflake)</w:t>
            </w:r>
          </w:p>
        </w:tc>
        <w:tc>
          <w:tcPr>
            <w:tcW w:w="3691" w:type="dxa"/>
            <w:tcBorders>
              <w:top w:val="single" w:sz="6" w:space="0" w:color="37342D"/>
              <w:left w:val="single" w:sz="6" w:space="0" w:color="37342D"/>
              <w:bottom w:val="single" w:sz="6" w:space="0" w:color="37342D"/>
              <w:right w:val="single" w:sz="6" w:space="0" w:color="37342D"/>
            </w:tcBorders>
            <w:shd w:val="clear" w:color="auto" w:fill="auto"/>
            <w:tcMar>
              <w:top w:w="202" w:type="dxa"/>
              <w:left w:w="15" w:type="dxa"/>
              <w:bottom w:w="0" w:type="dxa"/>
              <w:right w:w="15" w:type="dxa"/>
            </w:tcMar>
            <w:hideMark/>
          </w:tcPr>
          <w:p w:rsidR="009269D0" w:rsidRPr="009269D0" w:rsidRDefault="009269D0" w:rsidP="009269D0">
            <w:r w:rsidRPr="009269D0">
              <w:t>On-premises, cloud, hybrid</w:t>
            </w:r>
          </w:p>
        </w:tc>
      </w:tr>
      <w:tr w:rsidR="009269D0" w:rsidRPr="009269D0" w:rsidTr="009269D0">
        <w:trPr>
          <w:trHeight w:val="1541"/>
        </w:trPr>
        <w:tc>
          <w:tcPr>
            <w:tcW w:w="1915" w:type="dxa"/>
            <w:tcBorders>
              <w:top w:val="single" w:sz="6" w:space="0" w:color="37342D"/>
              <w:left w:val="single" w:sz="6" w:space="0" w:color="37342D"/>
              <w:bottom w:val="single" w:sz="6" w:space="0" w:color="37342D"/>
              <w:right w:val="single" w:sz="6" w:space="0" w:color="37342D"/>
            </w:tcBorders>
            <w:shd w:val="clear" w:color="auto" w:fill="F6F5F1"/>
            <w:tcMar>
              <w:top w:w="127" w:type="dxa"/>
              <w:left w:w="15" w:type="dxa"/>
              <w:bottom w:w="0" w:type="dxa"/>
              <w:right w:w="15" w:type="dxa"/>
            </w:tcMar>
            <w:hideMark/>
          </w:tcPr>
          <w:p w:rsidR="009269D0" w:rsidRPr="009269D0" w:rsidRDefault="009269D0" w:rsidP="009269D0">
            <w:r w:rsidRPr="009269D0">
              <w:rPr>
                <w:b/>
                <w:bCs/>
              </w:rPr>
              <w:t>Ease of use</w:t>
            </w:r>
          </w:p>
        </w:tc>
        <w:tc>
          <w:tcPr>
            <w:tcW w:w="2167" w:type="dxa"/>
            <w:tcBorders>
              <w:top w:val="single" w:sz="6" w:space="0" w:color="37342D"/>
              <w:left w:val="single" w:sz="6" w:space="0" w:color="37342D"/>
              <w:bottom w:val="single" w:sz="6" w:space="0" w:color="37342D"/>
              <w:right w:val="single" w:sz="6" w:space="0" w:color="37342D"/>
            </w:tcBorders>
            <w:shd w:val="clear" w:color="auto" w:fill="auto"/>
            <w:tcMar>
              <w:top w:w="28" w:type="dxa"/>
              <w:left w:w="15" w:type="dxa"/>
              <w:bottom w:w="0" w:type="dxa"/>
              <w:right w:w="15" w:type="dxa"/>
            </w:tcMar>
            <w:hideMark/>
          </w:tcPr>
          <w:p w:rsidR="009269D0" w:rsidRPr="009269D0" w:rsidRDefault="009269D0" w:rsidP="009269D0">
            <w:r w:rsidRPr="009269D0">
              <w:t>Visual interface, drag-and- drop,</w:t>
            </w:r>
            <w:r w:rsidRPr="009269D0">
              <w:tab/>
              <w:t>code- friendly</w:t>
            </w:r>
          </w:p>
        </w:tc>
        <w:tc>
          <w:tcPr>
            <w:tcW w:w="2187" w:type="dxa"/>
            <w:tcBorders>
              <w:top w:val="single" w:sz="6" w:space="0" w:color="37342D"/>
              <w:left w:val="single" w:sz="6" w:space="0" w:color="37342D"/>
              <w:bottom w:val="single" w:sz="6" w:space="0" w:color="37342D"/>
              <w:right w:val="single" w:sz="6" w:space="0" w:color="37342D"/>
            </w:tcBorders>
            <w:shd w:val="clear" w:color="auto" w:fill="auto"/>
            <w:tcMar>
              <w:top w:w="28" w:type="dxa"/>
              <w:left w:w="15" w:type="dxa"/>
              <w:bottom w:w="0" w:type="dxa"/>
              <w:right w:w="15" w:type="dxa"/>
            </w:tcMar>
            <w:hideMark/>
          </w:tcPr>
          <w:p w:rsidR="009269D0" w:rsidRPr="009269D0" w:rsidRDefault="009269D0" w:rsidP="009269D0">
            <w:r w:rsidRPr="009269D0">
              <w:t>Visual interface, drag-and- drop,</w:t>
            </w:r>
            <w:r w:rsidRPr="009269D0">
              <w:tab/>
              <w:t>SQL- based</w:t>
            </w:r>
          </w:p>
        </w:tc>
        <w:tc>
          <w:tcPr>
            <w:tcW w:w="3691" w:type="dxa"/>
            <w:tcBorders>
              <w:top w:val="single" w:sz="6" w:space="0" w:color="37342D"/>
              <w:left w:val="single" w:sz="6" w:space="0" w:color="37342D"/>
              <w:bottom w:val="single" w:sz="6" w:space="0" w:color="37342D"/>
              <w:right w:val="single" w:sz="6" w:space="0" w:color="37342D"/>
            </w:tcBorders>
            <w:shd w:val="clear" w:color="auto" w:fill="auto"/>
            <w:tcMar>
              <w:top w:w="39" w:type="dxa"/>
              <w:left w:w="15" w:type="dxa"/>
              <w:bottom w:w="0" w:type="dxa"/>
              <w:right w:w="15" w:type="dxa"/>
            </w:tcMar>
            <w:hideMark/>
          </w:tcPr>
          <w:p w:rsidR="009269D0" w:rsidRPr="009269D0" w:rsidRDefault="009269D0" w:rsidP="009269D0">
            <w:r w:rsidRPr="009269D0">
              <w:t>Requires more technical expertise,  code-heavy</w:t>
            </w:r>
          </w:p>
        </w:tc>
      </w:tr>
      <w:tr w:rsidR="009269D0" w:rsidRPr="009269D0" w:rsidTr="009269D0">
        <w:trPr>
          <w:trHeight w:val="1842"/>
        </w:trPr>
        <w:tc>
          <w:tcPr>
            <w:tcW w:w="1915" w:type="dxa"/>
            <w:tcBorders>
              <w:top w:val="single" w:sz="6" w:space="0" w:color="37342D"/>
              <w:left w:val="single" w:sz="6" w:space="0" w:color="37342D"/>
              <w:bottom w:val="single" w:sz="6" w:space="0" w:color="37342D"/>
              <w:right w:val="single" w:sz="6" w:space="0" w:color="37342D"/>
            </w:tcBorders>
            <w:shd w:val="clear" w:color="auto" w:fill="F6F5F1"/>
            <w:tcMar>
              <w:top w:w="129" w:type="dxa"/>
              <w:left w:w="15" w:type="dxa"/>
              <w:bottom w:w="0" w:type="dxa"/>
              <w:right w:w="15" w:type="dxa"/>
            </w:tcMar>
            <w:hideMark/>
          </w:tcPr>
          <w:p w:rsidR="009269D0" w:rsidRPr="009269D0" w:rsidRDefault="009269D0" w:rsidP="009269D0">
            <w:r w:rsidRPr="009269D0">
              <w:rPr>
                <w:b/>
                <w:bCs/>
              </w:rPr>
              <w:t>Scalability</w:t>
            </w:r>
          </w:p>
        </w:tc>
        <w:tc>
          <w:tcPr>
            <w:tcW w:w="2167" w:type="dxa"/>
            <w:tcBorders>
              <w:top w:val="single" w:sz="6" w:space="0" w:color="37342D"/>
              <w:left w:val="single" w:sz="6" w:space="0" w:color="37342D"/>
              <w:bottom w:val="single" w:sz="6" w:space="0" w:color="37342D"/>
              <w:right w:val="single" w:sz="6" w:space="0" w:color="37342D"/>
            </w:tcBorders>
            <w:shd w:val="clear" w:color="auto" w:fill="auto"/>
            <w:tcMar>
              <w:top w:w="30" w:type="dxa"/>
              <w:left w:w="15" w:type="dxa"/>
              <w:bottom w:w="0" w:type="dxa"/>
              <w:right w:w="15" w:type="dxa"/>
            </w:tcMar>
            <w:hideMark/>
          </w:tcPr>
          <w:p w:rsidR="009269D0" w:rsidRPr="009269D0" w:rsidRDefault="009269D0" w:rsidP="009269D0">
            <w:r w:rsidRPr="009269D0">
              <w:t>Can handle large datasets, cloud scalability options</w:t>
            </w:r>
          </w:p>
        </w:tc>
        <w:tc>
          <w:tcPr>
            <w:tcW w:w="2187" w:type="dxa"/>
            <w:tcBorders>
              <w:top w:val="single" w:sz="6" w:space="0" w:color="37342D"/>
              <w:left w:val="single" w:sz="6" w:space="0" w:color="37342D"/>
              <w:bottom w:val="single" w:sz="6" w:space="0" w:color="37342D"/>
              <w:right w:val="single" w:sz="6" w:space="0" w:color="37342D"/>
            </w:tcBorders>
            <w:shd w:val="clear" w:color="auto" w:fill="auto"/>
            <w:tcMar>
              <w:top w:w="198" w:type="dxa"/>
              <w:left w:w="15" w:type="dxa"/>
              <w:bottom w:w="0" w:type="dxa"/>
              <w:right w:w="15" w:type="dxa"/>
            </w:tcMar>
            <w:hideMark/>
          </w:tcPr>
          <w:p w:rsidR="009269D0" w:rsidRPr="009269D0" w:rsidRDefault="009269D0" w:rsidP="009269D0">
            <w:r w:rsidRPr="009269D0">
              <w:t>Highly scalable in the cloud</w:t>
            </w:r>
          </w:p>
        </w:tc>
        <w:tc>
          <w:tcPr>
            <w:tcW w:w="3691" w:type="dxa"/>
            <w:tcBorders>
              <w:top w:val="single" w:sz="6" w:space="0" w:color="37342D"/>
              <w:left w:val="single" w:sz="6" w:space="0" w:color="37342D"/>
              <w:bottom w:val="single" w:sz="6" w:space="0" w:color="37342D"/>
              <w:right w:val="single" w:sz="6" w:space="0" w:color="37342D"/>
            </w:tcBorders>
            <w:shd w:val="clear" w:color="auto" w:fill="auto"/>
            <w:tcMar>
              <w:top w:w="42" w:type="dxa"/>
              <w:left w:w="15" w:type="dxa"/>
              <w:bottom w:w="0" w:type="dxa"/>
              <w:right w:w="15" w:type="dxa"/>
            </w:tcMar>
            <w:hideMark/>
          </w:tcPr>
          <w:p w:rsidR="009269D0" w:rsidRPr="009269D0" w:rsidRDefault="009269D0" w:rsidP="009269D0">
            <w:r w:rsidRPr="009269D0">
              <w:t>Highly scalable, especially for on- premise</w:t>
            </w:r>
          </w:p>
        </w:tc>
        <w:bookmarkStart w:id="0" w:name="_GoBack"/>
        <w:bookmarkEnd w:id="0"/>
      </w:tr>
      <w:tr w:rsidR="009269D0" w:rsidRPr="009269D0" w:rsidTr="009269D0">
        <w:trPr>
          <w:trHeight w:val="1332"/>
        </w:trPr>
        <w:tc>
          <w:tcPr>
            <w:tcW w:w="1915" w:type="dxa"/>
            <w:tcBorders>
              <w:top w:val="single" w:sz="6" w:space="0" w:color="37342D"/>
              <w:left w:val="single" w:sz="6" w:space="0" w:color="37342D"/>
              <w:bottom w:val="single" w:sz="6" w:space="0" w:color="37342D"/>
              <w:right w:val="single" w:sz="6" w:space="0" w:color="37342D"/>
            </w:tcBorders>
            <w:shd w:val="clear" w:color="auto" w:fill="F6F5F1"/>
            <w:tcMar>
              <w:top w:w="72" w:type="dxa"/>
              <w:left w:w="15" w:type="dxa"/>
              <w:bottom w:w="0" w:type="dxa"/>
              <w:right w:w="15" w:type="dxa"/>
            </w:tcMar>
            <w:hideMark/>
          </w:tcPr>
          <w:p w:rsidR="009269D0" w:rsidRPr="009269D0" w:rsidRDefault="009269D0" w:rsidP="009269D0">
            <w:r w:rsidRPr="009269D0">
              <w:rPr>
                <w:b/>
                <w:bCs/>
              </w:rPr>
              <w:t>Data Sources/ Destinations</w:t>
            </w:r>
          </w:p>
        </w:tc>
        <w:tc>
          <w:tcPr>
            <w:tcW w:w="2167" w:type="dxa"/>
            <w:tcBorders>
              <w:top w:val="single" w:sz="6" w:space="0" w:color="37342D"/>
              <w:left w:val="single" w:sz="6" w:space="0" w:color="37342D"/>
              <w:bottom w:val="single" w:sz="6" w:space="0" w:color="37342D"/>
              <w:right w:val="single" w:sz="6" w:space="0" w:color="37342D"/>
            </w:tcBorders>
            <w:shd w:val="clear" w:color="auto" w:fill="auto"/>
            <w:tcMar>
              <w:top w:w="51" w:type="dxa"/>
              <w:left w:w="15" w:type="dxa"/>
              <w:bottom w:w="0" w:type="dxa"/>
              <w:right w:w="15" w:type="dxa"/>
            </w:tcMar>
            <w:hideMark/>
          </w:tcPr>
          <w:p w:rsidR="009269D0" w:rsidRPr="009269D0" w:rsidRDefault="009269D0" w:rsidP="009269D0">
            <w:r w:rsidRPr="009269D0">
              <w:t>Wide range, including</w:t>
            </w:r>
          </w:p>
          <w:p w:rsidR="009269D0" w:rsidRPr="009269D0" w:rsidRDefault="009269D0" w:rsidP="009269D0">
            <w:r w:rsidRPr="009269D0">
              <w:t>databases, files,</w:t>
            </w:r>
          </w:p>
          <w:p w:rsidR="009269D0" w:rsidRPr="009269D0" w:rsidRDefault="009269D0" w:rsidP="009269D0">
            <w:r w:rsidRPr="009269D0">
              <w:t>APIs</w:t>
            </w:r>
          </w:p>
        </w:tc>
        <w:tc>
          <w:tcPr>
            <w:tcW w:w="2187" w:type="dxa"/>
            <w:tcBorders>
              <w:top w:val="single" w:sz="6" w:space="0" w:color="37342D"/>
              <w:left w:val="single" w:sz="6" w:space="0" w:color="37342D"/>
              <w:bottom w:val="single" w:sz="6" w:space="0" w:color="37342D"/>
              <w:right w:val="single" w:sz="6" w:space="0" w:color="37342D"/>
            </w:tcBorders>
            <w:shd w:val="clear" w:color="auto" w:fill="auto"/>
            <w:tcMar>
              <w:top w:w="197" w:type="dxa"/>
              <w:left w:w="15" w:type="dxa"/>
              <w:bottom w:w="0" w:type="dxa"/>
              <w:right w:w="15" w:type="dxa"/>
            </w:tcMar>
            <w:hideMark/>
          </w:tcPr>
          <w:p w:rsidR="009269D0" w:rsidRPr="009269D0" w:rsidRDefault="009269D0" w:rsidP="009269D0">
            <w:r w:rsidRPr="009269D0">
              <w:t>Primarily cloud data warehouses, databases</w:t>
            </w:r>
          </w:p>
        </w:tc>
        <w:tc>
          <w:tcPr>
            <w:tcW w:w="3691" w:type="dxa"/>
            <w:tcBorders>
              <w:top w:val="single" w:sz="6" w:space="0" w:color="37342D"/>
              <w:left w:val="single" w:sz="6" w:space="0" w:color="37342D"/>
              <w:bottom w:val="single" w:sz="6" w:space="0" w:color="37342D"/>
              <w:right w:val="single" w:sz="6" w:space="0" w:color="37342D"/>
            </w:tcBorders>
            <w:shd w:val="clear" w:color="auto" w:fill="auto"/>
            <w:tcMar>
              <w:top w:w="42" w:type="dxa"/>
              <w:left w:w="15" w:type="dxa"/>
              <w:bottom w:w="0" w:type="dxa"/>
              <w:right w:w="15" w:type="dxa"/>
            </w:tcMar>
            <w:hideMark/>
          </w:tcPr>
          <w:p w:rsidR="009269D0" w:rsidRPr="009269D0" w:rsidRDefault="009269D0" w:rsidP="009269D0">
            <w:r w:rsidRPr="009269D0">
              <w:t>Extensive support for various data sources &amp; destinations</w:t>
            </w:r>
          </w:p>
        </w:tc>
      </w:tr>
      <w:tr w:rsidR="009269D0" w:rsidRPr="009269D0" w:rsidTr="009269D0">
        <w:trPr>
          <w:trHeight w:val="1505"/>
        </w:trPr>
        <w:tc>
          <w:tcPr>
            <w:tcW w:w="1915" w:type="dxa"/>
            <w:tcBorders>
              <w:top w:val="single" w:sz="6" w:space="0" w:color="37342D"/>
              <w:left w:val="single" w:sz="6" w:space="0" w:color="37342D"/>
              <w:bottom w:val="single" w:sz="6" w:space="0" w:color="37342D"/>
              <w:right w:val="single" w:sz="6" w:space="0" w:color="37342D"/>
            </w:tcBorders>
            <w:shd w:val="clear" w:color="auto" w:fill="F6F5F1"/>
            <w:tcMar>
              <w:top w:w="232" w:type="dxa"/>
              <w:left w:w="15" w:type="dxa"/>
              <w:bottom w:w="0" w:type="dxa"/>
              <w:right w:w="15" w:type="dxa"/>
            </w:tcMar>
            <w:hideMark/>
          </w:tcPr>
          <w:p w:rsidR="009269D0" w:rsidRPr="009269D0" w:rsidRDefault="009269D0" w:rsidP="009269D0">
            <w:r w:rsidRPr="009269D0">
              <w:rPr>
                <w:b/>
                <w:bCs/>
              </w:rPr>
              <w:t>Transformation s</w:t>
            </w:r>
          </w:p>
        </w:tc>
        <w:tc>
          <w:tcPr>
            <w:tcW w:w="2167" w:type="dxa"/>
            <w:tcBorders>
              <w:top w:val="single" w:sz="6" w:space="0" w:color="37342D"/>
              <w:left w:val="single" w:sz="6" w:space="0" w:color="37342D"/>
              <w:bottom w:val="single" w:sz="6" w:space="0" w:color="37342D"/>
              <w:right w:val="single" w:sz="6" w:space="0" w:color="37342D"/>
            </w:tcBorders>
            <w:shd w:val="clear" w:color="auto" w:fill="auto"/>
            <w:tcMar>
              <w:top w:w="46" w:type="dxa"/>
              <w:left w:w="15" w:type="dxa"/>
              <w:bottom w:w="0" w:type="dxa"/>
              <w:right w:w="15" w:type="dxa"/>
            </w:tcMar>
            <w:hideMark/>
          </w:tcPr>
          <w:p w:rsidR="009269D0" w:rsidRPr="009269D0" w:rsidRDefault="009269D0" w:rsidP="009269D0">
            <w:r w:rsidRPr="009269D0">
              <w:t>Robust data blending, cleansing, &amp;</w:t>
            </w:r>
          </w:p>
          <w:p w:rsidR="009269D0" w:rsidRPr="009269D0" w:rsidRDefault="009269D0" w:rsidP="009269D0">
            <w:r w:rsidRPr="009269D0">
              <w:t>advanced analytics</w:t>
            </w:r>
          </w:p>
        </w:tc>
        <w:tc>
          <w:tcPr>
            <w:tcW w:w="2187" w:type="dxa"/>
            <w:tcBorders>
              <w:top w:val="single" w:sz="6" w:space="0" w:color="37342D"/>
              <w:left w:val="single" w:sz="6" w:space="0" w:color="37342D"/>
              <w:bottom w:val="single" w:sz="6" w:space="0" w:color="37342D"/>
              <w:right w:val="single" w:sz="6" w:space="0" w:color="37342D"/>
            </w:tcBorders>
            <w:shd w:val="clear" w:color="auto" w:fill="auto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:rsidR="009269D0" w:rsidRPr="009269D0" w:rsidRDefault="009269D0" w:rsidP="009269D0">
            <w:r w:rsidRPr="009269D0">
              <w:t>SQL-based</w:t>
            </w:r>
          </w:p>
          <w:p w:rsidR="009269D0" w:rsidRPr="009269D0" w:rsidRDefault="009269D0" w:rsidP="009269D0">
            <w:proofErr w:type="spellStart"/>
            <w:r w:rsidRPr="009269D0">
              <w:t>transformatio</w:t>
            </w:r>
            <w:proofErr w:type="spellEnd"/>
            <w:r w:rsidRPr="009269D0">
              <w:t xml:space="preserve"> ns, pushdown </w:t>
            </w:r>
            <w:proofErr w:type="spellStart"/>
            <w:r w:rsidRPr="009269D0">
              <w:t>optimizatio</w:t>
            </w:r>
            <w:proofErr w:type="spellEnd"/>
            <w:r w:rsidRPr="009269D0">
              <w:t xml:space="preserve"> n</w:t>
            </w:r>
          </w:p>
        </w:tc>
        <w:tc>
          <w:tcPr>
            <w:tcW w:w="3691" w:type="dxa"/>
            <w:tcBorders>
              <w:top w:val="single" w:sz="6" w:space="0" w:color="37342D"/>
              <w:left w:val="single" w:sz="6" w:space="0" w:color="37342D"/>
              <w:bottom w:val="single" w:sz="6" w:space="0" w:color="37342D"/>
              <w:right w:val="single" w:sz="6" w:space="0" w:color="37342D"/>
            </w:tcBorders>
            <w:shd w:val="clear" w:color="auto" w:fill="auto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:rsidR="009269D0" w:rsidRPr="009269D0" w:rsidRDefault="009269D0" w:rsidP="009269D0">
            <w:r w:rsidRPr="009269D0">
              <w:t>Wide array of</w:t>
            </w:r>
          </w:p>
          <w:p w:rsidR="009269D0" w:rsidRPr="009269D0" w:rsidRDefault="009269D0" w:rsidP="009269D0">
            <w:r w:rsidRPr="009269D0">
              <w:t>transformations,  including complex mappings</w:t>
            </w:r>
          </w:p>
        </w:tc>
      </w:tr>
      <w:tr w:rsidR="009269D0" w:rsidRPr="009269D0" w:rsidTr="009269D0">
        <w:trPr>
          <w:trHeight w:val="2011"/>
        </w:trPr>
        <w:tc>
          <w:tcPr>
            <w:tcW w:w="1915" w:type="dxa"/>
            <w:tcBorders>
              <w:top w:val="single" w:sz="6" w:space="0" w:color="37342D"/>
              <w:left w:val="single" w:sz="6" w:space="0" w:color="37342D"/>
              <w:bottom w:val="single" w:sz="6" w:space="0" w:color="37342D"/>
              <w:right w:val="single" w:sz="6" w:space="0" w:color="37342D"/>
            </w:tcBorders>
            <w:shd w:val="clear" w:color="auto" w:fill="F6F5F1"/>
            <w:tcMar>
              <w:top w:w="126" w:type="dxa"/>
              <w:left w:w="15" w:type="dxa"/>
              <w:bottom w:w="0" w:type="dxa"/>
              <w:right w:w="15" w:type="dxa"/>
            </w:tcMar>
            <w:hideMark/>
          </w:tcPr>
          <w:p w:rsidR="009269D0" w:rsidRPr="009269D0" w:rsidRDefault="009269D0" w:rsidP="009269D0">
            <w:r w:rsidRPr="009269D0">
              <w:rPr>
                <w:b/>
                <w:bCs/>
              </w:rPr>
              <w:t>Cost</w:t>
            </w:r>
          </w:p>
        </w:tc>
        <w:tc>
          <w:tcPr>
            <w:tcW w:w="2167" w:type="dxa"/>
            <w:tcBorders>
              <w:top w:val="single" w:sz="6" w:space="0" w:color="37342D"/>
              <w:left w:val="single" w:sz="6" w:space="0" w:color="37342D"/>
              <w:bottom w:val="single" w:sz="6" w:space="0" w:color="37342D"/>
              <w:right w:val="single" w:sz="6" w:space="0" w:color="37342D"/>
            </w:tcBorders>
            <w:shd w:val="clear" w:color="auto" w:fill="auto"/>
            <w:tcMar>
              <w:top w:w="38" w:type="dxa"/>
              <w:left w:w="15" w:type="dxa"/>
              <w:bottom w:w="0" w:type="dxa"/>
              <w:right w:w="15" w:type="dxa"/>
            </w:tcMar>
            <w:hideMark/>
          </w:tcPr>
          <w:p w:rsidR="009269D0" w:rsidRPr="009269D0" w:rsidRDefault="009269D0" w:rsidP="009269D0">
            <w:r w:rsidRPr="009269D0">
              <w:t>Varies based</w:t>
            </w:r>
            <w:r w:rsidRPr="009269D0">
              <w:tab/>
              <w:t>on deployment and  features</w:t>
            </w:r>
          </w:p>
        </w:tc>
        <w:tc>
          <w:tcPr>
            <w:tcW w:w="2187" w:type="dxa"/>
            <w:tcBorders>
              <w:top w:val="single" w:sz="6" w:space="0" w:color="37342D"/>
              <w:left w:val="single" w:sz="6" w:space="0" w:color="37342D"/>
              <w:bottom w:val="single" w:sz="6" w:space="0" w:color="37342D"/>
              <w:right w:val="single" w:sz="6" w:space="0" w:color="37342D"/>
            </w:tcBorders>
            <w:shd w:val="clear" w:color="auto" w:fill="auto"/>
            <w:tcMar>
              <w:top w:w="38" w:type="dxa"/>
              <w:left w:w="15" w:type="dxa"/>
              <w:bottom w:w="0" w:type="dxa"/>
              <w:right w:w="15" w:type="dxa"/>
            </w:tcMar>
            <w:hideMark/>
          </w:tcPr>
          <w:p w:rsidR="009269D0" w:rsidRPr="009269D0" w:rsidRDefault="009269D0" w:rsidP="009269D0">
            <w:r w:rsidRPr="009269D0">
              <w:t>Consumption- based pricing based on usage</w:t>
            </w:r>
          </w:p>
        </w:tc>
        <w:tc>
          <w:tcPr>
            <w:tcW w:w="3691" w:type="dxa"/>
            <w:tcBorders>
              <w:top w:val="single" w:sz="6" w:space="0" w:color="37342D"/>
              <w:left w:val="single" w:sz="6" w:space="0" w:color="37342D"/>
              <w:bottom w:val="single" w:sz="6" w:space="0" w:color="37342D"/>
              <w:right w:val="single" w:sz="6" w:space="0" w:color="37342D"/>
            </w:tcBorders>
            <w:shd w:val="clear" w:color="auto" w:fill="auto"/>
            <w:tcMar>
              <w:top w:w="39" w:type="dxa"/>
              <w:left w:w="15" w:type="dxa"/>
              <w:bottom w:w="0" w:type="dxa"/>
              <w:right w:w="15" w:type="dxa"/>
            </w:tcMar>
            <w:hideMark/>
          </w:tcPr>
          <w:p w:rsidR="009269D0" w:rsidRPr="009269D0" w:rsidRDefault="009269D0" w:rsidP="009269D0">
            <w:r w:rsidRPr="009269D0">
              <w:t>Typically, higher upfront cost, subscription-based</w:t>
            </w:r>
          </w:p>
        </w:tc>
      </w:tr>
      <w:tr w:rsidR="009269D0" w:rsidRPr="009269D0" w:rsidTr="009269D0">
        <w:trPr>
          <w:trHeight w:val="2706"/>
        </w:trPr>
        <w:tc>
          <w:tcPr>
            <w:tcW w:w="1915" w:type="dxa"/>
            <w:tcBorders>
              <w:top w:val="single" w:sz="6" w:space="0" w:color="37342D"/>
              <w:left w:val="single" w:sz="6" w:space="0" w:color="37342D"/>
              <w:bottom w:val="single" w:sz="6" w:space="0" w:color="37342D"/>
              <w:right w:val="single" w:sz="6" w:space="0" w:color="37342D"/>
            </w:tcBorders>
            <w:shd w:val="clear" w:color="auto" w:fill="F6F5F1"/>
            <w:tcMar>
              <w:top w:w="234" w:type="dxa"/>
              <w:left w:w="15" w:type="dxa"/>
              <w:bottom w:w="0" w:type="dxa"/>
              <w:right w:w="15" w:type="dxa"/>
            </w:tcMar>
            <w:hideMark/>
          </w:tcPr>
          <w:p w:rsidR="009269D0" w:rsidRPr="009269D0" w:rsidRDefault="009269D0" w:rsidP="009269D0">
            <w:r w:rsidRPr="009269D0">
              <w:rPr>
                <w:b/>
                <w:bCs/>
              </w:rPr>
              <w:lastRenderedPageBreak/>
              <w:t>Ideal Use Cases</w:t>
            </w:r>
          </w:p>
        </w:tc>
        <w:tc>
          <w:tcPr>
            <w:tcW w:w="2167" w:type="dxa"/>
            <w:tcBorders>
              <w:top w:val="single" w:sz="6" w:space="0" w:color="37342D"/>
              <w:left w:val="single" w:sz="6" w:space="0" w:color="37342D"/>
              <w:bottom w:val="single" w:sz="6" w:space="0" w:color="37342D"/>
              <w:right w:val="single" w:sz="6" w:space="0" w:color="37342D"/>
            </w:tcBorders>
            <w:shd w:val="clear" w:color="auto" w:fill="auto"/>
            <w:tcMar>
              <w:top w:w="49" w:type="dxa"/>
              <w:left w:w="15" w:type="dxa"/>
              <w:bottom w:w="0" w:type="dxa"/>
              <w:right w:w="15" w:type="dxa"/>
            </w:tcMar>
            <w:hideMark/>
          </w:tcPr>
          <w:p w:rsidR="009269D0" w:rsidRPr="009269D0" w:rsidRDefault="009269D0" w:rsidP="009269D0">
            <w:r w:rsidRPr="009269D0">
              <w:t>Data analysts, data scientists, business users exploring</w:t>
            </w:r>
          </w:p>
          <w:p w:rsidR="009269D0" w:rsidRPr="009269D0" w:rsidRDefault="009269D0" w:rsidP="009269D0">
            <w:r w:rsidRPr="009269D0">
              <w:t>data</w:t>
            </w:r>
          </w:p>
        </w:tc>
        <w:tc>
          <w:tcPr>
            <w:tcW w:w="2187" w:type="dxa"/>
            <w:tcBorders>
              <w:top w:val="single" w:sz="6" w:space="0" w:color="37342D"/>
              <w:left w:val="single" w:sz="6" w:space="0" w:color="37342D"/>
              <w:bottom w:val="single" w:sz="6" w:space="0" w:color="37342D"/>
              <w:right w:val="single" w:sz="6" w:space="0" w:color="37342D"/>
            </w:tcBorders>
            <w:shd w:val="clear" w:color="auto" w:fill="auto"/>
            <w:tcMar>
              <w:top w:w="39" w:type="dxa"/>
              <w:left w:w="15" w:type="dxa"/>
              <w:bottom w:w="0" w:type="dxa"/>
              <w:right w:w="15" w:type="dxa"/>
            </w:tcMar>
            <w:hideMark/>
          </w:tcPr>
          <w:p w:rsidR="009269D0" w:rsidRPr="009269D0" w:rsidRDefault="009269D0" w:rsidP="009269D0">
            <w:r w:rsidRPr="009269D0">
              <w:t>Data engineers building and managing cloud data pipelines</w:t>
            </w:r>
          </w:p>
        </w:tc>
        <w:tc>
          <w:tcPr>
            <w:tcW w:w="3691" w:type="dxa"/>
            <w:tcBorders>
              <w:top w:val="single" w:sz="6" w:space="0" w:color="37342D"/>
              <w:left w:val="single" w:sz="6" w:space="0" w:color="37342D"/>
              <w:bottom w:val="single" w:sz="6" w:space="0" w:color="37342D"/>
              <w:right w:val="single" w:sz="6" w:space="0" w:color="37342D"/>
            </w:tcBorders>
            <w:shd w:val="clear" w:color="auto" w:fill="auto"/>
            <w:tcMar>
              <w:top w:w="198" w:type="dxa"/>
              <w:left w:w="15" w:type="dxa"/>
              <w:bottom w:w="0" w:type="dxa"/>
              <w:right w:w="15" w:type="dxa"/>
            </w:tcMar>
            <w:hideMark/>
          </w:tcPr>
          <w:p w:rsidR="009269D0" w:rsidRPr="009269D0" w:rsidRDefault="009269D0" w:rsidP="009269D0">
            <w:r w:rsidRPr="009269D0">
              <w:t>Large  enterprises  with complex data integration needs</w:t>
            </w:r>
          </w:p>
        </w:tc>
      </w:tr>
    </w:tbl>
    <w:p w:rsidR="00ED52AD" w:rsidRDefault="009269D0"/>
    <w:sectPr w:rsidR="00ED52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69D0"/>
    <w:rsid w:val="008E231E"/>
    <w:rsid w:val="009269D0"/>
    <w:rsid w:val="00C823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FD5E35D-7752-4DD4-A630-6D4F13EF94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8666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189</Words>
  <Characters>1083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2025-11-21T05:20:00Z</dcterms:created>
  <dcterms:modified xsi:type="dcterms:W3CDTF">2025-11-21T05:22:00Z</dcterms:modified>
</cp:coreProperties>
</file>