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MUNDRA BROTHERS — NON-TRADE CONTROL PLATFORM</w:t>
      </w:r>
    </w:p>
    <w:p>
      <w:pPr>
        <w:spacing w:after="40"/>
        <w:jc w:val="center"/>
      </w:pPr>
      <w:r>
        <w:rPr>
          <w:b/>
          <w:bCs/>
          <w:color w:val="9C6B1F"/>
          <w:sz w:val="24"/>
          <w:szCs w:val="24"/>
        </w:rPr>
        <w:t xml:space="preserve">USER GUIDE</w:t>
      </w:r>
    </w:p>
    <w:p>
      <w:pPr>
        <w:spacing w:after="220"/>
        <w:jc w:val="center"/>
      </w:pPr>
      <w:r>
        <w:rPr>
          <w:i/>
          <w:iCs/>
          <w:color w:val="5B5B5B"/>
          <w:sz w:val="20"/>
          <w:szCs w:val="20"/>
        </w:rPr>
        <w:t xml:space="preserve">A plain-language walkthrough of every screen, for staff and client users. Special focus: Chapter 6 — Understanding Payments.</w:t>
      </w:r>
    </w:p>
    <w:p>
      <w:pPr>
        <w:pStyle w:val="Heading1"/>
        <w:pBdr>
          <w:bottom w:val="single" w:color="1F3864" w:sz="6" w:space="4"/>
        </w:pBdr>
        <w:spacing w:after="110" w:before="260"/>
      </w:pPr>
      <w:r>
        <w:rPr>
          <w:b/>
          <w:bCs/>
          <w:color w:val="1F3864"/>
          <w:sz w:val="28"/>
          <w:szCs w:val="28"/>
        </w:rPr>
        <w:t xml:space="preserve">1. Welcome</w:t>
      </w:r>
    </w:p>
    <w:p>
      <w:pPr>
        <w:spacing w:after="90"/>
      </w:pPr>
      <w:r>
        <w:rPr>
          <w:i w:val="false"/>
          <w:iCs w:val="false"/>
          <w:color w:val="222222"/>
          <w:sz w:val="20"/>
          <w:szCs w:val="20"/>
        </w:rPr>
        <w:t xml:space="preserve">The Non-Trade Control Platform is where Mundra Brothers and its client companies manage the full order cycle: raising a Purchase Order, requesting dispatch, tracking credit and outstanding balances, reporting and recording payments, and generating compliance letters — replacing scattered spreadsheets and manual Tally entries with one shared system.</w:t>
      </w:r>
    </w:p>
    <w:p>
      <w:pPr>
        <w:spacing w:after="40" w:before="120"/>
      </w:pPr>
      <w:r>
        <w:rPr>
          <w:b/>
          <w:bCs/>
          <w:color w:val="9C6B1F"/>
          <w:sz w:val="20"/>
          <w:szCs w:val="20"/>
        </w:rPr>
        <w:t xml:space="preserve">Two sides to the platform</w:t>
      </w:r>
    </w:p>
    <w:p>
      <w:pPr>
        <w:pStyle w:val="ListParagraph"/>
        <w:numPr>
          <w:ilvl w:val="0"/>
          <w:numId w:val="2"/>
        </w:numPr>
        <w:spacing w:after="50"/>
      </w:pPr>
      <w:r>
        <w:rPr>
          <w:b/>
          <w:bCs/>
          <w:color w:val="222222"/>
          <w:sz w:val="20"/>
          <w:szCs w:val="20"/>
        </w:rPr>
        <w:t xml:space="preserve">Admin Console — </w:t>
      </w:r>
      <w:r>
        <w:rPr>
          <w:color w:val="222222"/>
          <w:sz w:val="20"/>
          <w:szCs w:val="20"/>
        </w:rPr>
        <w:t xml:space="preserve">Mundra Brothers staff only — a company-wide view across every client.</w:t>
      </w:r>
    </w:p>
    <w:p>
      <w:pPr>
        <w:pStyle w:val="ListParagraph"/>
        <w:numPr>
          <w:ilvl w:val="0"/>
          <w:numId w:val="2"/>
        </w:numPr>
        <w:spacing w:after="50"/>
      </w:pPr>
      <w:r>
        <w:rPr>
          <w:b/>
          <w:bCs/>
          <w:color w:val="222222"/>
          <w:sz w:val="20"/>
          <w:szCs w:val="20"/>
        </w:rPr>
        <w:t xml:space="preserve">Client Portal — </w:t>
      </w:r>
      <w:r>
        <w:rPr>
          <w:color w:val="222222"/>
          <w:sz w:val="20"/>
          <w:szCs w:val="20"/>
        </w:rPr>
        <w:t xml:space="preserve">A client company's own staff — only that company's own orders, balance, and payments.</w:t>
      </w:r>
    </w:p>
    <w:p>
      <w:pPr>
        <w:spacing w:after="90"/>
      </w:pPr>
      <w:r>
        <w:rPr>
          <w:i/>
          <w:iCs/>
          <w:color w:val="222222"/>
          <w:sz w:val="20"/>
          <w:szCs w:val="20"/>
        </w:rPr>
        <w:t xml:space="preserve">Which one you see is decided by how your account was set up — you don't choose it, and never see the other side.</w:t>
      </w:r>
    </w:p>
    <w:p>
      <w:pPr>
        <w:spacing w:after="90"/>
      </w:pPr>
      <w:r>
        <w:rPr>
          <w:i w:val="false"/>
          <w:iCs w:val="false"/>
          <w:color w:val="222222"/>
          <w:sz w:val="20"/>
          <w:szCs w:val="20"/>
        </w:rPr>
        <w:t xml:space="preserve">This guide follows the sidebar order: Chapter 4 is every Admin Console page, Chapter 5 every Client Portal page. Chapter 6 is a deep dive into Payments specifically — it's used most often and is where a mix-up costs the most. Chapter 7 is a one-page cheat sheet of status labels, and Chapter 8 is an honest list of what isn't built yet.</w:t>
      </w:r>
    </w:p>
    <w:p>
      <w:pPr>
        <w:pStyle w:val="Heading1"/>
        <w:pBdr>
          <w:bottom w:val="single" w:color="1F3864" w:sz="6" w:space="4"/>
        </w:pBdr>
        <w:spacing w:after="110" w:before="260"/>
      </w:pPr>
      <w:r>
        <w:rPr>
          <w:b/>
          <w:bCs/>
          <w:color w:val="1F3864"/>
          <w:sz w:val="28"/>
          <w:szCs w:val="28"/>
        </w:rPr>
        <w:t xml:space="preserve">2. Signing In</w:t>
      </w:r>
    </w:p>
    <w:p>
      <w:pPr>
        <w:spacing w:after="40" w:before="120"/>
      </w:pPr>
      <w:r>
        <w:rPr>
          <w:b/>
          <w:bCs/>
          <w:color w:val="9C6B1F"/>
          <w:sz w:val="20"/>
          <w:szCs w:val="20"/>
        </w:rPr>
        <w:t xml:space="preserve">Logging in</w:t>
      </w:r>
    </w:p>
    <w:p>
      <w:pPr>
        <w:pStyle w:val="ListParagraph"/>
        <w:numPr>
          <w:ilvl w:val="0"/>
          <w:numId w:val="3"/>
        </w:numPr>
        <w:spacing w:after="60"/>
      </w:pPr>
      <w:r>
        <w:rPr>
          <w:color w:val="222222"/>
          <w:sz w:val="20"/>
          <w:szCs w:val="20"/>
        </w:rPr>
        <w:t xml:space="preserve">Select the "Sign in" tab, enter your Work email and Password, and click "Sign in".</w:t>
      </w:r>
    </w:p>
    <w:p>
      <w:pPr>
        <w:spacing w:after="40" w:before="120"/>
      </w:pPr>
      <w:r>
        <w:rPr>
          <w:b/>
          <w:bCs/>
          <w:color w:val="9C6B1F"/>
          <w:sz w:val="20"/>
          <w:szCs w:val="20"/>
        </w:rPr>
        <w:t xml:space="preserve">Creating a new account</w:t>
      </w:r>
    </w:p>
    <w:p>
      <w:pPr>
        <w:pStyle w:val="ListParagraph"/>
        <w:numPr>
          <w:ilvl w:val="0"/>
          <w:numId w:val="3"/>
        </w:numPr>
        <w:spacing w:after="60"/>
      </w:pPr>
      <w:r>
        <w:rPr>
          <w:color w:val="222222"/>
          <w:sz w:val="20"/>
          <w:szCs w:val="20"/>
        </w:rPr>
        <w:t xml:space="preserve">Click "Create account", fill in Full name / Work email / Password (min. 8 characters), and click "Create account".</w:t>
      </w:r>
    </w:p>
    <w:p>
      <w:pPr>
        <w:pBdr>
          <w:top w:val="single" w:color="2C5AA0" w:sz="4" w:space="4"/>
          <w:bottom w:val="single" w:color="2C5AA0" w:sz="4" w:space="4"/>
          <w:left w:val="single" w:color="2C5AA0" w:sz="22" w:space="10"/>
          <w:right w:val="single" w:color="2C5AA0" w:sz="4" w:space="4"/>
        </w:pBdr>
        <w:shd w:fill="E8F0FE" w:color="auto" w:val="clear"/>
        <w:spacing w:after="130" w:before="90"/>
      </w:pPr>
      <w:r>
        <w:rPr>
          <w:b/>
          <w:bCs/>
          <w:color w:val="222222"/>
          <w:sz w:val="20"/>
          <w:szCs w:val="20"/>
        </w:rPr>
        <w:t xml:space="preserve">ℹ What happens next</w:t>
      </w:r>
      <w:r>
        <w:rPr>
          <w:color w:val="222222"/>
          <w:sz w:val="20"/>
          <w:szCs w:val="20"/>
        </w:rPr>
        <w:br/>
        <w:t xml:space="preserve">Your account isn't active immediately — a Mundra Brothers administrator must approve it (Chapter 4.10) and, for client users, attach it to the correct client company.</w:t>
      </w:r>
    </w:p>
    <w:p>
      <w:pPr>
        <w:pStyle w:val="Heading1"/>
        <w:pBdr>
          <w:bottom w:val="single" w:color="1F3864" w:sz="6" w:space="4"/>
        </w:pBdr>
        <w:spacing w:after="110" w:before="260"/>
      </w:pPr>
      <w:r>
        <w:rPr>
          <w:b/>
          <w:bCs/>
          <w:color w:val="1F3864"/>
          <w:sz w:val="28"/>
          <w:szCs w:val="28"/>
        </w:rPr>
        <w:t xml:space="preserve">3. Finding Your Way Around</w:t>
      </w:r>
    </w:p>
    <w:p>
      <w:pPr>
        <w:spacing w:after="90"/>
      </w:pPr>
      <w:r>
        <w:rPr>
          <w:i w:val="false"/>
          <w:iCs w:val="false"/>
          <w:color w:val="222222"/>
          <w:sz w:val="20"/>
          <w:szCs w:val="20"/>
        </w:rPr>
        <w:t xml:space="preserve">Every page sits inside the same frame: a menu down the left, a bar across the top.</w:t>
      </w:r>
    </w:p>
    <w:p>
      <w:pPr>
        <w:spacing w:after="40" w:before="120"/>
      </w:pPr>
      <w:r>
        <w:rPr>
          <w:b/>
          <w:bCs/>
          <w:color w:val="9C6B1F"/>
          <w:sz w:val="20"/>
          <w:szCs w:val="20"/>
        </w:rPr>
        <w:t xml:space="preserve">Sidebar — Admin Console</w:t>
      </w:r>
    </w:p>
    <w:p>
      <w:pPr>
        <w:spacing w:after="90"/>
      </w:pPr>
      <w:r>
        <w:rPr>
          <w:i w:val="false"/>
          <w:iCs w:val="false"/>
          <w:color w:val="222222"/>
          <w:sz w:val="20"/>
          <w:szCs w:val="20"/>
        </w:rPr>
        <w:t xml:space="preserve">Dashboard, Client Master, Products, Rate Master, PO Queue, Dispatch Queue, Payments &amp; Refunds, Balance Confirmations, Refund Letters, User Approvals, Reports, Audit Trail, Platform Settings.</w:t>
      </w:r>
    </w:p>
    <w:p>
      <w:pPr>
        <w:spacing w:after="40" w:before="120"/>
      </w:pPr>
      <w:r>
        <w:rPr>
          <w:b/>
          <w:bCs/>
          <w:color w:val="9C6B1F"/>
          <w:sz w:val="20"/>
          <w:szCs w:val="20"/>
        </w:rPr>
        <w:t xml:space="preserve">Sidebar — Client Portal</w:t>
      </w:r>
    </w:p>
    <w:p>
      <w:pPr>
        <w:spacing w:after="90"/>
      </w:pPr>
      <w:r>
        <w:rPr>
          <w:i w:val="false"/>
          <w:iCs w:val="false"/>
          <w:color w:val="222222"/>
          <w:sz w:val="20"/>
          <w:szCs w:val="20"/>
        </w:rPr>
        <w:t xml:space="preserve">Dashboard, Purchase Orders, Dispatches, Payments, Ledgers &amp; Compliance, Balance Confirmations, Documents, My Team.</w:t>
      </w:r>
    </w:p>
    <w:p>
      <w:pPr>
        <w:spacing w:after="40" w:before="120"/>
      </w:pPr>
      <w:r>
        <w:rPr>
          <w:b/>
          <w:bCs/>
          <w:color w:val="9C6B1F"/>
          <w:sz w:val="20"/>
          <w:szCs w:val="20"/>
        </w:rPr>
        <w:t xml:space="preserve">Top bar</w:t>
      </w:r>
    </w:p>
    <w:p>
      <w:pPr>
        <w:pStyle w:val="ListParagraph"/>
        <w:numPr>
          <w:ilvl w:val="0"/>
          <w:numId w:val="2"/>
        </w:numPr>
        <w:spacing w:after="50"/>
      </w:pPr>
      <w:r>
        <w:rPr>
          <w:b/>
          <w:bCs/>
          <w:color w:val="222222"/>
          <w:sz w:val="20"/>
          <w:szCs w:val="20"/>
        </w:rPr>
        <w:t xml:space="preserve">Organisation badge — </w:t>
      </w:r>
      <w:r>
        <w:rPr>
          <w:color w:val="222222"/>
          <w:sz w:val="20"/>
          <w:szCs w:val="20"/>
        </w:rPr>
        <w:t xml:space="preserve">Your company name and whether you're "Operator" (Mundra staff) or "Client Org".</w:t>
      </w:r>
    </w:p>
    <w:p>
      <w:pPr>
        <w:pStyle w:val="ListParagraph"/>
        <w:numPr>
          <w:ilvl w:val="0"/>
          <w:numId w:val="2"/>
        </w:numPr>
        <w:spacing w:after="50"/>
      </w:pPr>
      <w:r>
        <w:rPr>
          <w:b/>
          <w:bCs/>
          <w:color w:val="222222"/>
          <w:sz w:val="20"/>
          <w:szCs w:val="20"/>
        </w:rPr>
        <w:t xml:space="preserve">Bell icon — </w:t>
      </w:r>
      <w:r>
        <w:rPr>
          <w:color w:val="222222"/>
          <w:sz w:val="20"/>
          <w:szCs w:val="20"/>
        </w:rPr>
        <w:t xml:space="preserve">Notifications relevant to you.</w:t>
      </w:r>
    </w:p>
    <w:p>
      <w:pPr>
        <w:pStyle w:val="ListParagraph"/>
        <w:numPr>
          <w:ilvl w:val="0"/>
          <w:numId w:val="2"/>
        </w:numPr>
        <w:spacing w:after="50"/>
      </w:pPr>
      <w:r>
        <w:rPr>
          <w:b/>
          <w:bCs/>
          <w:color w:val="222222"/>
          <w:sz w:val="20"/>
          <w:szCs w:val="20"/>
        </w:rPr>
        <w:t xml:space="preserve">Avatar menu — </w:t>
      </w:r>
      <w:r>
        <w:rPr>
          <w:color w:val="222222"/>
          <w:sz w:val="20"/>
          <w:szCs w:val="20"/>
        </w:rPr>
        <w:t xml:space="preserve">"Sign out".</w:t>
      </w:r>
    </w:p>
    <w:p>
      <w:pPr>
        <w:spacing w:after="40" w:before="120"/>
      </w:pPr>
      <w:r>
        <w:rPr>
          <w:b/>
          <w:bCs/>
          <w:color w:val="9C6B1F"/>
          <w:sz w:val="20"/>
          <w:szCs w:val="20"/>
        </w:rPr>
        <w:t xml:space="preserve">Colour rule of thumb</w:t>
      </w:r>
    </w:p>
    <w:p>
      <w:pPr>
        <w:spacing w:after="90"/>
      </w:pPr>
      <w:r>
        <w:rPr>
          <w:i/>
          <w:iCs/>
          <w:color w:val="222222"/>
          <w:sz w:val="20"/>
          <w:szCs w:val="20"/>
        </w:rPr>
        <w:t xml:space="preserve">Green = approved/cleared/paid; grey = waiting for review; amber = an exception needing a look; red = blocked/rejected/overdue. Exact wording per page is in Chapter 7.</w:t>
      </w:r>
    </w:p>
    <w:p>
      <w:pPr>
        <w:pStyle w:val="Heading1"/>
        <w:pBdr>
          <w:bottom w:val="single" w:color="1F3864" w:sz="6" w:space="4"/>
        </w:pBdr>
        <w:spacing w:after="110" w:before="260"/>
      </w:pPr>
      <w:r>
        <w:rPr>
          <w:b/>
          <w:bCs/>
          <w:color w:val="1F3864"/>
          <w:sz w:val="28"/>
          <w:szCs w:val="28"/>
        </w:rPr>
        <w:t xml:space="preserve">4. The Admin Console (Mundra Brothers Staff)</w:t>
      </w:r>
    </w:p>
    <w:p>
      <w:pPr>
        <w:spacing w:after="120"/>
      </w:pPr>
      <w:r>
        <w:rPr>
          <w:i/>
          <w:iCs/>
          <w:color w:val="5B5B5B"/>
          <w:sz w:val="20"/>
          <w:szCs w:val="20"/>
        </w:rPr>
        <w:t xml:space="preserve">Visible only to Mundra Brothers staff accounts.</w:t>
      </w:r>
    </w:p>
    <w:p>
      <w:pPr>
        <w:pStyle w:val="Heading2"/>
        <w:spacing w:after="70" w:before="180"/>
      </w:pPr>
      <w:r>
        <w:rPr>
          <w:b/>
          <w:bCs/>
          <w:color w:val="2E5395"/>
          <w:sz w:val="23"/>
          <w:szCs w:val="23"/>
        </w:rPr>
        <w:t xml:space="preserve">4.1  Dashboard</w:t>
      </w:r>
    </w:p>
    <w:p>
      <w:pPr>
        <w:spacing w:after="70"/>
      </w:pPr>
      <w:r>
        <w:rPr>
          <w:color w:val="222222"/>
          <w:sz w:val="20"/>
          <w:szCs w:val="20"/>
        </w:rPr>
        <w:t xml:space="preserve">A one-screen summary of the whole client portfolio — credit health, open work queues, and today's activity.</w:t>
      </w:r>
    </w:p>
    <w:p>
      <w:pPr>
        <w:pStyle w:val="ListParagraph"/>
        <w:numPr>
          <w:ilvl w:val="0"/>
          <w:numId w:val="2"/>
        </w:numPr>
        <w:spacing w:after="50"/>
      </w:pPr>
      <w:r>
        <w:rPr>
          <w:b/>
          <w:bCs/>
          <w:color w:val="222222"/>
          <w:sz w:val="20"/>
          <w:szCs w:val="20"/>
        </w:rPr>
        <w:t xml:space="preserve">Portfolio tiles — </w:t>
      </w:r>
      <w:r>
        <w:rPr>
          <w:color w:val="222222"/>
          <w:sz w:val="20"/>
          <w:szCs w:val="20"/>
        </w:rPr>
        <w:t xml:space="preserve">Active Clients, Sanctioned Credit, Recognised Exposure, Available Credit, Clients with Overdue, Overdue Outstanding — information only.</w:t>
      </w:r>
    </w:p>
    <w:p>
      <w:pPr>
        <w:pStyle w:val="ListParagraph"/>
        <w:numPr>
          <w:ilvl w:val="0"/>
          <w:numId w:val="2"/>
        </w:numPr>
        <w:spacing w:after="50"/>
      </w:pPr>
      <w:r>
        <w:rPr>
          <w:b/>
          <w:bCs/>
          <w:color w:val="222222"/>
          <w:sz w:val="20"/>
          <w:szCs w:val="20"/>
        </w:rPr>
        <w:t xml:space="preserve">Task queue cards — </w:t>
      </w:r>
      <w:r>
        <w:rPr>
          <w:color w:val="222222"/>
          <w:sz w:val="20"/>
          <w:szCs w:val="20"/>
        </w:rPr>
        <w:t xml:space="preserve">"View" jumps to the POs, Dispatches, Payments &amp; Refunds, or Balance Confirmations queue.</w:t>
      </w:r>
    </w:p>
    <w:p>
      <w:pPr>
        <w:pStyle w:val="ListParagraph"/>
        <w:numPr>
          <w:ilvl w:val="0"/>
          <w:numId w:val="2"/>
        </w:numPr>
        <w:spacing w:after="50"/>
      </w:pPr>
      <w:r>
        <w:rPr>
          <w:b/>
          <w:bCs/>
          <w:color w:val="222222"/>
          <w:sz w:val="20"/>
          <w:szCs w:val="20"/>
        </w:rPr>
        <w:t xml:space="preserve">Today's Activity / Audit &amp; SLA alerts — </w:t>
      </w:r>
      <w:r>
        <w:rPr>
          <w:color w:val="222222"/>
          <w:sz w:val="20"/>
          <w:szCs w:val="20"/>
        </w:rPr>
        <w:t xml:space="preserve">A running feed of today's actions, and clickable warnings that jump to the relevant queue.</w:t>
      </w:r>
    </w:p>
    <w:p>
      <w:pPr>
        <w:pStyle w:val="ListParagraph"/>
        <w:numPr>
          <w:ilvl w:val="0"/>
          <w:numId w:val="2"/>
        </w:numPr>
        <w:spacing w:after="50"/>
      </w:pPr>
      <w:r>
        <w:rPr>
          <w:b/>
          <w:bCs/>
          <w:color w:val="222222"/>
          <w:sz w:val="20"/>
          <w:szCs w:val="20"/>
        </w:rPr>
        <w:t xml:space="preserve">"Open register" — </w:t>
      </w:r>
      <w:r>
        <w:rPr>
          <w:color w:val="222222"/>
          <w:sz w:val="20"/>
          <w:szCs w:val="20"/>
        </w:rPr>
        <w:t xml:space="preserve">Opens User Approvals (4.10).</w:t>
      </w:r>
    </w:p>
    <w:p>
      <w:pPr>
        <w:pStyle w:val="Heading2"/>
        <w:spacing w:after="70" w:before="180"/>
      </w:pPr>
      <w:r>
        <w:rPr>
          <w:b/>
          <w:bCs/>
          <w:color w:val="2E5395"/>
          <w:sz w:val="23"/>
          <w:szCs w:val="23"/>
        </w:rPr>
        <w:t xml:space="preserve">4.2  Client Directory</w:t>
      </w:r>
    </w:p>
    <w:p>
      <w:pPr>
        <w:spacing w:after="70"/>
      </w:pPr>
      <w:r>
        <w:rPr>
          <w:color w:val="222222"/>
          <w:sz w:val="20"/>
          <w:szCs w:val="20"/>
        </w:rPr>
        <w:t xml:space="preserve">The master record of every client company — details, credit limit, and account status; where a new client is set up before they can trade.</w:t>
      </w:r>
    </w:p>
    <w:p>
      <w:pPr>
        <w:pStyle w:val="ListParagraph"/>
        <w:numPr>
          <w:ilvl w:val="0"/>
          <w:numId w:val="2"/>
        </w:numPr>
        <w:spacing w:after="50"/>
      </w:pPr>
      <w:r>
        <w:rPr>
          <w:b/>
          <w:bCs/>
          <w:color w:val="222222"/>
          <w:sz w:val="20"/>
          <w:szCs w:val="20"/>
        </w:rPr>
        <w:t xml:space="preserve">"Onboard Client" — </w:t>
      </w:r>
      <w:r>
        <w:rPr>
          <w:color w:val="222222"/>
          <w:sz w:val="20"/>
          <w:szCs w:val="20"/>
        </w:rPr>
        <w:t xml:space="preserve">Registers a new client: legal/trade name, GST/PAN, contacts, delivery addresses, and commercial terms (credit limit, payment terms, grace days, commission, and what counts toward credit exposure).</w:t>
      </w:r>
    </w:p>
    <w:p>
      <w:pPr>
        <w:pStyle w:val="ListParagraph"/>
        <w:numPr>
          <w:ilvl w:val="0"/>
          <w:numId w:val="2"/>
        </w:numPr>
        <w:spacing w:after="50"/>
      </w:pPr>
      <w:r>
        <w:rPr>
          <w:b/>
          <w:bCs/>
          <w:color w:val="222222"/>
          <w:sz w:val="20"/>
          <w:szCs w:val="20"/>
        </w:rPr>
        <w:t xml:space="preserve">"Details" (per row) — </w:t>
      </w:r>
      <w:r>
        <w:rPr>
          <w:color w:val="222222"/>
          <w:sz w:val="20"/>
          <w:szCs w:val="20"/>
        </w:rPr>
        <w:t xml:space="preserve">Four tabs — Overview, Commercials (both editable), Credit History (read-only), and Opening Balance (record or cancel a starting balance).</w:t>
      </w:r>
    </w:p>
    <w:p>
      <w:pPr>
        <w:pStyle w:val="ListParagraph"/>
        <w:numPr>
          <w:ilvl w:val="0"/>
          <w:numId w:val="2"/>
        </w:numPr>
        <w:spacing w:after="50"/>
      </w:pPr>
      <w:r>
        <w:rPr>
          <w:b/>
          <w:bCs/>
          <w:color w:val="222222"/>
          <w:sz w:val="20"/>
          <w:szCs w:val="20"/>
        </w:rPr>
        <w:t xml:space="preserve">⋮ → Suspend / Reactivate — </w:t>
      </w:r>
      <w:r>
        <w:rPr>
          <w:color w:val="222222"/>
          <w:sz w:val="20"/>
          <w:szCs w:val="20"/>
        </w:rPr>
        <w:t xml:space="preserve">Blocks or restores trading; requires a typed reason.</w:t>
      </w:r>
    </w:p>
    <w:p>
      <w:pPr>
        <w:spacing w:after="90"/>
      </w:pPr>
      <w:r>
        <w:rPr>
          <w:b/>
          <w:bCs/>
          <w:color w:val="5B5B5B"/>
          <w:sz w:val="18"/>
          <w:szCs w:val="18"/>
        </w:rPr>
        <w:t xml:space="preserve">Status labels — </w:t>
      </w:r>
      <w:r>
        <w:rPr>
          <w:b/>
          <w:bCs/>
          <w:i/>
          <w:iCs/>
          <w:color w:val="5B5B5B"/>
          <w:sz w:val="18"/>
          <w:szCs w:val="18"/>
        </w:rPr>
        <w:t xml:space="preserve">active: </w:t>
      </w:r>
      <w:r>
        <w:rPr>
          <w:i/>
          <w:iCs/>
          <w:color w:val="5B5B5B"/>
          <w:sz w:val="18"/>
          <w:szCs w:val="18"/>
        </w:rPr>
        <w:t xml:space="preserve">can trade normally   </w:t>
      </w:r>
      <w:r>
        <w:rPr>
          <w:b/>
          <w:bCs/>
          <w:i/>
          <w:iCs/>
          <w:color w:val="5B5B5B"/>
          <w:sz w:val="18"/>
          <w:szCs w:val="18"/>
        </w:rPr>
        <w:t xml:space="preserve">suspended: </w:t>
      </w:r>
      <w:r>
        <w:rPr>
          <w:i/>
          <w:iCs/>
          <w:color w:val="5B5B5B"/>
          <w:sz w:val="18"/>
          <w:szCs w:val="18"/>
        </w:rPr>
        <w:t xml:space="preserve">blocked from new activity</w:t>
      </w:r>
    </w:p>
    <w:p>
      <w:pPr>
        <w:pStyle w:val="Heading2"/>
        <w:spacing w:after="70" w:before="180"/>
      </w:pPr>
      <w:r>
        <w:rPr>
          <w:b/>
          <w:bCs/>
          <w:color w:val="2E5395"/>
          <w:sz w:val="23"/>
          <w:szCs w:val="23"/>
        </w:rPr>
        <w:t xml:space="preserve">4.3  Products</w:t>
      </w:r>
    </w:p>
    <w:p>
      <w:pPr>
        <w:spacing w:after="70"/>
      </w:pPr>
      <w:r>
        <w:rPr>
          <w:color w:val="222222"/>
          <w:sz w:val="20"/>
          <w:szCs w:val="20"/>
        </w:rPr>
        <w:t xml:space="preserve">The master list of products, with standard price and tax rate.</w:t>
      </w:r>
    </w:p>
    <w:p>
      <w:pPr>
        <w:pStyle w:val="ListParagraph"/>
        <w:numPr>
          <w:ilvl w:val="0"/>
          <w:numId w:val="2"/>
        </w:numPr>
        <w:spacing w:after="50"/>
      </w:pPr>
      <w:r>
        <w:rPr>
          <w:b/>
          <w:bCs/>
          <w:color w:val="222222"/>
          <w:sz w:val="20"/>
          <w:szCs w:val="20"/>
        </w:rPr>
        <w:t xml:space="preserve">"Add Product" — </w:t>
      </w:r>
      <w:r>
        <w:rPr>
          <w:color w:val="222222"/>
          <w:sz w:val="20"/>
          <w:szCs w:val="20"/>
        </w:rPr>
        <w:t xml:space="preserve">Name, weight/unit, price before GST, HSN code, GST rate.</w:t>
      </w:r>
    </w:p>
    <w:p>
      <w:pPr>
        <w:pStyle w:val="ListParagraph"/>
        <w:numPr>
          <w:ilvl w:val="0"/>
          <w:numId w:val="2"/>
        </w:numPr>
        <w:spacing w:after="50"/>
      </w:pPr>
      <w:r>
        <w:rPr>
          <w:b/>
          <w:bCs/>
          <w:color w:val="222222"/>
          <w:sz w:val="20"/>
          <w:szCs w:val="20"/>
        </w:rPr>
        <w:t xml:space="preserve">"Details &amp; Rates" — </w:t>
      </w:r>
      <w:r>
        <w:rPr>
          <w:color w:val="222222"/>
          <w:sz w:val="20"/>
          <w:szCs w:val="20"/>
        </w:rPr>
        <w:t xml:space="preserve">Overview tab plus Rates &amp; Pricing, where you propose a rate (for everyone or one client) and approve/reject pending ones.</w:t>
      </w:r>
    </w:p>
    <w:p>
      <w:pPr>
        <w:pStyle w:val="ListParagraph"/>
        <w:numPr>
          <w:ilvl w:val="0"/>
          <w:numId w:val="2"/>
        </w:numPr>
        <w:spacing w:after="50"/>
      </w:pPr>
      <w:r>
        <w:rPr>
          <w:b/>
          <w:bCs/>
          <w:color w:val="222222"/>
          <w:sz w:val="20"/>
          <w:szCs w:val="20"/>
        </w:rPr>
        <w:t xml:space="preserve">Pencil / Trash icons — </w:t>
      </w:r>
      <w:r>
        <w:rPr>
          <w:color w:val="222222"/>
          <w:sz w:val="20"/>
          <w:szCs w:val="20"/>
        </w:rPr>
        <w:t xml:space="preserve">Edit or delete (with confirmation).</w:t>
      </w:r>
    </w:p>
    <w:p>
      <w:pPr>
        <w:spacing w:after="90"/>
      </w:pPr>
      <w:r>
        <w:rPr>
          <w:b/>
          <w:bCs/>
          <w:color w:val="5B5B5B"/>
          <w:sz w:val="18"/>
          <w:szCs w:val="18"/>
        </w:rPr>
        <w:t xml:space="preserve">Status labels — </w:t>
      </w:r>
      <w:r>
        <w:rPr>
          <w:b/>
          <w:bCs/>
          <w:i/>
          <w:iCs/>
          <w:color w:val="5B5B5B"/>
          <w:sz w:val="18"/>
          <w:szCs w:val="18"/>
        </w:rPr>
        <w:t xml:space="preserve">Active/Inactive: </w:t>
      </w:r>
      <w:r>
        <w:rPr>
          <w:i/>
          <w:iCs/>
          <w:color w:val="5B5B5B"/>
          <w:sz w:val="18"/>
          <w:szCs w:val="18"/>
        </w:rPr>
        <w:t xml:space="preserve">whether it can be ordered   </w:t>
      </w:r>
      <w:r>
        <w:rPr>
          <w:b/>
          <w:bCs/>
          <w:i/>
          <w:iCs/>
          <w:color w:val="5B5B5B"/>
          <w:sz w:val="18"/>
          <w:szCs w:val="18"/>
        </w:rPr>
        <w:t xml:space="preserve">Generic vs. client badge: </w:t>
      </w:r>
      <w:r>
        <w:rPr>
          <w:i/>
          <w:iCs/>
          <w:color w:val="5B5B5B"/>
          <w:sz w:val="18"/>
          <w:szCs w:val="18"/>
        </w:rPr>
        <w:t xml:space="preserve">applies to all clients, or one named client</w:t>
      </w:r>
    </w:p>
    <w:p>
      <w:pPr>
        <w:pStyle w:val="Heading2"/>
        <w:spacing w:after="70" w:before="180"/>
      </w:pPr>
      <w:r>
        <w:rPr>
          <w:b/>
          <w:bCs/>
          <w:color w:val="2E5395"/>
          <w:sz w:val="23"/>
          <w:szCs w:val="23"/>
        </w:rPr>
        <w:t xml:space="preserve">4.4  Rate Master</w:t>
      </w:r>
    </w:p>
    <w:p>
      <w:pPr>
        <w:spacing w:after="70"/>
      </w:pPr>
      <w:r>
        <w:rPr>
          <w:color w:val="222222"/>
          <w:sz w:val="20"/>
          <w:szCs w:val="20"/>
        </w:rPr>
        <w:t xml:space="preserve">Sets standard prices and client-specific overrides, and reviews rates proposed elsewhere.</w:t>
      </w:r>
    </w:p>
    <w:p>
      <w:pPr>
        <w:pStyle w:val="ListParagraph"/>
        <w:numPr>
          <w:ilvl w:val="0"/>
          <w:numId w:val="2"/>
        </w:numPr>
        <w:spacing w:after="50"/>
      </w:pPr>
      <w:r>
        <w:rPr>
          <w:b/>
          <w:bCs/>
          <w:color w:val="222222"/>
          <w:sz w:val="20"/>
          <w:szCs w:val="20"/>
        </w:rPr>
        <w:t xml:space="preserve">"Set New Rate" — </w:t>
      </w:r>
      <w:r>
        <w:rPr>
          <w:color w:val="222222"/>
          <w:sz w:val="20"/>
          <w:szCs w:val="20"/>
        </w:rPr>
        <w:t xml:space="preserve">Product, Generic or one client, rate per MT, start date (and optional end date).</w:t>
      </w:r>
    </w:p>
    <w:p>
      <w:pPr>
        <w:pStyle w:val="ListParagraph"/>
        <w:numPr>
          <w:ilvl w:val="0"/>
          <w:numId w:val="2"/>
        </w:numPr>
        <w:spacing w:after="50"/>
      </w:pPr>
      <w:r>
        <w:rPr>
          <w:b/>
          <w:bCs/>
          <w:color w:val="222222"/>
          <w:sz w:val="20"/>
          <w:szCs w:val="20"/>
        </w:rPr>
        <w:t xml:space="preserve">"Delete Selected" — </w:t>
      </w:r>
      <w:r>
        <w:rPr>
          <w:color w:val="222222"/>
          <w:sz w:val="20"/>
          <w:szCs w:val="20"/>
        </w:rPr>
        <w:t xml:space="preserve">Removes checked rate rules together.</w:t>
      </w:r>
    </w:p>
    <w:p>
      <w:pPr>
        <w:spacing w:after="90"/>
      </w:pPr>
      <w:r>
        <w:rPr>
          <w:b/>
          <w:bCs/>
          <w:color w:val="5B5B5B"/>
          <w:sz w:val="18"/>
          <w:szCs w:val="18"/>
        </w:rPr>
        <w:t xml:space="preserve">Status labels — </w:t>
      </w:r>
      <w:r>
        <w:rPr>
          <w:b/>
          <w:bCs/>
          <w:i/>
          <w:iCs/>
          <w:color w:val="5B5B5B"/>
          <w:sz w:val="18"/>
          <w:szCs w:val="18"/>
        </w:rPr>
        <w:t xml:space="preserve">Standard: </w:t>
      </w:r>
      <w:r>
        <w:rPr>
          <w:i/>
          <w:iCs/>
          <w:color w:val="5B5B5B"/>
          <w:sz w:val="18"/>
          <w:szCs w:val="18"/>
        </w:rPr>
        <w:t xml:space="preserve">generic price   </w:t>
      </w:r>
      <w:r>
        <w:rPr>
          <w:b/>
          <w:bCs/>
          <w:i/>
          <w:iCs/>
          <w:color w:val="5B5B5B"/>
          <w:sz w:val="18"/>
          <w:szCs w:val="18"/>
        </w:rPr>
        <w:t xml:space="preserve">Override: </w:t>
      </w:r>
      <w:r>
        <w:rPr>
          <w:i/>
          <w:iCs/>
          <w:color w:val="5B5B5B"/>
          <w:sz w:val="18"/>
          <w:szCs w:val="18"/>
        </w:rPr>
        <w:t xml:space="preserve">client-specific price</w:t>
      </w:r>
    </w:p>
    <w:p>
      <w:pPr>
        <w:pStyle w:val="Heading2"/>
        <w:spacing w:after="70" w:before="180"/>
      </w:pPr>
      <w:r>
        <w:rPr>
          <w:b/>
          <w:bCs/>
          <w:color w:val="2E5395"/>
          <w:sz w:val="23"/>
          <w:szCs w:val="23"/>
        </w:rPr>
        <w:t xml:space="preserve">4.5  PO Queue</w:t>
      </w:r>
    </w:p>
    <w:p>
      <w:pPr>
        <w:spacing w:after="70"/>
      </w:pPr>
      <w:r>
        <w:rPr>
          <w:color w:val="222222"/>
          <w:sz w:val="20"/>
          <w:szCs w:val="20"/>
        </w:rPr>
        <w:t xml:space="preserve">Reviews and approves/rejects every client Purchase Order before dispatch can happen against it; staff can also raise a PO on a client's behalf.</w:t>
      </w:r>
    </w:p>
    <w:p>
      <w:pPr>
        <w:pStyle w:val="ListParagraph"/>
        <w:numPr>
          <w:ilvl w:val="0"/>
          <w:numId w:val="2"/>
        </w:numPr>
        <w:spacing w:after="50"/>
      </w:pPr>
      <w:r>
        <w:rPr>
          <w:b/>
          <w:bCs/>
          <w:color w:val="222222"/>
          <w:sz w:val="20"/>
          <w:szCs w:val="20"/>
        </w:rPr>
        <w:t xml:space="preserve">"Create PO On Behalf" — </w:t>
      </w:r>
      <w:r>
        <w:rPr>
          <w:color w:val="222222"/>
          <w:sz w:val="20"/>
          <w:szCs w:val="20"/>
        </w:rPr>
        <w:t xml:space="preserve">Client, product, quantity, rate, then upload the client's PO document (PDF/image) — automatic generation is not yet available (see Chapter 8). "Create &amp; Approve PO" finishes it.</w:t>
      </w:r>
    </w:p>
    <w:p>
      <w:pPr>
        <w:pStyle w:val="ListParagraph"/>
        <w:numPr>
          <w:ilvl w:val="0"/>
          <w:numId w:val="2"/>
        </w:numPr>
        <w:spacing w:after="50"/>
      </w:pPr>
      <w:r>
        <w:rPr>
          <w:b/>
          <w:bCs/>
          <w:color w:val="222222"/>
          <w:sz w:val="20"/>
          <w:szCs w:val="20"/>
        </w:rPr>
        <w:t xml:space="preserve">Summary cards / search / status filter — </w:t>
      </w:r>
      <w:r>
        <w:rPr>
          <w:color w:val="222222"/>
          <w:sz w:val="20"/>
          <w:szCs w:val="20"/>
        </w:rPr>
        <w:t xml:space="preserve">Filter the list by status, PO number, client, or product.</w:t>
      </w:r>
    </w:p>
    <w:p>
      <w:pPr>
        <w:pStyle w:val="ListParagraph"/>
        <w:numPr>
          <w:ilvl w:val="0"/>
          <w:numId w:val="2"/>
        </w:numPr>
        <w:spacing w:after="50"/>
      </w:pPr>
      <w:r>
        <w:rPr>
          <w:b/>
          <w:bCs/>
          <w:color w:val="222222"/>
          <w:sz w:val="20"/>
          <w:szCs w:val="20"/>
        </w:rPr>
        <w:t xml:space="preserve">Eye / Pencil icons — </w:t>
      </w:r>
      <w:r>
        <w:rPr>
          <w:color w:val="222222"/>
          <w:sz w:val="20"/>
          <w:szCs w:val="20"/>
        </w:rPr>
        <w:t xml:space="preserve">View full details, or edit a pending PO.</w:t>
      </w:r>
    </w:p>
    <w:p>
      <w:pPr>
        <w:pStyle w:val="ListParagraph"/>
        <w:numPr>
          <w:ilvl w:val="0"/>
          <w:numId w:val="2"/>
        </w:numPr>
        <w:spacing w:after="50"/>
      </w:pPr>
      <w:r>
        <w:rPr>
          <w:b/>
          <w:bCs/>
          <w:color w:val="222222"/>
          <w:sz w:val="20"/>
          <w:szCs w:val="20"/>
        </w:rPr>
        <w:t xml:space="preserve">"Approve PO" / "Reject" — </w:t>
      </w:r>
      <w:r>
        <w:rPr>
          <w:color w:val="222222"/>
          <w:sz w:val="20"/>
          <w:szCs w:val="20"/>
        </w:rPr>
        <w:t xml:space="preserve">Each needs confirmation; "Revoke Approval"/"Remove Rejection" undoes a past decision.</w:t>
      </w:r>
    </w:p>
    <w:p>
      <w:pPr>
        <w:spacing w:after="90"/>
      </w:pPr>
      <w:r>
        <w:rPr>
          <w:b/>
          <w:bCs/>
          <w:color w:val="5B5B5B"/>
          <w:sz w:val="18"/>
          <w:szCs w:val="18"/>
        </w:rPr>
        <w:t xml:space="preserve">Status labels — </w:t>
      </w:r>
      <w:r>
        <w:rPr>
          <w:b/>
          <w:bCs/>
          <w:i/>
          <w:iCs/>
          <w:color w:val="5B5B5B"/>
          <w:sz w:val="18"/>
          <w:szCs w:val="18"/>
        </w:rPr>
        <w:t xml:space="preserve">Pending Approval: </w:t>
      </w:r>
      <w:r>
        <w:rPr>
          <w:i/>
          <w:iCs/>
          <w:color w:val="5B5B5B"/>
          <w:sz w:val="18"/>
          <w:szCs w:val="18"/>
        </w:rPr>
        <w:t xml:space="preserve">awaiting review   </w:t>
      </w:r>
      <w:r>
        <w:rPr>
          <w:b/>
          <w:bCs/>
          <w:i/>
          <w:iCs/>
          <w:color w:val="5B5B5B"/>
          <w:sz w:val="18"/>
          <w:szCs w:val="18"/>
        </w:rPr>
        <w:t xml:space="preserve">Approved: </w:t>
      </w:r>
      <w:r>
        <w:rPr>
          <w:i/>
          <w:iCs/>
          <w:color w:val="5B5B5B"/>
          <w:sz w:val="18"/>
          <w:szCs w:val="18"/>
        </w:rPr>
        <w:t xml:space="preserve">dispatch can proceed   </w:t>
      </w:r>
      <w:r>
        <w:rPr>
          <w:b/>
          <w:bCs/>
          <w:i/>
          <w:iCs/>
          <w:color w:val="5B5B5B"/>
          <w:sz w:val="18"/>
          <w:szCs w:val="18"/>
        </w:rPr>
        <w:t xml:space="preserve">Rejected: </w:t>
      </w:r>
      <w:r>
        <w:rPr>
          <w:i/>
          <w:iCs/>
          <w:color w:val="5B5B5B"/>
          <w:sz w:val="18"/>
          <w:szCs w:val="18"/>
        </w:rPr>
        <w:t xml:space="preserve">needs resubmission</w:t>
      </w:r>
    </w:p>
    <w:p>
      <w:pPr>
        <w:pStyle w:val="Heading2"/>
        <w:spacing w:after="70" w:before="180"/>
      </w:pPr>
      <w:r>
        <w:rPr>
          <w:b/>
          <w:bCs/>
          <w:color w:val="2E5395"/>
          <w:sz w:val="23"/>
          <w:szCs w:val="23"/>
        </w:rPr>
        <w:t xml:space="preserve">4.6  Dispatch Queue</w:t>
      </w:r>
    </w:p>
    <w:p>
      <w:pPr>
        <w:spacing w:after="70"/>
      </w:pPr>
      <w:r>
        <w:rPr>
          <w:color w:val="222222"/>
          <w:sz w:val="20"/>
          <w:szCs w:val="20"/>
        </w:rPr>
        <w:t xml:space="preserve">Reviews a client's request to release material against an approved PO; staff can also raise one on a client's behalf.</w:t>
      </w:r>
    </w:p>
    <w:p>
      <w:pPr>
        <w:pStyle w:val="ListParagraph"/>
        <w:numPr>
          <w:ilvl w:val="0"/>
          <w:numId w:val="2"/>
        </w:numPr>
        <w:spacing w:after="50"/>
      </w:pPr>
      <w:r>
        <w:rPr>
          <w:b/>
          <w:bCs/>
          <w:color w:val="222222"/>
          <w:sz w:val="20"/>
          <w:szCs w:val="20"/>
        </w:rPr>
        <w:t xml:space="preserve">"Request Dispatch On Behalf" — </w:t>
      </w:r>
      <w:r>
        <w:rPr>
          <w:color w:val="222222"/>
          <w:sz w:val="20"/>
          <w:szCs w:val="20"/>
        </w:rPr>
        <w:t xml:space="preserve">Client, PO, quantity, delivery date and site address.</w:t>
      </w:r>
    </w:p>
    <w:p>
      <w:pPr>
        <w:pStyle w:val="ListParagraph"/>
        <w:numPr>
          <w:ilvl w:val="0"/>
          <w:numId w:val="2"/>
        </w:numPr>
        <w:spacing w:after="50"/>
      </w:pPr>
      <w:r>
        <w:rPr>
          <w:b/>
          <w:bCs/>
          <w:color w:val="222222"/>
          <w:sz w:val="20"/>
          <w:szCs w:val="20"/>
        </w:rPr>
        <w:t xml:space="preserve">Eye / Pencil icons — </w:t>
      </w:r>
      <w:r>
        <w:rPr>
          <w:color w:val="222222"/>
          <w:sz w:val="20"/>
          <w:szCs w:val="20"/>
        </w:rPr>
        <w:t xml:space="preserve">View full details (with PO balance used/remaining), or edit quantity/date/address/contact.</w:t>
      </w:r>
    </w:p>
    <w:p>
      <w:pPr>
        <w:pStyle w:val="ListParagraph"/>
        <w:numPr>
          <w:ilvl w:val="0"/>
          <w:numId w:val="2"/>
        </w:numPr>
        <w:spacing w:after="50"/>
      </w:pPr>
      <w:r>
        <w:rPr>
          <w:b/>
          <w:bCs/>
          <w:color w:val="222222"/>
          <w:sz w:val="20"/>
          <w:szCs w:val="20"/>
        </w:rPr>
        <w:t xml:space="preserve">Green check / Red X — </w:t>
      </w:r>
      <w:r>
        <w:rPr>
          <w:color w:val="222222"/>
          <w:sz w:val="20"/>
          <w:szCs w:val="20"/>
        </w:rPr>
        <w:t xml:space="preserve">Approve (overrides an automatic credit block) or reject the request.</w:t>
      </w:r>
    </w:p>
    <w:p>
      <w:pPr>
        <w:spacing w:after="90"/>
      </w:pPr>
      <w:r>
        <w:rPr>
          <w:b/>
          <w:bCs/>
          <w:color w:val="5B5B5B"/>
          <w:sz w:val="18"/>
          <w:szCs w:val="18"/>
        </w:rPr>
        <w:t xml:space="preserve">Status labels — </w:t>
      </w:r>
      <w:r>
        <w:rPr>
          <w:b/>
          <w:bCs/>
          <w:i/>
          <w:iCs/>
          <w:color w:val="5B5B5B"/>
          <w:sz w:val="18"/>
          <w:szCs w:val="18"/>
        </w:rPr>
        <w:t xml:space="preserve">Submitted: </w:t>
      </w:r>
      <w:r>
        <w:rPr>
          <w:i/>
          <w:iCs/>
          <w:color w:val="5B5B5B"/>
          <w:sz w:val="18"/>
          <w:szCs w:val="18"/>
        </w:rPr>
        <w:t xml:space="preserve">awaiting review   </w:t>
      </w:r>
      <w:r>
        <w:rPr>
          <w:b/>
          <w:bCs/>
          <w:i/>
          <w:iCs/>
          <w:color w:val="5B5B5B"/>
          <w:sz w:val="18"/>
          <w:szCs w:val="18"/>
        </w:rPr>
        <w:t xml:space="preserve">Approved/Auto Approved: </w:t>
      </w:r>
      <w:r>
        <w:rPr>
          <w:i/>
          <w:iCs/>
          <w:color w:val="5B5B5B"/>
          <w:sz w:val="18"/>
          <w:szCs w:val="18"/>
        </w:rPr>
        <w:t xml:space="preserve">cleared   </w:t>
      </w:r>
      <w:r>
        <w:rPr>
          <w:b/>
          <w:bCs/>
          <w:i/>
          <w:iCs/>
          <w:color w:val="5B5B5B"/>
          <w:sz w:val="18"/>
          <w:szCs w:val="18"/>
        </w:rPr>
        <w:t xml:space="preserve">Blocked: </w:t>
      </w:r>
      <w:r>
        <w:rPr>
          <w:i/>
          <w:iCs/>
          <w:color w:val="5B5B5B"/>
          <w:sz w:val="18"/>
          <w:szCs w:val="18"/>
        </w:rPr>
        <w:t xml:space="preserve">held by a credit/compliance check, reason shown underneath   </w:t>
      </w:r>
      <w:r>
        <w:rPr>
          <w:b/>
          <w:bCs/>
          <w:i/>
          <w:iCs/>
          <w:color w:val="5B5B5B"/>
          <w:sz w:val="18"/>
          <w:szCs w:val="18"/>
        </w:rPr>
        <w:t xml:space="preserve">Rejected: </w:t>
      </w:r>
      <w:r>
        <w:rPr>
          <w:i/>
          <w:iCs/>
          <w:color w:val="5B5B5B"/>
          <w:sz w:val="18"/>
          <w:szCs w:val="18"/>
        </w:rPr>
        <w:t xml:space="preserve">turned down</w:t>
      </w:r>
    </w:p>
    <w:p>
      <w:pPr>
        <w:pStyle w:val="Heading2"/>
        <w:spacing w:after="70" w:before="180"/>
      </w:pPr>
      <w:r>
        <w:rPr>
          <w:b/>
          <w:bCs/>
          <w:color w:val="2E5395"/>
          <w:sz w:val="23"/>
          <w:szCs w:val="23"/>
        </w:rPr>
        <w:t xml:space="preserve">4.7  Payments &amp; Refunds</w:t>
      </w:r>
    </w:p>
    <w:p>
      <w:pPr>
        <w:spacing w:after="70"/>
      </w:pPr>
      <w:r>
        <w:rPr>
          <w:color w:val="222222"/>
          <w:sz w:val="20"/>
          <w:szCs w:val="20"/>
        </w:rPr>
        <w:t xml:space="preserve">Tracks money flowing onward to the cement supplier, UTCL — both what Mundra Brothers pays, and what a client pays UTCL directly.</w:t>
      </w:r>
      <w:r>
        <w:rPr>
          <w:i/>
          <w:iCs/>
          <w:color w:val="222222"/>
          <w:sz w:val="20"/>
          <w:szCs w:val="20"/>
        </w:rPr>
        <w:t xml:space="preserve">  Covered in full in Chapter 6, alongside the client-side Payments page, since the two are easy to confuse.</w:t>
      </w:r>
    </w:p>
    <w:p>
      <w:pPr>
        <w:pStyle w:val="Heading2"/>
        <w:spacing w:after="70" w:before="180"/>
      </w:pPr>
      <w:r>
        <w:rPr>
          <w:b/>
          <w:bCs/>
          <w:color w:val="2E5395"/>
          <w:sz w:val="23"/>
          <w:szCs w:val="23"/>
        </w:rPr>
        <w:t xml:space="preserve">4.8  Balance Confirmations</w:t>
      </w:r>
    </w:p>
    <w:p>
      <w:pPr>
        <w:spacing w:after="70"/>
      </w:pPr>
      <w:r>
        <w:rPr>
          <w:color w:val="222222"/>
          <w:sz w:val="20"/>
          <w:szCs w:val="20"/>
        </w:rPr>
        <w:t xml:space="preserve">Generates a letter asking a client to confirm the balance they owe, and keeps a record of every letter sent.</w:t>
      </w:r>
    </w:p>
    <w:p>
      <w:pPr>
        <w:pStyle w:val="ListParagraph"/>
        <w:numPr>
          <w:ilvl w:val="0"/>
          <w:numId w:val="2"/>
        </w:numPr>
        <w:spacing w:after="50"/>
      </w:pPr>
      <w:r>
        <w:rPr>
          <w:b/>
          <w:bCs/>
          <w:color w:val="222222"/>
          <w:sz w:val="20"/>
          <w:szCs w:val="20"/>
        </w:rPr>
        <w:t xml:space="preserve">"Generate Letter" tab — </w:t>
      </w:r>
      <w:r>
        <w:rPr>
          <w:color w:val="222222"/>
          <w:sz w:val="20"/>
          <w:szCs w:val="20"/>
        </w:rPr>
        <w:t xml:space="preserve">Client, balance date, outstanding amount, period — with a live printable preview.</w:t>
      </w:r>
    </w:p>
    <w:p>
      <w:pPr>
        <w:pStyle w:val="ListParagraph"/>
        <w:numPr>
          <w:ilvl w:val="0"/>
          <w:numId w:val="2"/>
        </w:numPr>
        <w:spacing w:after="50"/>
      </w:pPr>
      <w:r>
        <w:rPr>
          <w:b/>
          <w:bCs/>
          <w:color w:val="222222"/>
          <w:sz w:val="20"/>
          <w:szCs w:val="20"/>
        </w:rPr>
        <w:t xml:space="preserve">"Print Letter" — </w:t>
      </w:r>
      <w:r>
        <w:rPr>
          <w:color w:val="222222"/>
          <w:sz w:val="20"/>
          <w:szCs w:val="20"/>
        </w:rPr>
        <w:t xml:space="preserve">Opens the print dialog; the reference number auto-advances afterward.</w:t>
      </w:r>
    </w:p>
    <w:p>
      <w:pPr>
        <w:pStyle w:val="ListParagraph"/>
        <w:numPr>
          <w:ilvl w:val="0"/>
          <w:numId w:val="2"/>
        </w:numPr>
        <w:spacing w:after="50"/>
      </w:pPr>
      <w:r>
        <w:rPr>
          <w:b/>
          <w:bCs/>
          <w:color w:val="222222"/>
          <w:sz w:val="20"/>
          <w:szCs w:val="20"/>
        </w:rPr>
        <w:t xml:space="preserve">"Send to Client" — </w:t>
      </w:r>
      <w:r>
        <w:rPr>
          <w:color w:val="222222"/>
          <w:sz w:val="20"/>
          <w:szCs w:val="20"/>
        </w:rPr>
        <w:t xml:space="preserve">Saves it into the system, so it appears on the client's own Balance Confirmations page (5.6).</w:t>
      </w:r>
    </w:p>
    <w:p>
      <w:pPr>
        <w:pStyle w:val="ListParagraph"/>
        <w:numPr>
          <w:ilvl w:val="0"/>
          <w:numId w:val="2"/>
        </w:numPr>
        <w:spacing w:after="50"/>
      </w:pPr>
      <w:r>
        <w:rPr>
          <w:b/>
          <w:bCs/>
          <w:color w:val="222222"/>
          <w:sz w:val="20"/>
          <w:szCs w:val="20"/>
        </w:rPr>
        <w:t xml:space="preserve">"Sent Confirmations" tab — </w:t>
      </w:r>
      <w:r>
        <w:rPr>
          <w:color w:val="222222"/>
          <w:sz w:val="20"/>
          <w:szCs w:val="20"/>
        </w:rPr>
        <w:t xml:space="preserve">History of every letter sent, with status.</w:t>
      </w:r>
    </w:p>
    <w:p>
      <w:pPr>
        <w:spacing w:after="90"/>
      </w:pPr>
      <w:r>
        <w:rPr>
          <w:b/>
          <w:bCs/>
          <w:color w:val="5B5B5B"/>
          <w:sz w:val="18"/>
          <w:szCs w:val="18"/>
        </w:rPr>
        <w:t xml:space="preserve">Status labels — </w:t>
      </w:r>
      <w:r>
        <w:rPr>
          <w:b/>
          <w:bCs/>
          <w:i/>
          <w:iCs/>
          <w:color w:val="5B5B5B"/>
          <w:sz w:val="18"/>
          <w:szCs w:val="18"/>
        </w:rPr>
        <w:t xml:space="preserve">Approved: </w:t>
      </w:r>
      <w:r>
        <w:rPr>
          <w:i/>
          <w:iCs/>
          <w:color w:val="5B5B5B"/>
          <w:sz w:val="18"/>
          <w:szCs w:val="18"/>
        </w:rPr>
        <w:t xml:space="preserve">client confirmed correct   </w:t>
      </w:r>
      <w:r>
        <w:rPr>
          <w:b/>
          <w:bCs/>
          <w:i/>
          <w:iCs/>
          <w:color w:val="5B5B5B"/>
          <w:sz w:val="18"/>
          <w:szCs w:val="18"/>
        </w:rPr>
        <w:t xml:space="preserve">Under review: </w:t>
      </w:r>
      <w:r>
        <w:rPr>
          <w:i/>
          <w:iCs/>
          <w:color w:val="5B5B5B"/>
          <w:sz w:val="18"/>
          <w:szCs w:val="18"/>
        </w:rPr>
        <w:t xml:space="preserve">sent, awaiting response</w:t>
      </w:r>
    </w:p>
    <w:p>
      <w:pPr>
        <w:pStyle w:val="Heading2"/>
        <w:spacing w:after="70" w:before="180"/>
      </w:pPr>
      <w:r>
        <w:rPr>
          <w:b/>
          <w:bCs/>
          <w:color w:val="2E5395"/>
          <w:sz w:val="23"/>
          <w:szCs w:val="23"/>
        </w:rPr>
        <w:t xml:space="preserve">4.9  Refund Letters</w:t>
      </w:r>
    </w:p>
    <w:p>
      <w:pPr>
        <w:spacing w:after="70"/>
      </w:pPr>
      <w:r>
        <w:rPr>
          <w:color w:val="222222"/>
          <w:sz w:val="20"/>
          <w:szCs w:val="20"/>
        </w:rPr>
        <w:t xml:space="preserve">A drafting tool for a Finance Scheme Refund Claim — a formal request asking the cement company to refund money Mundra Brothers paid on a client's behalf.</w:t>
      </w:r>
    </w:p>
    <w:p>
      <w:pPr>
        <w:pStyle w:val="ListParagraph"/>
        <w:numPr>
          <w:ilvl w:val="0"/>
          <w:numId w:val="2"/>
        </w:numPr>
        <w:spacing w:after="50"/>
      </w:pPr>
      <w:r>
        <w:rPr>
          <w:b/>
          <w:bCs/>
          <w:color w:val="222222"/>
          <w:sz w:val="20"/>
          <w:szCs w:val="20"/>
        </w:rPr>
        <w:t xml:space="preserve">Invoices / Payment Details panels — "Add" — </w:t>
      </w:r>
      <w:r>
        <w:rPr>
          <w:color w:val="222222"/>
          <w:sz w:val="20"/>
          <w:szCs w:val="20"/>
        </w:rPr>
        <w:t xml:space="preserve">Add a row per invoice or payment; a "TDS" type auto-calculates as 0.8% of the total.</w:t>
      </w:r>
    </w:p>
    <w:p>
      <w:pPr>
        <w:pStyle w:val="ListParagraph"/>
        <w:numPr>
          <w:ilvl w:val="0"/>
          <w:numId w:val="2"/>
        </w:numPr>
        <w:spacing w:after="50"/>
      </w:pPr>
      <w:r>
        <w:rPr>
          <w:b/>
          <w:bCs/>
          <w:color w:val="222222"/>
          <w:sz w:val="20"/>
          <w:szCs w:val="20"/>
        </w:rPr>
        <w:t xml:space="preserve">"Print Letter" — </w:t>
      </w:r>
      <w:r>
        <w:rPr>
          <w:color w:val="222222"/>
          <w:sz w:val="20"/>
          <w:szCs w:val="20"/>
        </w:rPr>
        <w:t xml:space="preserve">The only action on this page — opens the print dialog.</w:t>
      </w:r>
    </w:p>
    <w:p>
      <w:pPr>
        <w:pBdr>
          <w:top w:val="single" w:color="B7791F" w:sz="4" w:space="4"/>
          <w:bottom w:val="single" w:color="B7791F" w:sz="4" w:space="4"/>
          <w:left w:val="single" w:color="B7791F" w:sz="22" w:space="10"/>
          <w:right w:val="single" w:color="B7791F" w:sz="4" w:space="4"/>
        </w:pBdr>
        <w:shd w:fill="FFF4CE" w:color="auto" w:val="clear"/>
        <w:spacing w:after="130" w:before="90"/>
      </w:pPr>
      <w:r>
        <w:rPr>
          <w:b/>
          <w:bCs/>
          <w:color w:val="222222"/>
          <w:sz w:val="20"/>
          <w:szCs w:val="20"/>
        </w:rPr>
        <w:t xml:space="preserve">⚠ Check every field first</w:t>
      </w:r>
      <w:r>
        <w:rPr>
          <w:color w:val="222222"/>
          <w:sz w:val="20"/>
          <w:szCs w:val="20"/>
        </w:rPr>
        <w:br/>
        <w:t xml:space="preserve">Opens pre-filled with sample data, not blank, and has no Save/Send or saved history (see Chapter 8).</w:t>
      </w:r>
    </w:p>
    <w:p>
      <w:pPr>
        <w:pStyle w:val="Heading2"/>
        <w:spacing w:after="70" w:before="180"/>
      </w:pPr>
      <w:r>
        <w:rPr>
          <w:b/>
          <w:bCs/>
          <w:color w:val="2E5395"/>
          <w:sz w:val="23"/>
          <w:szCs w:val="23"/>
        </w:rPr>
        <w:t xml:space="preserve">4.10  User Approvals</w:t>
      </w:r>
    </w:p>
    <w:p>
      <w:pPr>
        <w:spacing w:after="70"/>
      </w:pPr>
      <w:r>
        <w:rPr>
          <w:color w:val="222222"/>
          <w:sz w:val="20"/>
          <w:szCs w:val="20"/>
        </w:rPr>
        <w:t xml:space="preserve">Reviews new sign-ups and each person's access level.</w:t>
      </w:r>
    </w:p>
    <w:p>
      <w:pPr>
        <w:pStyle w:val="ListParagraph"/>
        <w:numPr>
          <w:ilvl w:val="0"/>
          <w:numId w:val="2"/>
        </w:numPr>
        <w:spacing w:after="50"/>
      </w:pPr>
      <w:r>
        <w:rPr>
          <w:b/>
          <w:bCs/>
          <w:color w:val="222222"/>
          <w:sz w:val="20"/>
          <w:szCs w:val="20"/>
        </w:rPr>
        <w:t xml:space="preserve">"Approve As..." — </w:t>
      </w:r>
      <w:r>
        <w:rPr>
          <w:color w:val="222222"/>
          <w:sz w:val="20"/>
          <w:szCs w:val="20"/>
        </w:rPr>
        <w:t xml:space="preserve">Admin, Read-Only, or Client Admin (the last asks which client company to link).</w:t>
      </w:r>
    </w:p>
    <w:p>
      <w:pPr>
        <w:pStyle w:val="ListParagraph"/>
        <w:numPr>
          <w:ilvl w:val="0"/>
          <w:numId w:val="2"/>
        </w:numPr>
        <w:spacing w:after="50"/>
      </w:pPr>
      <w:r>
        <w:rPr>
          <w:b/>
          <w:bCs/>
          <w:color w:val="222222"/>
          <w:sz w:val="20"/>
          <w:szCs w:val="20"/>
        </w:rPr>
        <w:t xml:space="preserve">"Reject" — </w:t>
      </w:r>
      <w:r>
        <w:rPr>
          <w:color w:val="222222"/>
          <w:sz w:val="20"/>
          <w:szCs w:val="20"/>
        </w:rPr>
        <w:t xml:space="preserve">Turns down the request, with an optional reason.</w:t>
      </w:r>
    </w:p>
    <w:p>
      <w:pPr>
        <w:pStyle w:val="ListParagraph"/>
        <w:numPr>
          <w:ilvl w:val="0"/>
          <w:numId w:val="2"/>
        </w:numPr>
        <w:spacing w:after="50"/>
      </w:pPr>
      <w:r>
        <w:rPr>
          <w:b/>
          <w:bCs/>
          <w:color w:val="222222"/>
          <w:sz w:val="20"/>
          <w:szCs w:val="20"/>
        </w:rPr>
        <w:t xml:space="preserve">"Edit Role" / "Delete" — </w:t>
      </w:r>
      <w:r>
        <w:rPr>
          <w:color w:val="222222"/>
          <w:sz w:val="20"/>
          <w:szCs w:val="20"/>
        </w:rPr>
        <w:t xml:space="preserve">Change an existing user's access (with confirmation), or remove them.</w:t>
      </w:r>
    </w:p>
    <w:p>
      <w:pPr>
        <w:pStyle w:val="Heading2"/>
        <w:spacing w:after="70" w:before="180"/>
      </w:pPr>
      <w:r>
        <w:rPr>
          <w:b/>
          <w:bCs/>
          <w:color w:val="2E5395"/>
          <w:sz w:val="23"/>
          <w:szCs w:val="23"/>
        </w:rPr>
        <w:t xml:space="preserve">4.11  Reports</w:t>
      </w:r>
    </w:p>
    <w:p>
      <w:pPr>
        <w:spacing w:after="70"/>
      </w:pPr>
      <w:r>
        <w:rPr>
          <w:color w:val="222222"/>
          <w:sz w:val="20"/>
          <w:szCs w:val="20"/>
        </w:rPr>
        <w:t xml:space="preserve">Downloads one Excel workbook — clients, invoices, payments, POs, dispatches, credit/debit notes — for a chosen period.</w:t>
      </w:r>
    </w:p>
    <w:p>
      <w:pPr>
        <w:pStyle w:val="ListParagraph"/>
        <w:numPr>
          <w:ilvl w:val="0"/>
          <w:numId w:val="2"/>
        </w:numPr>
        <w:spacing w:after="50"/>
      </w:pPr>
      <w:r>
        <w:rPr>
          <w:b/>
          <w:bCs/>
          <w:color w:val="222222"/>
          <w:sz w:val="20"/>
          <w:szCs w:val="20"/>
        </w:rPr>
        <w:t xml:space="preserve">"FY 20XX–20XX" / "All Time" — </w:t>
      </w:r>
      <w:r>
        <w:rPr>
          <w:color w:val="222222"/>
          <w:sz w:val="20"/>
          <w:szCs w:val="20"/>
        </w:rPr>
        <w:t xml:space="preserve">Quick date-range shortcuts.</w:t>
      </w:r>
    </w:p>
    <w:p>
      <w:pPr>
        <w:pStyle w:val="ListParagraph"/>
        <w:numPr>
          <w:ilvl w:val="0"/>
          <w:numId w:val="2"/>
        </w:numPr>
        <w:spacing w:after="50"/>
      </w:pPr>
      <w:r>
        <w:rPr>
          <w:b/>
          <w:bCs/>
          <w:color w:val="222222"/>
          <w:sz w:val="20"/>
          <w:szCs w:val="20"/>
        </w:rPr>
        <w:t xml:space="preserve">"Available Records Preview" — </w:t>
      </w:r>
      <w:r>
        <w:rPr>
          <w:color w:val="222222"/>
          <w:sz w:val="20"/>
          <w:szCs w:val="20"/>
        </w:rPr>
        <w:t xml:space="preserve">See what will be included before downloading.</w:t>
      </w:r>
    </w:p>
    <w:p>
      <w:pPr>
        <w:pStyle w:val="ListParagraph"/>
        <w:numPr>
          <w:ilvl w:val="0"/>
          <w:numId w:val="2"/>
        </w:numPr>
        <w:spacing w:after="50"/>
      </w:pPr>
      <w:r>
        <w:rPr>
          <w:b/>
          <w:bCs/>
          <w:color w:val="222222"/>
          <w:sz w:val="20"/>
          <w:szCs w:val="20"/>
        </w:rPr>
        <w:t xml:space="preserve">"Download Excel Report" — </w:t>
      </w:r>
      <w:r>
        <w:rPr>
          <w:color w:val="222222"/>
          <w:sz w:val="20"/>
          <w:szCs w:val="20"/>
        </w:rPr>
        <w:t xml:space="preserve">Generates the .xlsx, one sheet per record type.</w:t>
      </w:r>
    </w:p>
    <w:p>
      <w:pPr>
        <w:pStyle w:val="Heading2"/>
        <w:spacing w:after="70" w:before="180"/>
      </w:pPr>
      <w:r>
        <w:rPr>
          <w:b/>
          <w:bCs/>
          <w:color w:val="2E5395"/>
          <w:sz w:val="23"/>
          <w:szCs w:val="23"/>
        </w:rPr>
        <w:t xml:space="preserve">4.12  Audit Trail &amp; Ledger</w:t>
      </w:r>
    </w:p>
    <w:p>
      <w:pPr>
        <w:spacing w:after="70"/>
      </w:pPr>
      <w:r>
        <w:rPr>
          <w:color w:val="222222"/>
          <w:sz w:val="20"/>
          <w:szCs w:val="20"/>
        </w:rPr>
        <w:t xml:space="preserve">A full history of business events, and each client's running accounting ledger.</w:t>
      </w:r>
    </w:p>
    <w:p>
      <w:pPr>
        <w:pStyle w:val="ListParagraph"/>
        <w:numPr>
          <w:ilvl w:val="0"/>
          <w:numId w:val="2"/>
        </w:numPr>
        <w:spacing w:after="50"/>
      </w:pPr>
      <w:r>
        <w:rPr>
          <w:b/>
          <w:bCs/>
          <w:color w:val="222222"/>
          <w:sz w:val="20"/>
          <w:szCs w:val="20"/>
        </w:rPr>
        <w:t xml:space="preserve">"Journal Feed" tab — </w:t>
      </w:r>
      <w:r>
        <w:rPr>
          <w:color w:val="222222"/>
          <w:sz w:val="20"/>
          <w:szCs w:val="20"/>
        </w:rPr>
        <w:t xml:space="preserve">Timeline of every event — PO, dispatch, payment, refund due, credit/debit notes — filterable by type.</w:t>
      </w:r>
    </w:p>
    <w:p>
      <w:pPr>
        <w:pStyle w:val="ListParagraph"/>
        <w:numPr>
          <w:ilvl w:val="0"/>
          <w:numId w:val="2"/>
        </w:numPr>
        <w:spacing w:after="50"/>
      </w:pPr>
      <w:r>
        <w:rPr>
          <w:b/>
          <w:bCs/>
          <w:color w:val="222222"/>
          <w:sz w:val="20"/>
          <w:szCs w:val="20"/>
        </w:rPr>
        <w:t xml:space="preserve">"Ledger Statements" tab — </w:t>
      </w:r>
      <w:r>
        <w:rPr>
          <w:color w:val="222222"/>
          <w:sz w:val="20"/>
          <w:szCs w:val="20"/>
        </w:rPr>
        <w:t xml:space="preserve">Running balance per client; "View Ledger" opens one client's full statement.</w:t>
      </w:r>
    </w:p>
    <w:p>
      <w:pPr>
        <w:pStyle w:val="ListParagraph"/>
        <w:numPr>
          <w:ilvl w:val="0"/>
          <w:numId w:val="2"/>
        </w:numPr>
        <w:spacing w:after="50"/>
      </w:pPr>
      <w:r>
        <w:rPr>
          <w:b/>
          <w:bCs/>
          <w:color w:val="222222"/>
          <w:sz w:val="20"/>
          <w:szCs w:val="20"/>
        </w:rPr>
        <w:t xml:space="preserve">"Issue Adjustment Note" — </w:t>
      </w:r>
      <w:r>
        <w:rPr>
          <w:color w:val="222222"/>
          <w:sz w:val="20"/>
          <w:szCs w:val="20"/>
        </w:rPr>
        <w:t xml:space="preserve">Raises a Credit or Debit Note with a reason code, posted immediately.</w:t>
      </w:r>
    </w:p>
    <w:p>
      <w:pPr>
        <w:pStyle w:val="ListParagraph"/>
        <w:numPr>
          <w:ilvl w:val="0"/>
          <w:numId w:val="2"/>
        </w:numPr>
        <w:spacing w:after="50"/>
      </w:pPr>
      <w:r>
        <w:rPr>
          <w:b/>
          <w:bCs/>
          <w:color w:val="222222"/>
          <w:sz w:val="20"/>
          <w:szCs w:val="20"/>
        </w:rPr>
        <w:t xml:space="preserve">"Send Refund Letter" — </w:t>
      </w:r>
      <w:r>
        <w:rPr>
          <w:color w:val="222222"/>
          <w:sz w:val="20"/>
          <w:szCs w:val="20"/>
        </w:rPr>
        <w:t xml:space="preserve">On a Refund Due entry, jumps to Refund Letters (4.9).</w:t>
      </w:r>
    </w:p>
    <w:p>
      <w:pPr>
        <w:spacing w:after="90"/>
      </w:pPr>
      <w:r>
        <w:rPr>
          <w:b/>
          <w:bCs/>
          <w:color w:val="5B5B5B"/>
          <w:sz w:val="18"/>
          <w:szCs w:val="18"/>
        </w:rPr>
        <w:t xml:space="preserve">Status labels — </w:t>
      </w:r>
      <w:r>
        <w:rPr>
          <w:b/>
          <w:bCs/>
          <w:i/>
          <w:iCs/>
          <w:color w:val="5B5B5B"/>
          <w:sz w:val="18"/>
          <w:szCs w:val="18"/>
        </w:rPr>
        <w:t xml:space="preserve">Dr (red): </w:t>
      </w:r>
      <w:r>
        <w:rPr>
          <w:i/>
          <w:iCs/>
          <w:color w:val="5B5B5B"/>
          <w:sz w:val="18"/>
          <w:szCs w:val="18"/>
        </w:rPr>
        <w:t xml:space="preserve">client owes this   </w:t>
      </w:r>
      <w:r>
        <w:rPr>
          <w:b/>
          <w:bCs/>
          <w:i/>
          <w:iCs/>
          <w:color w:val="5B5B5B"/>
          <w:sz w:val="18"/>
          <w:szCs w:val="18"/>
        </w:rPr>
        <w:t xml:space="preserve">Cr (green): </w:t>
      </w:r>
      <w:r>
        <w:rPr>
          <w:i/>
          <w:iCs/>
          <w:color w:val="5B5B5B"/>
          <w:sz w:val="18"/>
          <w:szCs w:val="18"/>
        </w:rPr>
        <w:t xml:space="preserve">client in credit</w:t>
      </w:r>
    </w:p>
    <w:p>
      <w:pPr>
        <w:pBdr>
          <w:top w:val="single" w:color="2C5AA0" w:sz="4" w:space="4"/>
          <w:bottom w:val="single" w:color="2C5AA0" w:sz="4" w:space="4"/>
          <w:left w:val="single" w:color="2C5AA0" w:sz="22" w:space="10"/>
          <w:right w:val="single" w:color="2C5AA0" w:sz="4" w:space="4"/>
        </w:pBdr>
        <w:shd w:fill="E8F0FE" w:color="auto" w:val="clear"/>
        <w:spacing w:after="130" w:before="90"/>
      </w:pPr>
      <w:r>
        <w:rPr>
          <w:b/>
          <w:bCs/>
          <w:color w:val="222222"/>
          <w:sz w:val="20"/>
          <w:szCs w:val="20"/>
        </w:rPr>
        <w:t xml:space="preserve">ℹ Ledger entries can't be edited directly</w:t>
      </w:r>
      <w:r>
        <w:rPr>
          <w:color w:val="222222"/>
          <w:sz w:val="20"/>
          <w:szCs w:val="20"/>
        </w:rPr>
        <w:br/>
        <w:t xml:space="preserve">Corrections use a Credit or Debit Note, to keep the audit trail accurate.</w:t>
      </w:r>
    </w:p>
    <w:p>
      <w:pPr>
        <w:pStyle w:val="Heading2"/>
        <w:spacing w:after="70" w:before="180"/>
      </w:pPr>
      <w:r>
        <w:rPr>
          <w:b/>
          <w:bCs/>
          <w:color w:val="2E5395"/>
          <w:sz w:val="23"/>
          <w:szCs w:val="23"/>
        </w:rPr>
        <w:t xml:space="preserve">4.13  Platform Settings</w:t>
      </w:r>
    </w:p>
    <w:p>
      <w:pPr>
        <w:spacing w:after="70"/>
      </w:pPr>
      <w:r>
        <w:rPr>
          <w:color w:val="222222"/>
          <w:sz w:val="20"/>
          <w:szCs w:val="20"/>
        </w:rPr>
        <w:t xml:space="preserve">Intended for branding, notification templates, and integration settings. Not built yet — see Chapter 8.</w:t>
      </w:r>
    </w:p>
    <w:p>
      <w:pPr>
        <w:pStyle w:val="Heading1"/>
        <w:pBdr>
          <w:bottom w:val="single" w:color="1F3864" w:sz="6" w:space="4"/>
        </w:pBdr>
        <w:spacing w:after="110" w:before="260"/>
      </w:pPr>
      <w:r>
        <w:rPr>
          <w:b/>
          <w:bCs/>
          <w:color w:val="1F3864"/>
          <w:sz w:val="28"/>
          <w:szCs w:val="28"/>
        </w:rPr>
        <w:t xml:space="preserve">5. The Client Portal (Client Company Users)</w:t>
      </w:r>
    </w:p>
    <w:p>
      <w:pPr>
        <w:spacing w:after="120"/>
      </w:pPr>
      <w:r>
        <w:rPr>
          <w:i/>
          <w:iCs/>
          <w:color w:val="5B5B5B"/>
          <w:sz w:val="20"/>
          <w:szCs w:val="20"/>
        </w:rPr>
        <w:t xml:space="preserve">Visible only to a client company's own users, showing only that company's own data.</w:t>
      </w:r>
    </w:p>
    <w:p>
      <w:pPr>
        <w:pStyle w:val="Heading2"/>
        <w:spacing w:after="70" w:before="180"/>
      </w:pPr>
      <w:r>
        <w:rPr>
          <w:b/>
          <w:bCs/>
          <w:color w:val="2E5395"/>
          <w:sz w:val="23"/>
          <w:szCs w:val="23"/>
        </w:rPr>
        <w:t xml:space="preserve">5.1  Dashboard</w:t>
      </w:r>
    </w:p>
    <w:p>
      <w:pPr>
        <w:spacing w:after="70"/>
      </w:pPr>
      <w:r>
        <w:rPr>
          <w:color w:val="222222"/>
          <w:sz w:val="20"/>
          <w:szCs w:val="20"/>
        </w:rPr>
        <w:t xml:space="preserve">A one-screen view of your company's credit position, open orders/dispatches, and anything on hold.</w:t>
      </w:r>
    </w:p>
    <w:p>
      <w:pPr>
        <w:pStyle w:val="ListParagraph"/>
        <w:numPr>
          <w:ilvl w:val="0"/>
          <w:numId w:val="2"/>
        </w:numPr>
        <w:spacing w:after="50"/>
      </w:pPr>
      <w:r>
        <w:rPr>
          <w:b/>
          <w:bCs/>
          <w:color w:val="222222"/>
          <w:sz w:val="20"/>
          <w:szCs w:val="20"/>
        </w:rPr>
        <w:t xml:space="preserve">"Report Payment" / "Request Dispatch" / "New PO" — </w:t>
      </w:r>
      <w:r>
        <w:rPr>
          <w:color w:val="222222"/>
          <w:sz w:val="20"/>
          <w:szCs w:val="20"/>
        </w:rPr>
        <w:t xml:space="preserve">Shortcuts to those pages.</w:t>
      </w:r>
    </w:p>
    <w:p>
      <w:pPr>
        <w:pStyle w:val="ListParagraph"/>
        <w:numPr>
          <w:ilvl w:val="0"/>
          <w:numId w:val="2"/>
        </w:numPr>
        <w:spacing w:after="50"/>
      </w:pPr>
      <w:r>
        <w:rPr>
          <w:b/>
          <w:bCs/>
          <w:color w:val="222222"/>
          <w:sz w:val="20"/>
          <w:szCs w:val="20"/>
        </w:rPr>
        <w:t xml:space="preserve">Credit &amp; Exposure tiles — </w:t>
      </w:r>
      <w:r>
        <w:rPr>
          <w:color w:val="222222"/>
          <w:sz w:val="20"/>
          <w:szCs w:val="20"/>
        </w:rPr>
        <w:t xml:space="preserve">Approved Limit, Utilized Exposure, Available Credit (amber when low), Outstanding, Overdue.</w:t>
      </w:r>
    </w:p>
    <w:p>
      <w:pPr>
        <w:pStyle w:val="ListParagraph"/>
        <w:numPr>
          <w:ilvl w:val="0"/>
          <w:numId w:val="2"/>
        </w:numPr>
        <w:spacing w:after="50"/>
      </w:pPr>
      <w:r>
        <w:rPr>
          <w:b/>
          <w:bCs/>
          <w:color w:val="222222"/>
          <w:sz w:val="20"/>
          <w:szCs w:val="20"/>
        </w:rPr>
        <w:t xml:space="preserve">Blocked dispatches panel — </w:t>
      </w:r>
      <w:r>
        <w:rPr>
          <w:color w:val="222222"/>
          <w:sz w:val="20"/>
          <w:szCs w:val="20"/>
        </w:rPr>
        <w:t xml:space="preserve">"Resolve" jumps to Dispatches to sort out a hold.</w:t>
      </w:r>
    </w:p>
    <w:p>
      <w:pPr>
        <w:pStyle w:val="Heading2"/>
        <w:spacing w:after="70" w:before="180"/>
      </w:pPr>
      <w:r>
        <w:rPr>
          <w:b/>
          <w:bCs/>
          <w:color w:val="2E5395"/>
          <w:sz w:val="23"/>
          <w:szCs w:val="23"/>
        </w:rPr>
        <w:t xml:space="preserve">5.2  Purchase Orders</w:t>
      </w:r>
    </w:p>
    <w:p>
      <w:pPr>
        <w:spacing w:after="70"/>
      </w:pPr>
      <w:r>
        <w:rPr>
          <w:color w:val="222222"/>
          <w:sz w:val="20"/>
          <w:szCs w:val="20"/>
        </w:rPr>
        <w:t xml:space="preserve">Create a new order and track past ones.</w:t>
      </w:r>
    </w:p>
    <w:p>
      <w:pPr>
        <w:pStyle w:val="ListParagraph"/>
        <w:numPr>
          <w:ilvl w:val="0"/>
          <w:numId w:val="2"/>
        </w:numPr>
        <w:spacing w:after="50"/>
      </w:pPr>
      <w:r>
        <w:rPr>
          <w:b/>
          <w:bCs/>
          <w:color w:val="222222"/>
          <w:sz w:val="20"/>
          <w:szCs w:val="20"/>
        </w:rPr>
        <w:t xml:space="preserve">"Raise PO" — </w:t>
      </w:r>
      <w:r>
        <w:rPr>
          <w:color w:val="222222"/>
          <w:sz w:val="20"/>
          <w:szCs w:val="20"/>
        </w:rPr>
        <w:t xml:space="preserve">PO number, product, quantity, delivery address. Rate is normally locked to the current price; "Request Exception Rate" asks for a different one but needs manual approval and may delay processing. Upload the PO document and "Submit PO".</w:t>
      </w:r>
    </w:p>
    <w:p>
      <w:pPr>
        <w:spacing w:after="90"/>
      </w:pPr>
      <w:r>
        <w:rPr>
          <w:b/>
          <w:bCs/>
          <w:color w:val="5B5B5B"/>
          <w:sz w:val="18"/>
          <w:szCs w:val="18"/>
        </w:rPr>
        <w:t xml:space="preserve">Status labels — </w:t>
      </w:r>
      <w:r>
        <w:rPr>
          <w:b/>
          <w:bCs/>
          <w:i/>
          <w:iCs/>
          <w:color w:val="5B5B5B"/>
          <w:sz w:val="18"/>
          <w:szCs w:val="18"/>
        </w:rPr>
        <w:t xml:space="preserve">approved: </w:t>
      </w:r>
      <w:r>
        <w:rPr>
          <w:i/>
          <w:iCs/>
          <w:color w:val="5B5B5B"/>
          <w:sz w:val="18"/>
          <w:szCs w:val="18"/>
        </w:rPr>
        <w:t xml:space="preserve">dispatch can be requested   </w:t>
      </w:r>
      <w:r>
        <w:rPr>
          <w:b/>
          <w:bCs/>
          <w:i/>
          <w:iCs/>
          <w:color w:val="5B5B5B"/>
          <w:sz w:val="18"/>
          <w:szCs w:val="18"/>
        </w:rPr>
        <w:t xml:space="preserve">pending/rejected: </w:t>
      </w:r>
      <w:r>
        <w:rPr>
          <w:i/>
          <w:iCs/>
          <w:color w:val="5B5B5B"/>
          <w:sz w:val="18"/>
          <w:szCs w:val="18"/>
        </w:rPr>
        <w:t xml:space="preserve">awaiting review, or needs resubmission</w:t>
      </w:r>
    </w:p>
    <w:p>
      <w:pPr>
        <w:pStyle w:val="Heading2"/>
        <w:spacing w:after="70" w:before="180"/>
      </w:pPr>
      <w:r>
        <w:rPr>
          <w:b/>
          <w:bCs/>
          <w:color w:val="2E5395"/>
          <w:sz w:val="23"/>
          <w:szCs w:val="23"/>
        </w:rPr>
        <w:t xml:space="preserve">5.3  Dispatches</w:t>
      </w:r>
    </w:p>
    <w:p>
      <w:pPr>
        <w:spacing w:after="70"/>
      </w:pPr>
      <w:r>
        <w:rPr>
          <w:color w:val="222222"/>
          <w:sz w:val="20"/>
          <w:szCs w:val="20"/>
        </w:rPr>
        <w:t xml:space="preserve">Request release of material against an already-approved PO, and track those requests.</w:t>
      </w:r>
    </w:p>
    <w:p>
      <w:pPr>
        <w:pStyle w:val="ListParagraph"/>
        <w:numPr>
          <w:ilvl w:val="0"/>
          <w:numId w:val="2"/>
        </w:numPr>
        <w:spacing w:after="50"/>
      </w:pPr>
      <w:r>
        <w:rPr>
          <w:b/>
          <w:bCs/>
          <w:color w:val="222222"/>
          <w:sz w:val="20"/>
          <w:szCs w:val="20"/>
        </w:rPr>
        <w:t xml:space="preserve">"Request Dispatch" — </w:t>
      </w:r>
      <w:r>
        <w:rPr>
          <w:color w:val="222222"/>
          <w:sz w:val="20"/>
          <w:szCs w:val="20"/>
        </w:rPr>
        <w:t xml:space="preserve">Pick an approved PO (a live counter shows what's unused), enter quantity, delivery date, site details.</w:t>
      </w:r>
    </w:p>
    <w:p>
      <w:pPr>
        <w:spacing w:after="90"/>
      </w:pPr>
      <w:r>
        <w:rPr>
          <w:b/>
          <w:bCs/>
          <w:color w:val="5B5B5B"/>
          <w:sz w:val="18"/>
          <w:szCs w:val="18"/>
        </w:rPr>
        <w:t xml:space="preserve">Status labels — </w:t>
      </w:r>
      <w:r>
        <w:rPr>
          <w:b/>
          <w:bCs/>
          <w:i/>
          <w:iCs/>
          <w:color w:val="5B5B5B"/>
          <w:sz w:val="18"/>
          <w:szCs w:val="18"/>
        </w:rPr>
        <w:t xml:space="preserve">Approved/Auto Approved: </w:t>
      </w:r>
      <w:r>
        <w:rPr>
          <w:i/>
          <w:iCs/>
          <w:color w:val="5B5B5B"/>
          <w:sz w:val="18"/>
          <w:szCs w:val="18"/>
        </w:rPr>
        <w:t xml:space="preserve">being processed   </w:t>
      </w:r>
      <w:r>
        <w:rPr>
          <w:b/>
          <w:bCs/>
          <w:i/>
          <w:iCs/>
          <w:color w:val="5B5B5B"/>
          <w:sz w:val="18"/>
          <w:szCs w:val="18"/>
        </w:rPr>
        <w:t xml:space="preserve">Blocked: </w:t>
      </w:r>
      <w:r>
        <w:rPr>
          <w:i/>
          <w:iCs/>
          <w:color w:val="5B5B5B"/>
          <w:sz w:val="18"/>
          <w:szCs w:val="18"/>
        </w:rPr>
        <w:t xml:space="preserve">reason shown in a red box, with shortcuts to "Report A Payment" or "View/Confirm Ledger"</w:t>
      </w:r>
    </w:p>
    <w:p>
      <w:pPr>
        <w:pStyle w:val="Heading2"/>
        <w:spacing w:after="70" w:before="180"/>
      </w:pPr>
      <w:r>
        <w:rPr>
          <w:b/>
          <w:bCs/>
          <w:color w:val="2E5395"/>
          <w:sz w:val="23"/>
          <w:szCs w:val="23"/>
        </w:rPr>
        <w:t xml:space="preserve">5.4  Payments</w:t>
      </w:r>
    </w:p>
    <w:p>
      <w:pPr>
        <w:spacing w:after="70"/>
      </w:pPr>
      <w:r>
        <w:rPr>
          <w:color w:val="222222"/>
          <w:sz w:val="20"/>
          <w:szCs w:val="20"/>
        </w:rPr>
        <w:t xml:space="preserve">Report a bank transfer you've made, and see the history and status of everything reported.</w:t>
      </w:r>
      <w:r>
        <w:rPr>
          <w:i/>
          <w:iCs/>
          <w:color w:val="222222"/>
          <w:sz w:val="20"/>
          <w:szCs w:val="20"/>
        </w:rPr>
        <w:t xml:space="preserve">  Covered in full in Chapter 6.</w:t>
      </w:r>
    </w:p>
    <w:p>
      <w:pPr>
        <w:pStyle w:val="Heading2"/>
        <w:spacing w:after="70" w:before="180"/>
      </w:pPr>
      <w:r>
        <w:rPr>
          <w:b/>
          <w:bCs/>
          <w:color w:val="2E5395"/>
          <w:sz w:val="23"/>
          <w:szCs w:val="23"/>
        </w:rPr>
        <w:t xml:space="preserve">5.5  Ledgers &amp; Compliance</w:t>
      </w:r>
    </w:p>
    <w:p>
      <w:pPr>
        <w:spacing w:after="70"/>
      </w:pPr>
      <w:r>
        <w:rPr>
          <w:color w:val="222222"/>
          <w:sz w:val="20"/>
          <w:szCs w:val="20"/>
        </w:rPr>
        <w:t xml:space="preserve">Your statement of account, unpaid invoices, and where to upload a signed balance confirmation when requested.</w:t>
      </w:r>
    </w:p>
    <w:p>
      <w:pPr>
        <w:pStyle w:val="ListParagraph"/>
        <w:numPr>
          <w:ilvl w:val="0"/>
          <w:numId w:val="2"/>
        </w:numPr>
        <w:spacing w:after="50"/>
      </w:pPr>
      <w:r>
        <w:rPr>
          <w:b/>
          <w:bCs/>
          <w:color w:val="222222"/>
          <w:sz w:val="20"/>
          <w:szCs w:val="20"/>
        </w:rPr>
        <w:t xml:space="preserve">"Upload Signed Confirmation" — </w:t>
      </w:r>
      <w:r>
        <w:rPr>
          <w:color w:val="222222"/>
          <w:sz w:val="20"/>
          <w:szCs w:val="20"/>
        </w:rPr>
        <w:t xml:space="preserve">Appears when due — paste a link to your signed PDF and confirm.</w:t>
      </w:r>
    </w:p>
    <w:p>
      <w:pPr>
        <w:pStyle w:val="ListParagraph"/>
        <w:numPr>
          <w:ilvl w:val="0"/>
          <w:numId w:val="2"/>
        </w:numPr>
        <w:spacing w:after="50"/>
      </w:pPr>
      <w:r>
        <w:rPr>
          <w:b/>
          <w:bCs/>
          <w:color w:val="222222"/>
          <w:sz w:val="20"/>
          <w:szCs w:val="20"/>
        </w:rPr>
        <w:t xml:space="preserve">"Statement of Account" / "Outstanding Invoices" tabs — </w:t>
      </w:r>
      <w:r>
        <w:rPr>
          <w:color w:val="222222"/>
          <w:sz w:val="20"/>
          <w:szCs w:val="20"/>
        </w:rPr>
        <w:t xml:space="preserve">Running ledger, and bills unpaid or partly paid.</w:t>
      </w:r>
    </w:p>
    <w:p>
      <w:pPr>
        <w:pBdr>
          <w:top w:val="single" w:color="B7791F" w:sz="4" w:space="4"/>
          <w:bottom w:val="single" w:color="B7791F" w:sz="4" w:space="4"/>
          <w:left w:val="single" w:color="B7791F" w:sz="22" w:space="10"/>
          <w:right w:val="single" w:color="B7791F" w:sz="4" w:space="4"/>
        </w:pBdr>
        <w:shd w:fill="FFF4CE" w:color="auto" w:val="clear"/>
        <w:spacing w:after="130" w:before="90"/>
      </w:pPr>
      <w:r>
        <w:rPr>
          <w:b/>
          <w:bCs/>
          <w:color w:val="222222"/>
          <w:sz w:val="20"/>
          <w:szCs w:val="20"/>
        </w:rPr>
        <w:t xml:space="preserve">⚠ Deadlines matter</w:t>
      </w:r>
      <w:r>
        <w:rPr>
          <w:color w:val="222222"/>
          <w:sz w:val="20"/>
          <w:szCs w:val="20"/>
        </w:rPr>
        <w:br/>
        <w:t xml:space="preserve">Missing a confirmation deadline automatically suspends dispatches for your company.</w:t>
      </w:r>
    </w:p>
    <w:p>
      <w:pPr>
        <w:pStyle w:val="Heading2"/>
        <w:spacing w:after="70" w:before="180"/>
      </w:pPr>
      <w:r>
        <w:rPr>
          <w:b/>
          <w:bCs/>
          <w:color w:val="2E5395"/>
          <w:sz w:val="23"/>
          <w:szCs w:val="23"/>
        </w:rPr>
        <w:t xml:space="preserve">5.6  Balance Confirmations</w:t>
      </w:r>
    </w:p>
    <w:p>
      <w:pPr>
        <w:spacing w:after="70"/>
      </w:pPr>
      <w:r>
        <w:rPr>
          <w:color w:val="222222"/>
          <w:sz w:val="20"/>
          <w:szCs w:val="20"/>
        </w:rPr>
        <w:t xml:space="preserve">Review letters Mundra Brothers has sent, and formally acknowledge them.</w:t>
      </w:r>
    </w:p>
    <w:p>
      <w:pPr>
        <w:pStyle w:val="ListParagraph"/>
        <w:numPr>
          <w:ilvl w:val="0"/>
          <w:numId w:val="2"/>
        </w:numPr>
        <w:spacing w:after="50"/>
      </w:pPr>
      <w:r>
        <w:rPr>
          <w:b/>
          <w:bCs/>
          <w:color w:val="222222"/>
          <w:sz w:val="20"/>
          <w:szCs w:val="20"/>
        </w:rPr>
        <w:t xml:space="preserve">"View Letter" — </w:t>
      </w:r>
      <w:r>
        <w:rPr>
          <w:color w:val="222222"/>
          <w:sz w:val="20"/>
          <w:szCs w:val="20"/>
        </w:rPr>
        <w:t xml:space="preserve">Opens the full letter with its acknowledgement slip.</w:t>
      </w:r>
    </w:p>
    <w:p>
      <w:pPr>
        <w:pStyle w:val="ListParagraph"/>
        <w:numPr>
          <w:ilvl w:val="0"/>
          <w:numId w:val="2"/>
        </w:numPr>
        <w:spacing w:after="50"/>
      </w:pPr>
      <w:r>
        <w:rPr>
          <w:b/>
          <w:bCs/>
          <w:color w:val="222222"/>
          <w:sz w:val="20"/>
          <w:szCs w:val="20"/>
        </w:rPr>
        <w:t xml:space="preserve">"Approve" — </w:t>
      </w:r>
      <w:r>
        <w:rPr>
          <w:color w:val="222222"/>
          <w:sz w:val="20"/>
          <w:szCs w:val="20"/>
        </w:rPr>
        <w:t xml:space="preserve">Confirms the stated balance is correct.</w:t>
      </w:r>
    </w:p>
    <w:p>
      <w:pPr>
        <w:pStyle w:val="Heading2"/>
        <w:spacing w:after="70" w:before="180"/>
      </w:pPr>
      <w:r>
        <w:rPr>
          <w:b/>
          <w:bCs/>
          <w:color w:val="2E5395"/>
          <w:sz w:val="23"/>
          <w:szCs w:val="23"/>
        </w:rPr>
        <w:t xml:space="preserve">5.7  Documents</w:t>
      </w:r>
    </w:p>
    <w:p>
      <w:pPr>
        <w:spacing w:after="70"/>
      </w:pPr>
      <w:r>
        <w:rPr>
          <w:color w:val="222222"/>
          <w:sz w:val="20"/>
          <w:szCs w:val="20"/>
        </w:rPr>
        <w:t xml:space="preserve">Intended as a shared library of your POs, letters, and confirmations. Not built yet — see Chapter 8.</w:t>
      </w:r>
    </w:p>
    <w:p>
      <w:pPr>
        <w:pStyle w:val="Heading2"/>
        <w:spacing w:after="70" w:before="180"/>
      </w:pPr>
      <w:r>
        <w:rPr>
          <w:b/>
          <w:bCs/>
          <w:color w:val="2E5395"/>
          <w:sz w:val="23"/>
          <w:szCs w:val="23"/>
        </w:rPr>
        <w:t xml:space="preserve">5.8  My Team</w:t>
      </w:r>
    </w:p>
    <w:p>
      <w:pPr>
        <w:spacing w:after="70"/>
      </w:pPr>
      <w:r>
        <w:rPr>
          <w:color w:val="222222"/>
          <w:sz w:val="20"/>
          <w:szCs w:val="20"/>
        </w:rPr>
        <w:t xml:space="preserve">Add colleagues from your company, and see who's active or awaiting approval (Mundra Brothers must approve new members before they can log in).</w:t>
      </w:r>
    </w:p>
    <w:p>
      <w:pPr>
        <w:pStyle w:val="ListParagraph"/>
        <w:numPr>
          <w:ilvl w:val="0"/>
          <w:numId w:val="2"/>
        </w:numPr>
        <w:spacing w:after="50"/>
      </w:pPr>
      <w:r>
        <w:rPr>
          <w:b/>
          <w:bCs/>
          <w:color w:val="222222"/>
          <w:sz w:val="20"/>
          <w:szCs w:val="20"/>
        </w:rPr>
        <w:t xml:space="preserve">"Add User" — </w:t>
      </w:r>
      <w:r>
        <w:rPr>
          <w:color w:val="222222"/>
          <w:sz w:val="20"/>
          <w:szCs w:val="20"/>
        </w:rPr>
        <w:t xml:space="preserve">Email, temporary password, name, phone, and a role (Org Admin, PO Maker/Approver, Payment Maker/Approver, Ledger User, or Read Only).</w:t>
      </w:r>
    </w:p>
    <w:p>
      <w:pPr>
        <w:pStyle w:val="Heading1"/>
        <w:pBdr>
          <w:bottom w:val="single" w:color="1F3864" w:sz="6" w:space="4"/>
        </w:pBdr>
        <w:spacing w:after="110" w:before="260"/>
      </w:pPr>
      <w:r>
        <w:rPr>
          <w:b/>
          <w:bCs/>
          <w:color w:val="1F3864"/>
          <w:sz w:val="28"/>
          <w:szCs w:val="28"/>
        </w:rPr>
        <w:t xml:space="preserve">6. Understanding Payments</w:t>
      </w:r>
    </w:p>
    <w:p>
      <w:pPr>
        <w:spacing w:after="120"/>
      </w:pPr>
      <w:r>
        <w:rPr>
          <w:i/>
          <w:iCs/>
          <w:color w:val="5B5B5B"/>
          <w:sz w:val="20"/>
          <w:szCs w:val="20"/>
        </w:rPr>
        <w:t xml:space="preserve">Read this chapter carefully — "Payments" means two different things depending on which side of the platform you're on.</w:t>
      </w:r>
    </w:p>
    <w:p>
      <w:pPr>
        <w:pBdr>
          <w:top w:val="single" w:color="B7791F" w:sz="4" w:space="4"/>
          <w:bottom w:val="single" w:color="B7791F" w:sz="4" w:space="4"/>
          <w:left w:val="single" w:color="B7791F" w:sz="22" w:space="10"/>
          <w:right w:val="single" w:color="B7791F" w:sz="4" w:space="4"/>
        </w:pBdr>
        <w:shd w:fill="FFF4CE" w:color="auto" w:val="clear"/>
        <w:spacing w:after="130" w:before="90"/>
      </w:pPr>
      <w:r>
        <w:rPr>
          <w:b/>
          <w:bCs/>
          <w:color w:val="222222"/>
          <w:sz w:val="20"/>
          <w:szCs w:val="20"/>
        </w:rPr>
        <w:t xml:space="preserve">⚠ The single most important thing in this chapter</w:t>
      </w:r>
      <w:r>
        <w:rPr>
          <w:color w:val="222222"/>
          <w:sz w:val="20"/>
          <w:szCs w:val="20"/>
        </w:rPr>
        <w:br/>
        <w:t xml:space="preserve">Client Portal → Payments  is a client telling Mundra Brothers "I have transferred you this money" and matching it to their invoices.</w:t>
      </w:r>
      <w:r>
        <w:rPr>
          <w:color w:val="222222"/>
          <w:sz w:val="20"/>
          <w:szCs w:val="20"/>
        </w:rPr>
        <w:br/>
        <w:t xml:space="preserve">Admin Console → Payments &amp; Refunds  is Mundra Brothers recording money that goes onward to the supplier, UTCL — paid by Mundra Brothers, or by a client directly.</w:t>
      </w:r>
      <w:r>
        <w:rPr>
          <w:color w:val="222222"/>
          <w:sz w:val="20"/>
          <w:szCs w:val="20"/>
        </w:rPr>
        <w:br/>
        <w:t xml:space="preserve">These are two separate flows to two different recipients. A payment recorded in one does not automatically appear in the other.</w:t>
      </w:r>
    </w:p>
    <w:p>
      <w:pPr>
        <w:pStyle w:val="Heading2"/>
        <w:spacing w:after="70" w:before="180"/>
      </w:pPr>
      <w:r>
        <w:rPr>
          <w:b/>
          <w:bCs/>
          <w:color w:val="2E5395"/>
          <w:sz w:val="23"/>
          <w:szCs w:val="23"/>
        </w:rPr>
        <w:t xml:space="preserve">6.1  Client Portal — Reporting a Payment</w:t>
      </w:r>
    </w:p>
    <w:p>
      <w:pPr>
        <w:spacing w:after="90"/>
      </w:pPr>
      <w:r>
        <w:rPr>
          <w:i w:val="false"/>
          <w:iCs w:val="false"/>
          <w:color w:val="222222"/>
          <w:sz w:val="20"/>
          <w:szCs w:val="20"/>
        </w:rPr>
        <w:t xml:space="preserve">Use this whenever your company has transferred money to Mundra Brothers by bank transfer, so the office can match it to your account and, where you choose, to specific unpaid invoices.</w:t>
      </w:r>
    </w:p>
    <w:p>
      <w:pPr>
        <w:spacing w:after="40" w:before="120"/>
      </w:pPr>
      <w:r>
        <w:rPr>
          <w:b/>
          <w:bCs/>
          <w:color w:val="9C6B1F"/>
          <w:sz w:val="20"/>
          <w:szCs w:val="20"/>
        </w:rPr>
        <w:t xml:space="preserve">How to report a payment</w:t>
      </w:r>
    </w:p>
    <w:p>
      <w:pPr>
        <w:pStyle w:val="ListParagraph"/>
        <w:numPr>
          <w:ilvl w:val="0"/>
          <w:numId w:val="3"/>
        </w:numPr>
        <w:spacing w:after="60"/>
      </w:pPr>
      <w:r>
        <w:rPr>
          <w:color w:val="222222"/>
          <w:sz w:val="20"/>
          <w:szCs w:val="20"/>
        </w:rPr>
        <w:t xml:space="preserve">Click "Report Payment"; enter the Amount and Payment Date.</w:t>
      </w:r>
    </w:p>
    <w:p>
      <w:pPr>
        <w:pStyle w:val="ListParagraph"/>
        <w:numPr>
          <w:ilvl w:val="0"/>
          <w:numId w:val="3"/>
        </w:numPr>
        <w:spacing w:after="60"/>
      </w:pPr>
      <w:r>
        <w:rPr>
          <w:color w:val="222222"/>
          <w:sz w:val="20"/>
          <w:szCs w:val="20"/>
        </w:rPr>
        <w:t xml:space="preserve">Enter the Payment Mode (e.g. RTGS/NEFT) and the Reference / UTR Number — copy it exactly, it's how the office finds your transaction.</w:t>
      </w:r>
    </w:p>
    <w:p>
      <w:pPr>
        <w:pStyle w:val="ListParagraph"/>
        <w:numPr>
          <w:ilvl w:val="0"/>
          <w:numId w:val="3"/>
        </w:numPr>
        <w:spacing w:after="60"/>
      </w:pPr>
      <w:r>
        <w:rPr>
          <w:color w:val="222222"/>
          <w:sz w:val="20"/>
          <w:szCs w:val="20"/>
        </w:rPr>
        <w:t xml:space="preserve">Optionally add the Bank Name and a link to your proof of payment.</w:t>
      </w:r>
    </w:p>
    <w:p>
      <w:pPr>
        <w:pStyle w:val="ListParagraph"/>
        <w:numPr>
          <w:ilvl w:val="0"/>
          <w:numId w:val="3"/>
        </w:numPr>
        <w:spacing w:after="60"/>
      </w:pPr>
      <w:r>
        <w:rPr>
          <w:color w:val="222222"/>
          <w:sz w:val="20"/>
          <w:szCs w:val="20"/>
        </w:rPr>
        <w:t xml:space="preserve">Tick "Payment done to UTCL" only if the transfer went directly to the supplier rather than Mundra Brothers; tick "Advance Payment" if it isn't for any invoice yet.</w:t>
      </w:r>
    </w:p>
    <w:p>
      <w:pPr>
        <w:pStyle w:val="ListParagraph"/>
        <w:numPr>
          <w:ilvl w:val="0"/>
          <w:numId w:val="3"/>
        </w:numPr>
        <w:spacing w:after="60"/>
      </w:pPr>
      <w:r>
        <w:rPr>
          <w:color w:val="222222"/>
          <w:sz w:val="20"/>
          <w:szCs w:val="20"/>
        </w:rPr>
        <w:t xml:space="preserve">If you have unpaid invoices, use the allocation table to say which invoice(s) this payment covers, and how much is TDS (tax deducted at source). Watch "Unallocated On Account" — it turns red, and blocks submission, if you've allocated more than you paid.</w:t>
      </w:r>
    </w:p>
    <w:p>
      <w:pPr>
        <w:pStyle w:val="ListParagraph"/>
        <w:numPr>
          <w:ilvl w:val="0"/>
          <w:numId w:val="3"/>
        </w:numPr>
        <w:spacing w:after="60"/>
      </w:pPr>
      <w:r>
        <w:rPr>
          <w:color w:val="222222"/>
          <w:sz w:val="20"/>
          <w:szCs w:val="20"/>
        </w:rPr>
        <w:t xml:space="preserve">Click "Submit Payment".</w:t>
      </w:r>
    </w:p>
    <w:p>
      <w:pPr>
        <w:pBdr>
          <w:top w:val="single" w:color="2C5AA0" w:sz="4" w:space="4"/>
          <w:bottom w:val="single" w:color="2C5AA0" w:sz="4" w:space="4"/>
          <w:left w:val="single" w:color="2C5AA0" w:sz="22" w:space="10"/>
          <w:right w:val="single" w:color="2C5AA0" w:sz="4" w:space="4"/>
        </w:pBdr>
        <w:shd w:fill="E8F0FE" w:color="auto" w:val="clear"/>
        <w:spacing w:after="130" w:before="90"/>
      </w:pPr>
      <w:r>
        <w:rPr>
          <w:b/>
          <w:bCs/>
          <w:color w:val="222222"/>
          <w:sz w:val="20"/>
          <w:szCs w:val="20"/>
        </w:rPr>
        <w:t xml:space="preserve">ℹ Worked example</w:t>
      </w:r>
      <w:r>
        <w:rPr>
          <w:color w:val="222222"/>
          <w:sz w:val="20"/>
          <w:szCs w:val="20"/>
        </w:rPr>
        <w:br/>
        <w:t xml:space="preserve">Transfer ₹5,00,000 against two unpaid invoices of ₹3,00,000 and ₹2,50,000: allocate ₹3,00,000 to the first and ₹2,00,000 to the second, leaving that invoice ₹50,000 short and "Unallocated" at ₹0.</w:t>
      </w:r>
      <w:r>
        <w:rPr>
          <w:color w:val="222222"/>
          <w:sz w:val="20"/>
          <w:szCs w:val="20"/>
        </w:rPr>
        <w:br/>
        <w:t xml:space="preserve">Anything left unallocated simply sits as a credit "on account" for later. With no unpaid invoices, the whole payment defaults to "On Account".</w:t>
      </w:r>
    </w:p>
    <w:p>
      <w:pPr>
        <w:spacing w:after="90"/>
      </w:pPr>
      <w:r>
        <w:rPr>
          <w:i/>
          <w:iCs/>
          <w:color w:val="222222"/>
          <w:sz w:val="20"/>
          <w:szCs w:val="20"/>
        </w:rPr>
        <w:t xml:space="preserve">To edit a reported payment, use the pencil icon in Payment History — this only changes the details you typed in, not which invoices it's allocated against.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color="auto" w:val="clear"/>
            <w:tcMar>
              <w:top w:type="dxa" w:w="60"/>
              <w:left w:type="dxa" w:w="90"/>
              <w:bottom w:type="dxa" w:w="60"/>
              <w:right w:type="dxa" w:w="90"/>
            </w:tcMar>
            <w:vAlign w:val="center"/>
          </w:tcPr>
          <w:p>
            <w:r>
              <w:rPr>
                <w:b/>
                <w:bCs/>
                <w:color w:val="FFFFFF"/>
                <w:sz w:val="18"/>
                <w:szCs w:val="18"/>
              </w:rPr>
              <w:t xml:space="preserve">Status you'll see</w:t>
            </w:r>
          </w:p>
        </w:tc>
        <w:tc>
          <w:tcPr>
            <w:tcW w:type="dxa" w:w="5826"/>
            <w:shd w:fill="1F3864" w:color="auto" w:val="clear"/>
            <w:tcMar>
              <w:top w:type="dxa" w:w="60"/>
              <w:left w:type="dxa" w:w="90"/>
              <w:bottom w:type="dxa" w:w="60"/>
              <w:right w:type="dxa" w:w="90"/>
            </w:tcMar>
            <w:vAlign w:val="center"/>
          </w:tcPr>
          <w:p>
            <w:r>
              <w:rPr>
                <w:b/>
                <w:bCs/>
                <w:color w:val="FFFFFF"/>
                <w:sz w:val="18"/>
                <w:szCs w:val="18"/>
              </w:rPr>
              <w:t xml:space="preserve">What it means</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Submitted</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Received — not yet checked against the bank statement.</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Under Verification</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Being actively checked.</w:t>
            </w:r>
          </w:p>
        </w:tc>
      </w:tr>
      <w:tr>
        <w:tc>
          <w:tcPr>
            <w:tcW w:type="dxa" w:w="3200"/>
            <w:shd w:fill="FFFFFF" w:color="auto" w:val="clear"/>
            <w:tcMar>
              <w:top w:type="dxa" w:w="50"/>
              <w:left w:type="dxa" w:w="90"/>
              <w:bottom w:type="dxa" w:w="50"/>
              <w:right w:type="dxa" w:w="90"/>
            </w:tcMar>
            <w:vAlign w:val="center"/>
          </w:tcPr>
          <w:p>
            <w:r>
              <w:rPr>
                <w:color w:val="222222"/>
                <w:sz w:val="18"/>
                <w:szCs w:val="18"/>
              </w:rPr>
              <w:t xml:space="preserve">Approved</w:t>
            </w:r>
          </w:p>
        </w:tc>
        <w:tc>
          <w:tcPr>
            <w:tcW w:type="dxa" w:w="5826"/>
            <w:shd w:fill="FFFFFF" w:color="auto" w:val="clear"/>
            <w:tcMar>
              <w:top w:type="dxa" w:w="50"/>
              <w:left w:type="dxa" w:w="90"/>
              <w:bottom w:type="dxa" w:w="50"/>
              <w:right w:type="dxa" w:w="90"/>
            </w:tcMar>
            <w:vAlign w:val="center"/>
          </w:tcPr>
          <w:p>
            <w:r>
              <w:rPr>
                <w:color w:val="222222"/>
                <w:sz w:val="18"/>
                <w:szCs w:val="18"/>
              </w:rPr>
              <w:t xml:space="preserve">Confirmed and matched — the final, good state.</w:t>
            </w:r>
          </w:p>
        </w:tc>
      </w:tr>
      <w:tr>
        <w:tc>
          <w:tcPr>
            <w:tcW w:type="dxa" w:w="3200"/>
            <w:shd w:fill="F2F5FA" w:color="auto" w:val="clear"/>
            <w:tcMar>
              <w:top w:type="dxa" w:w="50"/>
              <w:left w:type="dxa" w:w="90"/>
              <w:bottom w:type="dxa" w:w="50"/>
              <w:right w:type="dxa" w:w="90"/>
            </w:tcMar>
            <w:vAlign w:val="center"/>
          </w:tcPr>
          <w:p>
            <w:r>
              <w:rPr>
                <w:color w:val="222222"/>
                <w:sz w:val="18"/>
                <w:szCs w:val="18"/>
              </w:rPr>
              <w:t xml:space="preserve">Anything shown in red</w:t>
            </w:r>
          </w:p>
        </w:tc>
        <w:tc>
          <w:tcPr>
            <w:tcW w:type="dxa" w:w="5826"/>
            <w:shd w:fill="F2F5FA" w:color="auto" w:val="clear"/>
            <w:tcMar>
              <w:top w:type="dxa" w:w="50"/>
              <w:left w:type="dxa" w:w="90"/>
              <w:bottom w:type="dxa" w:w="50"/>
              <w:right w:type="dxa" w:w="90"/>
            </w:tcMar>
            <w:vAlign w:val="center"/>
          </w:tcPr>
          <w:p>
            <w:r>
              <w:rPr>
                <w:color w:val="222222"/>
                <w:sz w:val="18"/>
                <w:szCs w:val="18"/>
              </w:rPr>
              <w:t xml:space="preserve">Needs attention — contact Mundra Brothers, quoting the Reference / UTR number.</w:t>
            </w:r>
          </w:p>
        </w:tc>
      </w:tr>
    </w:tbl>
    <w:p>
      <w:pPr>
        <w:pStyle w:val="Heading2"/>
        <w:spacing w:after="70" w:before="180"/>
      </w:pPr>
      <w:r>
        <w:rPr>
          <w:b/>
          <w:bCs/>
          <w:color w:val="2E5395"/>
          <w:sz w:val="23"/>
          <w:szCs w:val="23"/>
        </w:rPr>
        <w:t xml:space="preserve">6.2  Admin Console — Payments &amp; Refunds (Payments to UTCL)</w:t>
      </w:r>
    </w:p>
    <w:p>
      <w:pPr>
        <w:spacing w:after="90"/>
      </w:pPr>
      <w:r>
        <w:rPr>
          <w:i w:val="false"/>
          <w:iCs w:val="false"/>
          <w:color w:val="222222"/>
          <w:sz w:val="20"/>
          <w:szCs w:val="20"/>
        </w:rPr>
        <w:t xml:space="preserve">Records money that Mundra Brothers, or a client directly, pays onward to UTCL. Two independent tabs:</w:t>
      </w:r>
    </w:p>
    <w:p>
      <w:pPr>
        <w:spacing w:after="40" w:before="120"/>
      </w:pPr>
      <w:r>
        <w:rPr>
          <w:b/>
          <w:bCs/>
          <w:color w:val="9C6B1F"/>
          <w:sz w:val="20"/>
          <w:szCs w:val="20"/>
        </w:rPr>
        <w:t xml:space="preserve">"Mundra to UTCL" — what Mundra Brothers itself pays UTCL</w:t>
      </w:r>
    </w:p>
    <w:p>
      <w:pPr>
        <w:pStyle w:val="ListParagraph"/>
        <w:numPr>
          <w:ilvl w:val="0"/>
          <w:numId w:val="3"/>
        </w:numPr>
        <w:spacing w:after="60"/>
      </w:pPr>
      <w:r>
        <w:rPr>
          <w:color w:val="222222"/>
          <w:sz w:val="20"/>
          <w:szCs w:val="20"/>
        </w:rPr>
        <w:t xml:space="preserve">Click "Record payment to UTCL", search and select one or more dispatches ("FIFO Policy" simply reorders the list oldest-first), then "Done".</w:t>
      </w:r>
    </w:p>
    <w:p>
      <w:pPr>
        <w:pStyle w:val="ListParagraph"/>
        <w:numPr>
          <w:ilvl w:val="0"/>
          <w:numId w:val="3"/>
        </w:numPr>
        <w:spacing w:after="60"/>
      </w:pPr>
      <w:r>
        <w:rPr>
          <w:color w:val="222222"/>
          <w:sz w:val="20"/>
          <w:szCs w:val="20"/>
        </w:rPr>
        <w:t xml:space="preserve">Selected dispatches sit in a staging table showing Dispatch Value, Paid to UTCL, and Remaining.</w:t>
      </w:r>
    </w:p>
    <w:p>
      <w:pPr>
        <w:pStyle w:val="ListParagraph"/>
        <w:numPr>
          <w:ilvl w:val="0"/>
          <w:numId w:val="3"/>
        </w:numPr>
        <w:spacing w:after="60"/>
      </w:pPr>
      <w:r>
        <w:rPr>
          <w:color w:val="222222"/>
          <w:sz w:val="20"/>
          <w:szCs w:val="20"/>
        </w:rPr>
        <w:t xml:space="preserve">Click "Record Lumpsum Payment" (amount pre-filled from the total, editable), enter Date/Mode/Reference, and "Confirm Payment".</w:t>
      </w:r>
    </w:p>
    <w:p>
      <w:pPr>
        <w:spacing w:after="40" w:before="120"/>
      </w:pPr>
      <w:r>
        <w:rPr>
          <w:b/>
          <w:bCs/>
          <w:color w:val="9C6B1F"/>
          <w:sz w:val="20"/>
          <w:szCs w:val="20"/>
        </w:rPr>
        <w:t xml:space="preserve">"Client to UTCL" — a client paying UTCL directly</w:t>
      </w:r>
    </w:p>
    <w:p>
      <w:pPr>
        <w:pStyle w:val="ListParagraph"/>
        <w:numPr>
          <w:ilvl w:val="0"/>
          <w:numId w:val="3"/>
        </w:numPr>
        <w:spacing w:after="60"/>
      </w:pPr>
      <w:r>
        <w:rPr>
          <w:color w:val="222222"/>
          <w:sz w:val="20"/>
          <w:szCs w:val="20"/>
        </w:rPr>
        <w:t xml:space="preserve">Click "Record Client Payment to UTCL"; choose the Client and a Payment Type: "On Account" or "Against Reference".</w:t>
      </w:r>
    </w:p>
    <w:p>
      <w:pPr>
        <w:pStyle w:val="ListParagraph"/>
        <w:numPr>
          <w:ilvl w:val="0"/>
          <w:numId w:val="3"/>
        </w:numPr>
        <w:spacing w:after="60"/>
      </w:pPr>
      <w:r>
        <w:rPr>
          <w:color w:val="222222"/>
          <w:sz w:val="20"/>
          <w:szCs w:val="20"/>
        </w:rPr>
        <w:t xml:space="preserve">If Against Reference, tick one dispatch or one PO (picking one clears the other) — the amount auto-fills but can be adjusted.</w:t>
      </w:r>
    </w:p>
    <w:p>
      <w:pPr>
        <w:pStyle w:val="ListParagraph"/>
        <w:numPr>
          <w:ilvl w:val="0"/>
          <w:numId w:val="3"/>
        </w:numPr>
        <w:spacing w:after="60"/>
      </w:pPr>
      <w:r>
        <w:rPr>
          <w:color w:val="222222"/>
          <w:sz w:val="20"/>
          <w:szCs w:val="20"/>
        </w:rPr>
        <w:t xml:space="preserve">Enter Date/Mode/Reference and "Confirm Payment".</w:t>
      </w:r>
    </w:p>
    <w:p>
      <w:pPr>
        <w:spacing w:after="90"/>
      </w:pPr>
      <w:r>
        <w:rPr>
          <w:i/>
          <w:iCs/>
          <w:color w:val="222222"/>
          <w:sz w:val="20"/>
          <w:szCs w:val="20"/>
        </w:rPr>
        <w:t xml:space="preserve">Either tab: the pencil icon edits an entry; the trash icon deletes it (with confirmation, cannot be undone). "Multiple (View Details)" appears when one payment covers several dispatches.</w:t>
      </w:r>
    </w:p>
    <w:p>
      <w:pPr>
        <w:pBdr>
          <w:top w:val="single" w:color="2C5AA0" w:sz="4" w:space="4"/>
          <w:bottom w:val="single" w:color="2C5AA0" w:sz="4" w:space="4"/>
          <w:left w:val="single" w:color="2C5AA0" w:sz="22" w:space="10"/>
          <w:right w:val="single" w:color="2C5AA0" w:sz="4" w:space="4"/>
        </w:pBdr>
        <w:shd w:fill="E8F0FE" w:color="auto" w:val="clear"/>
        <w:spacing w:after="130" w:before="90"/>
      </w:pPr>
      <w:r>
        <w:rPr>
          <w:b/>
          <w:bCs/>
          <w:color w:val="222222"/>
          <w:sz w:val="20"/>
          <w:szCs w:val="20"/>
        </w:rPr>
        <w:t xml:space="preserve">ℹ Recap</w:t>
      </w:r>
      <w:r>
        <w:rPr>
          <w:color w:val="222222"/>
          <w:sz w:val="20"/>
          <w:szCs w:val="20"/>
        </w:rPr>
        <w:br/>
        <w:t xml:space="preserve">Client reports a payment → Client Portal → Payments.  Mundra Brothers pays UTCL → Admin → Payments &amp; Refunds → "Mundra to UTCL".  A client pays UTCL directly → same page → "Client to UTCL".</w:t>
      </w:r>
      <w:r>
        <w:rPr>
          <w:color w:val="222222"/>
          <w:sz w:val="20"/>
          <w:szCs w:val="20"/>
        </w:rPr>
        <w:br/>
        <w:t xml:space="preserve">What a client owes Mundra Brothers overall is tracked separately, on the Ledgers / Audit Trail pages — not on either Payments page.</w:t>
      </w:r>
    </w:p>
    <w:p>
      <w:pPr>
        <w:pStyle w:val="Heading1"/>
        <w:pBdr>
          <w:bottom w:val="single" w:color="1F3864" w:sz="6" w:space="4"/>
        </w:pBdr>
        <w:spacing w:after="110" w:before="260"/>
      </w:pPr>
      <w:r>
        <w:rPr>
          <w:b/>
          <w:bCs/>
          <w:color w:val="1F3864"/>
          <w:sz w:val="28"/>
          <w:szCs w:val="28"/>
        </w:rPr>
        <w:t xml:space="preserve">7. Quick Reference — Status Labels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2926"/>
      </w:tblGrid>
      <w:tr>
        <w:trPr>
          <w:tblHeader/>
        </w:trPr>
        <w:tc>
          <w:tcPr>
            <w:tcW w:type="dxa" w:w="2600"/>
            <w:shd w:fill="1F3864" w:color="auto" w:val="clear"/>
            <w:tcMar>
              <w:top w:type="dxa" w:w="60"/>
              <w:left w:type="dxa" w:w="90"/>
              <w:bottom w:type="dxa" w:w="60"/>
              <w:right w:type="dxa" w:w="90"/>
            </w:tcMar>
            <w:vAlign w:val="center"/>
          </w:tcPr>
          <w:p>
            <w:r>
              <w:rPr>
                <w:b/>
                <w:bCs/>
                <w:color w:val="FFFFFF"/>
                <w:sz w:val="18"/>
                <w:szCs w:val="18"/>
              </w:rPr>
              <w:t xml:space="preserve">Where</w:t>
            </w:r>
          </w:p>
        </w:tc>
        <w:tc>
          <w:tcPr>
            <w:tcW w:type="dxa" w:w="3500"/>
            <w:shd w:fill="1F3864" w:color="auto" w:val="clear"/>
            <w:tcMar>
              <w:top w:type="dxa" w:w="60"/>
              <w:left w:type="dxa" w:w="90"/>
              <w:bottom w:type="dxa" w:w="60"/>
              <w:right w:type="dxa" w:w="90"/>
            </w:tcMar>
            <w:vAlign w:val="center"/>
          </w:tcPr>
          <w:p>
            <w:r>
              <w:rPr>
                <w:b/>
                <w:bCs/>
                <w:color w:val="FFFFFF"/>
                <w:sz w:val="18"/>
                <w:szCs w:val="18"/>
              </w:rPr>
              <w:t xml:space="preserve">Label</w:t>
            </w:r>
          </w:p>
        </w:tc>
        <w:tc>
          <w:tcPr>
            <w:tcW w:type="dxa" w:w="2926"/>
            <w:shd w:fill="1F3864" w:color="auto" w:val="clear"/>
            <w:tcMar>
              <w:top w:type="dxa" w:w="60"/>
              <w:left w:type="dxa" w:w="90"/>
              <w:bottom w:type="dxa" w:w="60"/>
              <w:right w:type="dxa" w:w="90"/>
            </w:tcMar>
            <w:vAlign w:val="center"/>
          </w:tcPr>
          <w:p>
            <w:r>
              <w:rPr>
                <w:b/>
                <w:bCs/>
                <w:color w:val="FFFFFF"/>
                <w:sz w:val="18"/>
                <w:szCs w:val="18"/>
              </w:rPr>
              <w:t xml:space="preserve">Meaning</w:t>
            </w:r>
          </w:p>
        </w:tc>
      </w:tr>
      <w:tr>
        <w:tc>
          <w:tcPr>
            <w:tcW w:type="dxa" w:w="2600"/>
            <w:shd w:fill="FFFFFF" w:color="auto" w:val="clear"/>
            <w:tcMar>
              <w:top w:type="dxa" w:w="50"/>
              <w:left w:type="dxa" w:w="90"/>
              <w:bottom w:type="dxa" w:w="50"/>
              <w:right w:type="dxa" w:w="90"/>
            </w:tcMar>
            <w:vAlign w:val="center"/>
          </w:tcPr>
          <w:p>
            <w:r>
              <w:rPr>
                <w:color w:val="222222"/>
                <w:sz w:val="18"/>
                <w:szCs w:val="18"/>
              </w:rPr>
              <w:t xml:space="preserve">Purchase Orders</w:t>
            </w:r>
          </w:p>
        </w:tc>
        <w:tc>
          <w:tcPr>
            <w:tcW w:type="dxa" w:w="3500"/>
            <w:shd w:fill="FFFFFF" w:color="auto" w:val="clear"/>
            <w:tcMar>
              <w:top w:type="dxa" w:w="50"/>
              <w:left w:type="dxa" w:w="90"/>
              <w:bottom w:type="dxa" w:w="50"/>
              <w:right w:type="dxa" w:w="90"/>
            </w:tcMar>
            <w:vAlign w:val="center"/>
          </w:tcPr>
          <w:p>
            <w:r>
              <w:rPr>
                <w:color w:val="222222"/>
                <w:sz w:val="18"/>
                <w:szCs w:val="18"/>
              </w:rPr>
              <w:t xml:space="preserve">Pending / Approved / Rejected</w:t>
            </w:r>
          </w:p>
        </w:tc>
        <w:tc>
          <w:tcPr>
            <w:tcW w:type="dxa" w:w="2926"/>
            <w:shd w:fill="FFFFFF" w:color="auto" w:val="clear"/>
            <w:tcMar>
              <w:top w:type="dxa" w:w="50"/>
              <w:left w:type="dxa" w:w="90"/>
              <w:bottom w:type="dxa" w:w="50"/>
              <w:right w:type="dxa" w:w="90"/>
            </w:tcMar>
            <w:vAlign w:val="center"/>
          </w:tcPr>
          <w:p>
            <w:r>
              <w:rPr>
                <w:color w:val="222222"/>
                <w:sz w:val="18"/>
                <w:szCs w:val="18"/>
              </w:rPr>
              <w:t xml:space="preserve">Awaiting review / dispatch can proceed / resubmit needed.</w:t>
            </w:r>
          </w:p>
        </w:tc>
      </w:tr>
      <w:tr>
        <w:tc>
          <w:tcPr>
            <w:tcW w:type="dxa" w:w="2600"/>
            <w:shd w:fill="F2F5FA" w:color="auto" w:val="clear"/>
            <w:tcMar>
              <w:top w:type="dxa" w:w="50"/>
              <w:left w:type="dxa" w:w="90"/>
              <w:bottom w:type="dxa" w:w="50"/>
              <w:right w:type="dxa" w:w="90"/>
            </w:tcMar>
            <w:vAlign w:val="center"/>
          </w:tcPr>
          <w:p>
            <w:r>
              <w:rPr>
                <w:color w:val="222222"/>
                <w:sz w:val="18"/>
                <w:szCs w:val="18"/>
              </w:rPr>
              <w:t xml:space="preserve">Dispatches</w:t>
            </w:r>
          </w:p>
        </w:tc>
        <w:tc>
          <w:tcPr>
            <w:tcW w:type="dxa" w:w="3500"/>
            <w:shd w:fill="F2F5FA" w:color="auto" w:val="clear"/>
            <w:tcMar>
              <w:top w:type="dxa" w:w="50"/>
              <w:left w:type="dxa" w:w="90"/>
              <w:bottom w:type="dxa" w:w="50"/>
              <w:right w:type="dxa" w:w="90"/>
            </w:tcMar>
            <w:vAlign w:val="center"/>
          </w:tcPr>
          <w:p>
            <w:r>
              <w:rPr>
                <w:color w:val="222222"/>
                <w:sz w:val="18"/>
                <w:szCs w:val="18"/>
              </w:rPr>
              <w:t xml:space="preserve">Submitted / Approved / Blocked</w:t>
            </w:r>
          </w:p>
        </w:tc>
        <w:tc>
          <w:tcPr>
            <w:tcW w:type="dxa" w:w="2926"/>
            <w:shd w:fill="F2F5FA" w:color="auto" w:val="clear"/>
            <w:tcMar>
              <w:top w:type="dxa" w:w="50"/>
              <w:left w:type="dxa" w:w="90"/>
              <w:bottom w:type="dxa" w:w="50"/>
              <w:right w:type="dxa" w:w="90"/>
            </w:tcMar>
            <w:vAlign w:val="center"/>
          </w:tcPr>
          <w:p>
            <w:r>
              <w:rPr>
                <w:color w:val="222222"/>
                <w:sz w:val="18"/>
                <w:szCs w:val="18"/>
              </w:rPr>
              <w:t xml:space="preserve">Awaiting review / cleared / held by a credit or compliance check.</w:t>
            </w:r>
          </w:p>
        </w:tc>
      </w:tr>
      <w:tr>
        <w:tc>
          <w:tcPr>
            <w:tcW w:type="dxa" w:w="2600"/>
            <w:shd w:fill="FFFFFF" w:color="auto" w:val="clear"/>
            <w:tcMar>
              <w:top w:type="dxa" w:w="50"/>
              <w:left w:type="dxa" w:w="90"/>
              <w:bottom w:type="dxa" w:w="50"/>
              <w:right w:type="dxa" w:w="90"/>
            </w:tcMar>
            <w:vAlign w:val="center"/>
          </w:tcPr>
          <w:p>
            <w:r>
              <w:rPr>
                <w:color w:val="222222"/>
                <w:sz w:val="18"/>
                <w:szCs w:val="18"/>
              </w:rPr>
              <w:t xml:space="preserve">Payments (client)</w:t>
            </w:r>
          </w:p>
        </w:tc>
        <w:tc>
          <w:tcPr>
            <w:tcW w:type="dxa" w:w="3500"/>
            <w:shd w:fill="FFFFFF" w:color="auto" w:val="clear"/>
            <w:tcMar>
              <w:top w:type="dxa" w:w="50"/>
              <w:left w:type="dxa" w:w="90"/>
              <w:bottom w:type="dxa" w:w="50"/>
              <w:right w:type="dxa" w:w="90"/>
            </w:tcMar>
            <w:vAlign w:val="center"/>
          </w:tcPr>
          <w:p>
            <w:r>
              <w:rPr>
                <w:color w:val="222222"/>
                <w:sz w:val="18"/>
                <w:szCs w:val="18"/>
              </w:rPr>
              <w:t xml:space="preserve">Submitted, Under Verification, Approved</w:t>
            </w:r>
          </w:p>
        </w:tc>
        <w:tc>
          <w:tcPr>
            <w:tcW w:type="dxa" w:w="2926"/>
            <w:shd w:fill="FFFFFF" w:color="auto" w:val="clear"/>
            <w:tcMar>
              <w:top w:type="dxa" w:w="50"/>
              <w:left w:type="dxa" w:w="90"/>
              <w:bottom w:type="dxa" w:w="50"/>
              <w:right w:type="dxa" w:w="90"/>
            </w:tcMar>
            <w:vAlign w:val="center"/>
          </w:tcPr>
          <w:p>
            <w:r>
              <w:rPr>
                <w:color w:val="222222"/>
                <w:sz w:val="18"/>
                <w:szCs w:val="18"/>
              </w:rPr>
              <w:t xml:space="preserve">Received → being checked → confirmed.</w:t>
            </w:r>
          </w:p>
        </w:tc>
      </w:tr>
      <w:tr>
        <w:tc>
          <w:tcPr>
            <w:tcW w:type="dxa" w:w="2600"/>
            <w:shd w:fill="F2F5FA" w:color="auto" w:val="clear"/>
            <w:tcMar>
              <w:top w:type="dxa" w:w="50"/>
              <w:left w:type="dxa" w:w="90"/>
              <w:bottom w:type="dxa" w:w="50"/>
              <w:right w:type="dxa" w:w="90"/>
            </w:tcMar>
            <w:vAlign w:val="center"/>
          </w:tcPr>
          <w:p>
            <w:r>
              <w:rPr>
                <w:color w:val="222222"/>
                <w:sz w:val="18"/>
                <w:szCs w:val="18"/>
              </w:rPr>
              <w:t xml:space="preserve">Clients</w:t>
            </w:r>
          </w:p>
        </w:tc>
        <w:tc>
          <w:tcPr>
            <w:tcW w:type="dxa" w:w="3500"/>
            <w:shd w:fill="F2F5FA" w:color="auto" w:val="clear"/>
            <w:tcMar>
              <w:top w:type="dxa" w:w="50"/>
              <w:left w:type="dxa" w:w="90"/>
              <w:bottom w:type="dxa" w:w="50"/>
              <w:right w:type="dxa" w:w="90"/>
            </w:tcMar>
            <w:vAlign w:val="center"/>
          </w:tcPr>
          <w:p>
            <w:r>
              <w:rPr>
                <w:color w:val="222222"/>
                <w:sz w:val="18"/>
                <w:szCs w:val="18"/>
              </w:rPr>
              <w:t xml:space="preserve">active / suspended</w:t>
            </w:r>
          </w:p>
        </w:tc>
        <w:tc>
          <w:tcPr>
            <w:tcW w:type="dxa" w:w="2926"/>
            <w:shd w:fill="F2F5FA" w:color="auto" w:val="clear"/>
            <w:tcMar>
              <w:top w:type="dxa" w:w="50"/>
              <w:left w:type="dxa" w:w="90"/>
              <w:bottom w:type="dxa" w:w="50"/>
              <w:right w:type="dxa" w:w="90"/>
            </w:tcMar>
            <w:vAlign w:val="center"/>
          </w:tcPr>
          <w:p>
            <w:r>
              <w:rPr>
                <w:color w:val="222222"/>
                <w:sz w:val="18"/>
                <w:szCs w:val="18"/>
              </w:rPr>
              <w:t xml:space="preserve">Can trade / blocked.</w:t>
            </w:r>
          </w:p>
        </w:tc>
      </w:tr>
      <w:tr>
        <w:tc>
          <w:tcPr>
            <w:tcW w:type="dxa" w:w="2600"/>
            <w:shd w:fill="FFFFFF" w:color="auto" w:val="clear"/>
            <w:tcMar>
              <w:top w:type="dxa" w:w="50"/>
              <w:left w:type="dxa" w:w="90"/>
              <w:bottom w:type="dxa" w:w="50"/>
              <w:right w:type="dxa" w:w="90"/>
            </w:tcMar>
            <w:vAlign w:val="center"/>
          </w:tcPr>
          <w:p>
            <w:r>
              <w:rPr>
                <w:color w:val="222222"/>
                <w:sz w:val="18"/>
                <w:szCs w:val="18"/>
              </w:rPr>
              <w:t xml:space="preserve">Invoices</w:t>
            </w:r>
          </w:p>
        </w:tc>
        <w:tc>
          <w:tcPr>
            <w:tcW w:type="dxa" w:w="3500"/>
            <w:shd w:fill="FFFFFF" w:color="auto" w:val="clear"/>
            <w:tcMar>
              <w:top w:type="dxa" w:w="50"/>
              <w:left w:type="dxa" w:w="90"/>
              <w:bottom w:type="dxa" w:w="50"/>
              <w:right w:type="dxa" w:w="90"/>
            </w:tcMar>
            <w:vAlign w:val="center"/>
          </w:tcPr>
          <w:p>
            <w:r>
              <w:rPr>
                <w:color w:val="222222"/>
                <w:sz w:val="18"/>
                <w:szCs w:val="18"/>
              </w:rPr>
              <w:t xml:space="preserve">Paid / Partially Paid / unpaid</w:t>
            </w:r>
          </w:p>
        </w:tc>
        <w:tc>
          <w:tcPr>
            <w:tcW w:type="dxa" w:w="2926"/>
            <w:shd w:fill="FFFFFF" w:color="auto" w:val="clear"/>
            <w:tcMar>
              <w:top w:type="dxa" w:w="50"/>
              <w:left w:type="dxa" w:w="90"/>
              <w:bottom w:type="dxa" w:w="50"/>
              <w:right w:type="dxa" w:w="90"/>
            </w:tcMar>
            <w:vAlign w:val="center"/>
          </w:tcPr>
          <w:p>
            <w:r>
              <w:rPr>
                <w:color w:val="222222"/>
                <w:sz w:val="18"/>
                <w:szCs w:val="18"/>
              </w:rPr>
              <w:t xml:space="preserve">How much has been settled.</w:t>
            </w:r>
          </w:p>
        </w:tc>
      </w:tr>
      <w:tr>
        <w:tc>
          <w:tcPr>
            <w:tcW w:type="dxa" w:w="2600"/>
            <w:shd w:fill="F2F5FA" w:color="auto" w:val="clear"/>
            <w:tcMar>
              <w:top w:type="dxa" w:w="50"/>
              <w:left w:type="dxa" w:w="90"/>
              <w:bottom w:type="dxa" w:w="50"/>
              <w:right w:type="dxa" w:w="90"/>
            </w:tcMar>
            <w:vAlign w:val="center"/>
          </w:tcPr>
          <w:p>
            <w:r>
              <w:rPr>
                <w:color w:val="222222"/>
                <w:sz w:val="18"/>
                <w:szCs w:val="18"/>
              </w:rPr>
              <w:t xml:space="preserve">Balance Confirmations</w:t>
            </w:r>
          </w:p>
        </w:tc>
        <w:tc>
          <w:tcPr>
            <w:tcW w:type="dxa" w:w="3500"/>
            <w:shd w:fill="F2F5FA" w:color="auto" w:val="clear"/>
            <w:tcMar>
              <w:top w:type="dxa" w:w="50"/>
              <w:left w:type="dxa" w:w="90"/>
              <w:bottom w:type="dxa" w:w="50"/>
              <w:right w:type="dxa" w:w="90"/>
            </w:tcMar>
            <w:vAlign w:val="center"/>
          </w:tcPr>
          <w:p>
            <w:r>
              <w:rPr>
                <w:color w:val="222222"/>
                <w:sz w:val="18"/>
                <w:szCs w:val="18"/>
              </w:rPr>
              <w:t xml:space="preserve">Approved / Under Review</w:t>
            </w:r>
          </w:p>
        </w:tc>
        <w:tc>
          <w:tcPr>
            <w:tcW w:type="dxa" w:w="2926"/>
            <w:shd w:fill="F2F5FA" w:color="auto" w:val="clear"/>
            <w:tcMar>
              <w:top w:type="dxa" w:w="50"/>
              <w:left w:type="dxa" w:w="90"/>
              <w:bottom w:type="dxa" w:w="50"/>
              <w:right w:type="dxa" w:w="90"/>
            </w:tcMar>
            <w:vAlign w:val="center"/>
          </w:tcPr>
          <w:p>
            <w:r>
              <w:rPr>
                <w:color w:val="222222"/>
                <w:sz w:val="18"/>
                <w:szCs w:val="18"/>
              </w:rPr>
              <w:t xml:space="preserve">Client has acknowledged / still pending.</w:t>
            </w:r>
          </w:p>
        </w:tc>
      </w:tr>
      <w:tr>
        <w:tc>
          <w:tcPr>
            <w:tcW w:type="dxa" w:w="2600"/>
            <w:shd w:fill="FFFFFF" w:color="auto" w:val="clear"/>
            <w:tcMar>
              <w:top w:type="dxa" w:w="50"/>
              <w:left w:type="dxa" w:w="90"/>
              <w:bottom w:type="dxa" w:w="50"/>
              <w:right w:type="dxa" w:w="90"/>
            </w:tcMar>
            <w:vAlign w:val="center"/>
          </w:tcPr>
          <w:p>
            <w:r>
              <w:rPr>
                <w:color w:val="222222"/>
                <w:sz w:val="18"/>
                <w:szCs w:val="18"/>
              </w:rPr>
              <w:t xml:space="preserve">Ledger</w:t>
            </w:r>
          </w:p>
        </w:tc>
        <w:tc>
          <w:tcPr>
            <w:tcW w:type="dxa" w:w="3500"/>
            <w:shd w:fill="FFFFFF" w:color="auto" w:val="clear"/>
            <w:tcMar>
              <w:top w:type="dxa" w:w="50"/>
              <w:left w:type="dxa" w:w="90"/>
              <w:bottom w:type="dxa" w:w="50"/>
              <w:right w:type="dxa" w:w="90"/>
            </w:tcMar>
            <w:vAlign w:val="center"/>
          </w:tcPr>
          <w:p>
            <w:r>
              <w:rPr>
                <w:color w:val="222222"/>
                <w:sz w:val="18"/>
                <w:szCs w:val="18"/>
              </w:rPr>
              <w:t xml:space="preserve">Dr (red) / Cr (green)</w:t>
            </w:r>
          </w:p>
        </w:tc>
        <w:tc>
          <w:tcPr>
            <w:tcW w:type="dxa" w:w="2926"/>
            <w:shd w:fill="FFFFFF" w:color="auto" w:val="clear"/>
            <w:tcMar>
              <w:top w:type="dxa" w:w="50"/>
              <w:left w:type="dxa" w:w="90"/>
              <w:bottom w:type="dxa" w:w="50"/>
              <w:right w:type="dxa" w:w="90"/>
            </w:tcMar>
            <w:vAlign w:val="center"/>
          </w:tcPr>
          <w:p>
            <w:r>
              <w:rPr>
                <w:color w:val="222222"/>
                <w:sz w:val="18"/>
                <w:szCs w:val="18"/>
              </w:rPr>
              <w:t xml:space="preserve">Client owes / client in credit.</w:t>
            </w:r>
          </w:p>
        </w:tc>
      </w:tr>
      <w:tr>
        <w:tc>
          <w:tcPr>
            <w:tcW w:type="dxa" w:w="2600"/>
            <w:shd w:fill="F2F5FA" w:color="auto" w:val="clear"/>
            <w:tcMar>
              <w:top w:type="dxa" w:w="50"/>
              <w:left w:type="dxa" w:w="90"/>
              <w:bottom w:type="dxa" w:w="50"/>
              <w:right w:type="dxa" w:w="90"/>
            </w:tcMar>
            <w:vAlign w:val="center"/>
          </w:tcPr>
          <w:p>
            <w:r>
              <w:rPr>
                <w:color w:val="222222"/>
                <w:sz w:val="18"/>
                <w:szCs w:val="18"/>
              </w:rPr>
              <w:t xml:space="preserve">Rates</w:t>
            </w:r>
          </w:p>
        </w:tc>
        <w:tc>
          <w:tcPr>
            <w:tcW w:type="dxa" w:w="3500"/>
            <w:shd w:fill="F2F5FA" w:color="auto" w:val="clear"/>
            <w:tcMar>
              <w:top w:type="dxa" w:w="50"/>
              <w:left w:type="dxa" w:w="90"/>
              <w:bottom w:type="dxa" w:w="50"/>
              <w:right w:type="dxa" w:w="90"/>
            </w:tcMar>
            <w:vAlign w:val="center"/>
          </w:tcPr>
          <w:p>
            <w:r>
              <w:rPr>
                <w:color w:val="222222"/>
                <w:sz w:val="18"/>
                <w:szCs w:val="18"/>
              </w:rPr>
              <w:t xml:space="preserve">Standard / Override</w:t>
            </w:r>
          </w:p>
        </w:tc>
        <w:tc>
          <w:tcPr>
            <w:tcW w:type="dxa" w:w="2926"/>
            <w:shd w:fill="F2F5FA" w:color="auto" w:val="clear"/>
            <w:tcMar>
              <w:top w:type="dxa" w:w="50"/>
              <w:left w:type="dxa" w:w="90"/>
              <w:bottom w:type="dxa" w:w="50"/>
              <w:right w:type="dxa" w:w="90"/>
            </w:tcMar>
            <w:vAlign w:val="center"/>
          </w:tcPr>
          <w:p>
            <w:r>
              <w:rPr>
                <w:color w:val="222222"/>
                <w:sz w:val="18"/>
                <w:szCs w:val="18"/>
              </w:rPr>
              <w:t xml:space="preserve">Applies to everyone / one specific client.</w:t>
            </w:r>
          </w:p>
        </w:tc>
      </w:tr>
    </w:tbl>
    <w:p>
      <w:pPr>
        <w:pStyle w:val="Heading1"/>
        <w:pBdr>
          <w:bottom w:val="single" w:color="1F3864" w:sz="6" w:space="4"/>
        </w:pBdr>
        <w:spacing w:after="110" w:before="260"/>
      </w:pPr>
      <w:r>
        <w:rPr>
          <w:b/>
          <w:bCs/>
          <w:color w:val="1F3864"/>
          <w:sz w:val="28"/>
          <w:szCs w:val="28"/>
        </w:rPr>
        <w:t xml:space="preserve">8. Appendix — Things Still Being Built</w:t>
      </w:r>
    </w:p>
    <w:p>
      <w:pPr>
        <w:spacing w:after="90"/>
      </w:pPr>
      <w:r>
        <w:rPr>
          <w:i/>
          <w:iCs/>
          <w:color w:val="222222"/>
          <w:sz w:val="20"/>
          <w:szCs w:val="20"/>
        </w:rPr>
        <w:t xml:space="preserve">For whoever manages the platform, not necessarily for client distribution — an honest list of what isn't finished, so no one hunts for a feature that doesn't exist.</w:t>
      </w:r>
    </w:p>
    <w:p>
      <w:pPr>
        <w:pStyle w:val="ListParagraph"/>
        <w:numPr>
          <w:ilvl w:val="0"/>
          <w:numId w:val="2"/>
        </w:numPr>
        <w:spacing w:after="50"/>
      </w:pPr>
      <w:r>
        <w:rPr>
          <w:b/>
          <w:bCs/>
          <w:color w:val="222222"/>
          <w:sz w:val="20"/>
          <w:szCs w:val="20"/>
        </w:rPr>
        <w:t xml:space="preserve">Platform Settings (Admin) &amp; Documents (Client) — </w:t>
      </w:r>
      <w:r>
        <w:rPr>
          <w:color w:val="222222"/>
          <w:sz w:val="20"/>
          <w:szCs w:val="20"/>
        </w:rPr>
        <w:t xml:space="preserve">Placeholder screens only — "ships in the next phase", nothing functional.</w:t>
      </w:r>
    </w:p>
    <w:p>
      <w:pPr>
        <w:pStyle w:val="ListParagraph"/>
        <w:numPr>
          <w:ilvl w:val="0"/>
          <w:numId w:val="2"/>
        </w:numPr>
        <w:spacing w:after="50"/>
      </w:pPr>
      <w:r>
        <w:rPr>
          <w:b/>
          <w:bCs/>
          <w:color w:val="222222"/>
          <w:sz w:val="20"/>
          <w:szCs w:val="20"/>
        </w:rPr>
        <w:t xml:space="preserve">"Generate Proforma" (PO Queue) — </w:t>
      </w:r>
      <w:r>
        <w:rPr>
          <w:color w:val="222222"/>
          <w:sz w:val="20"/>
          <w:szCs w:val="20"/>
        </w:rPr>
        <w:t xml:space="preserve">Disabled, labelled Coming Soon — only PDF upload works today.</w:t>
      </w:r>
    </w:p>
    <w:p>
      <w:pPr>
        <w:pStyle w:val="ListParagraph"/>
        <w:numPr>
          <w:ilvl w:val="0"/>
          <w:numId w:val="2"/>
        </w:numPr>
        <w:spacing w:after="50"/>
      </w:pPr>
      <w:r>
        <w:rPr>
          <w:b/>
          <w:bCs/>
          <w:color w:val="222222"/>
          <w:sz w:val="20"/>
          <w:szCs w:val="20"/>
        </w:rPr>
        <w:t xml:space="preserve">Refund Letters (Admin) — </w:t>
      </w:r>
      <w:r>
        <w:rPr>
          <w:color w:val="222222"/>
          <w:sz w:val="20"/>
          <w:szCs w:val="20"/>
        </w:rPr>
        <w:t xml:space="preserve">Opens with sample data already filled in, no Save/Send and no saved history — check and clear every field, and file the printed copy yourself.</w:t>
      </w:r>
    </w:p>
    <w:p>
      <w:pPr>
        <w:pStyle w:val="ListParagraph"/>
        <w:numPr>
          <w:ilvl w:val="0"/>
          <w:numId w:val="2"/>
        </w:numPr>
        <w:spacing w:after="50"/>
      </w:pPr>
      <w:r>
        <w:rPr>
          <w:b/>
          <w:bCs/>
          <w:color w:val="222222"/>
          <w:sz w:val="20"/>
          <w:szCs w:val="20"/>
        </w:rPr>
        <w:t xml:space="preserve">Approving a client's reported payment — </w:t>
      </w:r>
      <w:r>
        <w:rPr>
          <w:color w:val="222222"/>
          <w:sz w:val="20"/>
          <w:szCs w:val="20"/>
        </w:rPr>
        <w:t xml:space="preserve">A reported payment moves to "Submitted", but no screen currently moves it to "Approved"/"Rejected" — decide whether that happens outside the platform for now, or should be built next.</w:t>
      </w:r>
    </w:p>
    <w:p>
      <w:pPr>
        <w:pStyle w:val="ListParagraph"/>
        <w:numPr>
          <w:ilvl w:val="0"/>
          <w:numId w:val="2"/>
        </w:numPr>
        <w:spacing w:after="50"/>
      </w:pPr>
      <w:r>
        <w:rPr>
          <w:b/>
          <w:bCs/>
          <w:color w:val="222222"/>
          <w:sz w:val="20"/>
          <w:szCs w:val="20"/>
        </w:rPr>
        <w:t xml:space="preserve">Admin Dashboard "Special approvals" — </w:t>
      </w:r>
      <w:r>
        <w:rPr>
          <w:color w:val="222222"/>
          <w:sz w:val="20"/>
          <w:szCs w:val="20"/>
        </w:rPr>
        <w:t xml:space="preserve">Currently links to User Approvals (login approval), not a dedicated credit/PO exception screen — confirm this is intended.</w:t>
      </w:r>
    </w:p>
    <w:p>
      <w:pPr>
        <w:pStyle w:val="ListParagraph"/>
        <w:numPr>
          <w:ilvl w:val="0"/>
          <w:numId w:val="2"/>
        </w:numPr>
        <w:spacing w:after="50"/>
      </w:pPr>
      <w:r>
        <w:rPr>
          <w:b/>
          <w:bCs/>
          <w:color w:val="222222"/>
          <w:sz w:val="20"/>
          <w:szCs w:val="20"/>
        </w:rPr>
        <w:t xml:space="preserve">Client Dashboard "Request special approval" — </w:t>
      </w:r>
      <w:r>
        <w:rPr>
          <w:color w:val="222222"/>
          <w:sz w:val="20"/>
          <w:szCs w:val="20"/>
        </w:rPr>
        <w:t xml:space="preserve">Links to Purchase Orders; the closest matching feature is the "Request Exception Rate" toggle when raising a PO.</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B5B"/>
        <w:sz w:val="16"/>
        <w:szCs w:val="16"/>
      </w:rPr>
      <w:t xml:space="preserve">Page </w:t>
    </w:r>
    <w:r>
      <w:rPr>
        <w:color w:val="5B5B5B"/>
        <w:sz w:val="16"/>
        <w:szCs w:val="16"/>
      </w:rPr>
      <w:fldChar w:fldCharType="begin"/>
      <w:instrText xml:space="preserve">PAGE</w:instrText>
      <w:fldChar w:fldCharType="separate"/>
      <w:fldChar w:fldCharType="end"/>
    </w:r>
    <w:r>
      <w:rPr>
        <w:color w:val="5B5B5B"/>
        <w:sz w:val="16"/>
        <w:szCs w:val="16"/>
      </w:rPr>
      <w:t xml:space="preserve"> of </w:t>
    </w:r>
    <w:r>
      <w:rPr>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3"/>
      </w:pBdr>
      <w:jc w:val="right"/>
    </w:pPr>
    <w:r>
      <w:rPr>
        <w:i/>
        <w:iCs/>
        <w:color w:val="5B5B5B"/>
        <w:sz w:val="14"/>
        <w:szCs w:val="14"/>
      </w:rPr>
      <w:t xml:space="preserve">Mundra Brothers — Non-Trade Control Platform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60" w:hanging="2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2026-07-23T06:27:52.148Z</dcterms:created>
  <dcterms:modified xsi:type="dcterms:W3CDTF">2026-07-23T06:27:52.166Z</dcterms:modified>
</cp:coreProperties>
</file>

<file path=docProps/custom.xml><?xml version="1.0" encoding="utf-8"?>
<Properties xmlns="http://schemas.openxmlformats.org/officeDocument/2006/custom-properties" xmlns:vt="http://schemas.openxmlformats.org/officeDocument/2006/docPropsVTypes"/>
</file>