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MUNDRA BROTHERS — NON-TRADE CONTROL PLATFORM</w:t>
      </w:r>
    </w:p>
    <w:p>
      <w:pPr>
        <w:spacing w:after="40"/>
        <w:jc w:val="center"/>
      </w:pPr>
      <w:r>
        <w:rPr>
          <w:b/>
          <w:bCs/>
          <w:color w:val="9C6B1F"/>
          <w:sz w:val="25"/>
          <w:szCs w:val="25"/>
        </w:rPr>
        <w:t xml:space="preserve">TECHNICAL ARCHITECTURE &amp; ENGINEERING REPORT</w:t>
      </w:r>
    </w:p>
    <w:p>
      <w:pPr>
        <w:spacing w:after="260"/>
        <w:jc w:val="center"/>
      </w:pPr>
      <w:r>
        <w:rPr>
          <w:i/>
          <w:iCs/>
          <w:color w:val="5B5B5B"/>
          <w:sz w:val="21"/>
          <w:szCs w:val="21"/>
        </w:rPr>
        <w:t xml:space="preserve">A complete technical walkthrough of the system — stack, architecture, data model, business logic, and the engineering decisions behind it — for interview preparation.</w:t>
      </w:r>
    </w:p>
    <w:p>
      <w:pPr>
        <w:pStyle w:val="Heading1"/>
        <w:pBdr>
          <w:bottom w:val="single" w:color="1F3864" w:sz="8" w:space="5"/>
        </w:pBdr>
        <w:spacing w:after="140" w:before="320"/>
      </w:pPr>
      <w:r>
        <w:rPr>
          <w:b/>
          <w:bCs/>
          <w:color w:val="1F3864"/>
          <w:sz w:val="30"/>
          <w:szCs w:val="30"/>
        </w:rPr>
        <w:t xml:space="preserve">1. Executive Summary</w:t>
      </w:r>
    </w:p>
    <w:p>
      <w:pPr>
        <w:spacing w:after="100"/>
      </w:pPr>
      <w:r>
        <w:rPr>
          <w:b w:val="false"/>
          <w:bCs w:val="false"/>
          <w:i w:val="false"/>
          <w:iCs w:val="false"/>
          <w:color w:val="222222"/>
          <w:sz w:val="21"/>
          <w:szCs w:val="21"/>
        </w:rPr>
        <w:t xml:space="preserve">The Non-Trade Control Platform is a full-stack web application that runs the operational and financial backbone of Mundra Brothers, a cement reselling business that sits between the manufacturer (UltraTech Cement, referred to throughout as UTCL) and roughly twenty client companies. It replaced a manual, spreadsheet- and Tally-based process with a single system of record for the entire order-to-cash cycle: raising a Purchase Order, requesting dispatch of material, automated credit control, recording payments in both directions of the supply chain, and generating the compliance letters the business is required to keep on file.</w:t>
      </w:r>
    </w:p>
    <w:p>
      <w:pPr>
        <w:spacing w:after="60" w:before="150"/>
      </w:pPr>
      <w:r>
        <w:rPr>
          <w:b/>
          <w:bCs/>
          <w:color w:val="9C6B1F"/>
          <w:sz w:val="21"/>
          <w:szCs w:val="21"/>
        </w:rPr>
        <w:t xml:space="preserve">The three-party money problem</w:t>
      </w:r>
    </w:p>
    <w:p>
      <w:pPr>
        <w:spacing w:after="100"/>
      </w:pPr>
      <w:r>
        <w:rPr>
          <w:b w:val="false"/>
          <w:bCs w:val="false"/>
          <w:i w:val="false"/>
          <w:iCs w:val="false"/>
          <w:color w:val="222222"/>
          <w:sz w:val="21"/>
          <w:szCs w:val="21"/>
        </w:rPr>
        <w:t xml:space="preserve">The core complexity of this system is not CRUD — it is that money moves in more than one direction between three parties, and the platform has to keep all of it reconciled: a client pays Mundra Brothers; Mundra Brothers (or, in some arrangements, the client directly) pays UTCL for the cement; and UTCL periodically owes Mundra Brothers a refund under a finance scheme. Each of those is a different table, a different boolean flag combination on the payments table, and a different "is this settled" calculation — and getting them confused is the single most common class of bug this project has produced.</w:t>
      </w:r>
    </w:p>
    <w:p>
      <w:pPr>
        <w:spacing w:after="60" w:before="150"/>
      </w:pPr>
      <w:r>
        <w:rPr>
          <w:b/>
          <w:bCs/>
          <w:color w:val="9C6B1F"/>
          <w:sz w:val="21"/>
          <w:szCs w:val="21"/>
        </w:rPr>
        <w:t xml:space="preserve">Scale, for orientation</w:t>
      </w:r>
    </w:p>
    <w:p>
      <w:pPr>
        <w:pStyle w:val="ListParagraph"/>
        <w:numPr>
          <w:ilvl w:val="0"/>
          <w:numId w:val="2"/>
        </w:numPr>
        <w:spacing w:after="55"/>
      </w:pPr>
      <w:r>
        <w:rPr>
          <w:color w:val="222222"/>
          <w:sz w:val="21"/>
          <w:szCs w:val="21"/>
        </w:rPr>
        <w:t xml:space="preserve">28 database tables, 43 SQL migrations, 6 custom Postgres functions/RPCs</w:t>
      </w:r>
    </w:p>
    <w:p>
      <w:pPr>
        <w:pStyle w:val="ListParagraph"/>
        <w:numPr>
          <w:ilvl w:val="0"/>
          <w:numId w:val="2"/>
        </w:numPr>
        <w:spacing w:after="55"/>
      </w:pPr>
      <w:r>
        <w:rPr>
          <w:color w:val="222222"/>
          <w:sz w:val="21"/>
          <w:szCs w:val="21"/>
        </w:rPr>
        <w:t xml:space="preserve">71 server-side API functions in a single domain-logic module (~5,150 lines)</w:t>
      </w:r>
    </w:p>
    <w:p>
      <w:pPr>
        <w:pStyle w:val="ListParagraph"/>
        <w:numPr>
          <w:ilvl w:val="0"/>
          <w:numId w:val="2"/>
        </w:numPr>
        <w:spacing w:after="55"/>
      </w:pPr>
      <w:r>
        <w:rPr>
          <w:color w:val="222222"/>
          <w:sz w:val="21"/>
          <w:szCs w:val="21"/>
        </w:rPr>
        <w:t xml:space="preserve">27 route files across two portals (Admin Console and Client Portal), sharing one codebase</w:t>
      </w:r>
    </w:p>
    <w:p>
      <w:pPr>
        <w:pStyle w:val="ListParagraph"/>
        <w:numPr>
          <w:ilvl w:val="0"/>
          <w:numId w:val="2"/>
        </w:numPr>
        <w:spacing w:after="55"/>
      </w:pPr>
      <w:r>
        <w:rPr>
          <w:color w:val="222222"/>
          <w:sz w:val="21"/>
          <w:szCs w:val="21"/>
        </w:rPr>
        <w:t xml:space="preserve">Deployed as Vercel serverless functions, backed by Supabase (managed Postgres + Auth)</w:t>
      </w:r>
    </w:p>
    <w:p>
      <w:pPr>
        <w:pStyle w:val="Heading1"/>
        <w:pBdr>
          <w:bottom w:val="single" w:color="1F3864" w:sz="8" w:space="5"/>
        </w:pBdr>
        <w:spacing w:after="140" w:before="320"/>
      </w:pPr>
      <w:r>
        <w:rPr>
          <w:b/>
          <w:bCs/>
          <w:color w:val="1F3864"/>
          <w:sz w:val="30"/>
          <w:szCs w:val="30"/>
        </w:rPr>
        <w:t xml:space="preserve">2. Tech Stack</w:t>
      </w:r>
    </w:p>
    <w:p>
      <w:pPr>
        <w:spacing w:after="100"/>
      </w:pPr>
      <w:r>
        <w:rPr>
          <w:b w:val="false"/>
          <w:bCs w:val="false"/>
          <w:i w:val="false"/>
          <w:iCs w:val="false"/>
          <w:color w:val="222222"/>
          <w:sz w:val="21"/>
          <w:szCs w:val="21"/>
        </w:rPr>
        <w:t xml:space="preserve">Everything is TypeScript, front to back — there is no separate backend service or REST API layer; the framework generates one for you.</w:t>
      </w:r>
    </w:p>
    <w:p>
      <w:pPr>
        <w:pStyle w:val="Heading2"/>
        <w:spacing w:after="90" w:before="220"/>
      </w:pPr>
      <w:r>
        <w:rPr>
          <w:b/>
          <w:bCs/>
          <w:color w:val="2E5395"/>
          <w:sz w:val="24"/>
          <w:szCs w:val="24"/>
        </w:rPr>
        <w:t xml:space="preserve">2.1  Frontend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shd w:fill="1F3864" w:color="auto" w:val="clear"/>
            <w:tcMar>
              <w:top w:type="dxa" w:w="60"/>
              <w:left w:type="dxa" w:w="90"/>
              <w:bottom w:type="dxa" w:w="60"/>
              <w:right w:type="dxa" w:w="90"/>
            </w:tcMar>
            <w:vAlign w:val="center"/>
          </w:tcPr>
          <w:p>
            <w:r>
              <w:rPr>
                <w:b/>
                <w:bCs/>
                <w:color w:val="FFFFFF"/>
                <w:sz w:val="18"/>
                <w:szCs w:val="18"/>
              </w:rPr>
              <w:t xml:space="preserve">Layer</w:t>
            </w:r>
          </w:p>
        </w:tc>
        <w:tc>
          <w:tcPr>
            <w:tcW w:type="dxa" w:w="3200"/>
            <w:shd w:fill="1F3864" w:color="auto" w:val="clear"/>
            <w:tcMar>
              <w:top w:type="dxa" w:w="60"/>
              <w:left w:type="dxa" w:w="90"/>
              <w:bottom w:type="dxa" w:w="60"/>
              <w:right w:type="dxa" w:w="90"/>
            </w:tcMar>
            <w:vAlign w:val="center"/>
          </w:tcPr>
          <w:p>
            <w:r>
              <w:rPr>
                <w:b/>
                <w:bCs/>
                <w:color w:val="FFFFFF"/>
                <w:sz w:val="18"/>
                <w:szCs w:val="18"/>
              </w:rPr>
              <w:t xml:space="preserve">Choice</w:t>
            </w:r>
          </w:p>
        </w:tc>
        <w:tc>
          <w:tcPr>
            <w:tcW w:type="dxa" w:w="3426"/>
            <w:shd w:fill="1F3864" w:color="auto" w:val="clear"/>
            <w:tcMar>
              <w:top w:type="dxa" w:w="60"/>
              <w:left w:type="dxa" w:w="90"/>
              <w:bottom w:type="dxa" w:w="60"/>
              <w:right w:type="dxa" w:w="90"/>
            </w:tcMar>
            <w:vAlign w:val="center"/>
          </w:tcPr>
          <w:p>
            <w:r>
              <w:rPr>
                <w:b/>
                <w:bCs/>
                <w:color w:val="FFFFFF"/>
                <w:sz w:val="18"/>
                <w:szCs w:val="18"/>
              </w:rPr>
              <w:t xml:space="preserve">Notes</w:t>
            </w:r>
          </w:p>
        </w:tc>
      </w:tr>
      <w:tr>
        <w:tc>
          <w:tcPr>
            <w:tcW w:type="dxa" w:w="2400"/>
            <w:shd w:fill="FFFFFF" w:color="auto" w:val="clear"/>
            <w:tcMar>
              <w:top w:type="dxa" w:w="50"/>
              <w:left w:type="dxa" w:w="90"/>
              <w:bottom w:type="dxa" w:w="50"/>
              <w:right w:type="dxa" w:w="90"/>
            </w:tcMar>
            <w:vAlign w:val="center"/>
          </w:tcPr>
          <w:p>
            <w:r>
              <w:rPr>
                <w:color w:val="222222"/>
                <w:sz w:val="18"/>
                <w:szCs w:val="18"/>
              </w:rPr>
              <w:t xml:space="preserve">UI library</w:t>
            </w:r>
          </w:p>
        </w:tc>
        <w:tc>
          <w:tcPr>
            <w:tcW w:type="dxa" w:w="3200"/>
            <w:shd w:fill="FFFFFF" w:color="auto" w:val="clear"/>
            <w:tcMar>
              <w:top w:type="dxa" w:w="50"/>
              <w:left w:type="dxa" w:w="90"/>
              <w:bottom w:type="dxa" w:w="50"/>
              <w:right w:type="dxa" w:w="90"/>
            </w:tcMar>
            <w:vAlign w:val="center"/>
          </w:tcPr>
          <w:p>
            <w:r>
              <w:rPr>
                <w:color w:val="222222"/>
                <w:sz w:val="18"/>
                <w:szCs w:val="18"/>
              </w:rPr>
              <w:t xml:space="preserve">React 19</w:t>
            </w:r>
          </w:p>
        </w:tc>
        <w:tc>
          <w:tcPr>
            <w:tcW w:type="dxa" w:w="3426"/>
            <w:shd w:fill="FFFFFF" w:color="auto" w:val="clear"/>
            <w:tcMar>
              <w:top w:type="dxa" w:w="50"/>
              <w:left w:type="dxa" w:w="90"/>
              <w:bottom w:type="dxa" w:w="50"/>
              <w:right w:type="dxa" w:w="90"/>
            </w:tcMar>
            <w:vAlign w:val="center"/>
          </w:tcPr>
          <w:p>
            <w:r>
              <w:rPr>
                <w:color w:val="222222"/>
                <w:sz w:val="18"/>
                <w:szCs w:val="18"/>
              </w:rPr>
              <w:t xml:space="preserve">Function components + hooks throughout</w:t>
            </w:r>
          </w:p>
        </w:tc>
      </w:tr>
      <w:tr>
        <w:tc>
          <w:tcPr>
            <w:tcW w:type="dxa" w:w="2400"/>
            <w:shd w:fill="F2F5FA" w:color="auto" w:val="clear"/>
            <w:tcMar>
              <w:top w:type="dxa" w:w="50"/>
              <w:left w:type="dxa" w:w="90"/>
              <w:bottom w:type="dxa" w:w="50"/>
              <w:right w:type="dxa" w:w="90"/>
            </w:tcMar>
            <w:vAlign w:val="center"/>
          </w:tcPr>
          <w:p>
            <w:r>
              <w:rPr>
                <w:color w:val="222222"/>
                <w:sz w:val="18"/>
                <w:szCs w:val="18"/>
              </w:rPr>
              <w:t xml:space="preserve">Routing</w:t>
            </w:r>
          </w:p>
        </w:tc>
        <w:tc>
          <w:tcPr>
            <w:tcW w:type="dxa" w:w="3200"/>
            <w:shd w:fill="F2F5FA" w:color="auto" w:val="clear"/>
            <w:tcMar>
              <w:top w:type="dxa" w:w="50"/>
              <w:left w:type="dxa" w:w="90"/>
              <w:bottom w:type="dxa" w:w="50"/>
              <w:right w:type="dxa" w:w="90"/>
            </w:tcMar>
            <w:vAlign w:val="center"/>
          </w:tcPr>
          <w:p>
            <w:r>
              <w:rPr>
                <w:color w:val="222222"/>
                <w:sz w:val="18"/>
                <w:szCs w:val="18"/>
              </w:rPr>
              <w:t xml:space="preserve">TanStack Router</w:t>
            </w:r>
          </w:p>
        </w:tc>
        <w:tc>
          <w:tcPr>
            <w:tcW w:type="dxa" w:w="3426"/>
            <w:shd w:fill="F2F5FA" w:color="auto" w:val="clear"/>
            <w:tcMar>
              <w:top w:type="dxa" w:w="50"/>
              <w:left w:type="dxa" w:w="90"/>
              <w:bottom w:type="dxa" w:w="50"/>
              <w:right w:type="dxa" w:w="90"/>
            </w:tcMar>
            <w:vAlign w:val="center"/>
          </w:tcPr>
          <w:p>
            <w:r>
              <w:rPr>
                <w:color w:val="222222"/>
                <w:sz w:val="18"/>
                <w:szCs w:val="18"/>
              </w:rPr>
              <w:t xml:space="preserve">File-based routes under src/routes, type-safe navigation</w:t>
            </w:r>
          </w:p>
        </w:tc>
      </w:tr>
      <w:tr>
        <w:tc>
          <w:tcPr>
            <w:tcW w:type="dxa" w:w="2400"/>
            <w:shd w:fill="FFFFFF" w:color="auto" w:val="clear"/>
            <w:tcMar>
              <w:top w:type="dxa" w:w="50"/>
              <w:left w:type="dxa" w:w="90"/>
              <w:bottom w:type="dxa" w:w="50"/>
              <w:right w:type="dxa" w:w="90"/>
            </w:tcMar>
            <w:vAlign w:val="center"/>
          </w:tcPr>
          <w:p>
            <w:r>
              <w:rPr>
                <w:color w:val="222222"/>
                <w:sz w:val="18"/>
                <w:szCs w:val="18"/>
              </w:rPr>
              <w:t xml:space="preserve">Server state</w:t>
            </w:r>
          </w:p>
        </w:tc>
        <w:tc>
          <w:tcPr>
            <w:tcW w:type="dxa" w:w="3200"/>
            <w:shd w:fill="FFFFFF" w:color="auto" w:val="clear"/>
            <w:tcMar>
              <w:top w:type="dxa" w:w="50"/>
              <w:left w:type="dxa" w:w="90"/>
              <w:bottom w:type="dxa" w:w="50"/>
              <w:right w:type="dxa" w:w="90"/>
            </w:tcMar>
            <w:vAlign w:val="center"/>
          </w:tcPr>
          <w:p>
            <w:r>
              <w:rPr>
                <w:color w:val="222222"/>
                <w:sz w:val="18"/>
                <w:szCs w:val="18"/>
              </w:rPr>
              <w:t xml:space="preserve">TanStack Query (react-query)</w:t>
            </w:r>
          </w:p>
        </w:tc>
        <w:tc>
          <w:tcPr>
            <w:tcW w:type="dxa" w:w="3426"/>
            <w:shd w:fill="FFFFFF" w:color="auto" w:val="clear"/>
            <w:tcMar>
              <w:top w:type="dxa" w:w="50"/>
              <w:left w:type="dxa" w:w="90"/>
              <w:bottom w:type="dxa" w:w="50"/>
              <w:right w:type="dxa" w:w="90"/>
            </w:tcMar>
            <w:vAlign w:val="center"/>
          </w:tcPr>
          <w:p>
            <w:r>
              <w:rPr>
                <w:color w:val="222222"/>
                <w:sz w:val="18"/>
                <w:szCs w:val="18"/>
              </w:rPr>
              <w:t xml:space="preserve">Every list/detail view is a useQuery; every write is a useMutation</w:t>
            </w:r>
          </w:p>
        </w:tc>
      </w:tr>
      <w:tr>
        <w:tc>
          <w:tcPr>
            <w:tcW w:type="dxa" w:w="2400"/>
            <w:shd w:fill="F2F5FA" w:color="auto" w:val="clear"/>
            <w:tcMar>
              <w:top w:type="dxa" w:w="50"/>
              <w:left w:type="dxa" w:w="90"/>
              <w:bottom w:type="dxa" w:w="50"/>
              <w:right w:type="dxa" w:w="90"/>
            </w:tcMar>
            <w:vAlign w:val="center"/>
          </w:tcPr>
          <w:p>
            <w:r>
              <w:rPr>
                <w:color w:val="222222"/>
                <w:sz w:val="18"/>
                <w:szCs w:val="18"/>
              </w:rPr>
              <w:t xml:space="preserve">Styling</w:t>
            </w:r>
          </w:p>
        </w:tc>
        <w:tc>
          <w:tcPr>
            <w:tcW w:type="dxa" w:w="3200"/>
            <w:shd w:fill="F2F5FA" w:color="auto" w:val="clear"/>
            <w:tcMar>
              <w:top w:type="dxa" w:w="50"/>
              <w:left w:type="dxa" w:w="90"/>
              <w:bottom w:type="dxa" w:w="50"/>
              <w:right w:type="dxa" w:w="90"/>
            </w:tcMar>
            <w:vAlign w:val="center"/>
          </w:tcPr>
          <w:p>
            <w:r>
              <w:rPr>
                <w:color w:val="222222"/>
                <w:sz w:val="18"/>
                <w:szCs w:val="18"/>
              </w:rPr>
              <w:t xml:space="preserve">Tailwind CSS v4</w:t>
            </w:r>
          </w:p>
        </w:tc>
        <w:tc>
          <w:tcPr>
            <w:tcW w:type="dxa" w:w="3426"/>
            <w:shd w:fill="F2F5FA" w:color="auto" w:val="clear"/>
            <w:tcMar>
              <w:top w:type="dxa" w:w="50"/>
              <w:left w:type="dxa" w:w="90"/>
              <w:bottom w:type="dxa" w:w="50"/>
              <w:right w:type="dxa" w:w="90"/>
            </w:tcMar>
            <w:vAlign w:val="center"/>
          </w:tcPr>
          <w:p>
            <w:r>
              <w:rPr>
                <w:color w:val="222222"/>
                <w:sz w:val="18"/>
                <w:szCs w:val="18"/>
              </w:rPr>
              <w:t xml:space="preserve">Utility-first, no separate CSS files per component</w:t>
            </w:r>
          </w:p>
        </w:tc>
      </w:tr>
      <w:tr>
        <w:tc>
          <w:tcPr>
            <w:tcW w:type="dxa" w:w="2400"/>
            <w:shd w:fill="FFFFFF" w:color="auto" w:val="clear"/>
            <w:tcMar>
              <w:top w:type="dxa" w:w="50"/>
              <w:left w:type="dxa" w:w="90"/>
              <w:bottom w:type="dxa" w:w="50"/>
              <w:right w:type="dxa" w:w="90"/>
            </w:tcMar>
            <w:vAlign w:val="center"/>
          </w:tcPr>
          <w:p>
            <w:r>
              <w:rPr>
                <w:color w:val="222222"/>
                <w:sz w:val="18"/>
                <w:szCs w:val="18"/>
              </w:rPr>
              <w:t xml:space="preserve">Component primitives</w:t>
            </w:r>
          </w:p>
        </w:tc>
        <w:tc>
          <w:tcPr>
            <w:tcW w:type="dxa" w:w="3200"/>
            <w:shd w:fill="FFFFFF" w:color="auto" w:val="clear"/>
            <w:tcMar>
              <w:top w:type="dxa" w:w="50"/>
              <w:left w:type="dxa" w:w="90"/>
              <w:bottom w:type="dxa" w:w="50"/>
              <w:right w:type="dxa" w:w="90"/>
            </w:tcMar>
            <w:vAlign w:val="center"/>
          </w:tcPr>
          <w:p>
            <w:r>
              <w:rPr>
                <w:color w:val="222222"/>
                <w:sz w:val="18"/>
                <w:szCs w:val="18"/>
              </w:rPr>
              <w:t xml:space="preserve">Radix UI + shadcn-style wrappers</w:t>
            </w:r>
          </w:p>
        </w:tc>
        <w:tc>
          <w:tcPr>
            <w:tcW w:type="dxa" w:w="3426"/>
            <w:shd w:fill="FFFFFF" w:color="auto" w:val="clear"/>
            <w:tcMar>
              <w:top w:type="dxa" w:w="50"/>
              <w:left w:type="dxa" w:w="90"/>
              <w:bottom w:type="dxa" w:w="50"/>
              <w:right w:type="dxa" w:w="90"/>
            </w:tcMar>
            <w:vAlign w:val="center"/>
          </w:tcPr>
          <w:p>
            <w:r>
              <w:rPr>
                <w:color w:val="222222"/>
                <w:sz w:val="18"/>
                <w:szCs w:val="18"/>
              </w:rPr>
              <w:t xml:space="preserve">Dialog, Select, Tabs, Checkbox etc. in src/components/ui</w:t>
            </w:r>
          </w:p>
        </w:tc>
      </w:tr>
      <w:tr>
        <w:tc>
          <w:tcPr>
            <w:tcW w:type="dxa" w:w="2400"/>
            <w:shd w:fill="F2F5FA" w:color="auto" w:val="clear"/>
            <w:tcMar>
              <w:top w:type="dxa" w:w="50"/>
              <w:left w:type="dxa" w:w="90"/>
              <w:bottom w:type="dxa" w:w="50"/>
              <w:right w:type="dxa" w:w="90"/>
            </w:tcMar>
            <w:vAlign w:val="center"/>
          </w:tcPr>
          <w:p>
            <w:r>
              <w:rPr>
                <w:color w:val="222222"/>
                <w:sz w:val="18"/>
                <w:szCs w:val="18"/>
              </w:rPr>
              <w:t xml:space="preserve">Forms</w:t>
            </w:r>
          </w:p>
        </w:tc>
        <w:tc>
          <w:tcPr>
            <w:tcW w:type="dxa" w:w="3200"/>
            <w:shd w:fill="F2F5FA" w:color="auto" w:val="clear"/>
            <w:tcMar>
              <w:top w:type="dxa" w:w="50"/>
              <w:left w:type="dxa" w:w="90"/>
              <w:bottom w:type="dxa" w:w="50"/>
              <w:right w:type="dxa" w:w="90"/>
            </w:tcMar>
            <w:vAlign w:val="center"/>
          </w:tcPr>
          <w:p>
            <w:r>
              <w:rPr>
                <w:color w:val="222222"/>
                <w:sz w:val="18"/>
                <w:szCs w:val="18"/>
              </w:rPr>
              <w:t xml:space="preserve">react-hook-form + Zod</w:t>
            </w:r>
          </w:p>
        </w:tc>
        <w:tc>
          <w:tcPr>
            <w:tcW w:type="dxa" w:w="3426"/>
            <w:shd w:fill="F2F5FA" w:color="auto" w:val="clear"/>
            <w:tcMar>
              <w:top w:type="dxa" w:w="50"/>
              <w:left w:type="dxa" w:w="90"/>
              <w:bottom w:type="dxa" w:w="50"/>
              <w:right w:type="dxa" w:w="90"/>
            </w:tcMar>
            <w:vAlign w:val="center"/>
          </w:tcPr>
          <w:p>
            <w:r>
              <w:rPr>
                <w:color w:val="222222"/>
                <w:sz w:val="18"/>
                <w:szCs w:val="18"/>
              </w:rPr>
              <w:t xml:space="preserve">Zod schemas double as the source of truth for both client and server validation</w:t>
            </w:r>
          </w:p>
        </w:tc>
      </w:tr>
      <w:tr>
        <w:tc>
          <w:tcPr>
            <w:tcW w:type="dxa" w:w="2400"/>
            <w:shd w:fill="FFFFFF" w:color="auto" w:val="clear"/>
            <w:tcMar>
              <w:top w:type="dxa" w:w="50"/>
              <w:left w:type="dxa" w:w="90"/>
              <w:bottom w:type="dxa" w:w="50"/>
              <w:right w:type="dxa" w:w="90"/>
            </w:tcMar>
            <w:vAlign w:val="center"/>
          </w:tcPr>
          <w:p>
            <w:r>
              <w:rPr>
                <w:color w:val="222222"/>
                <w:sz w:val="18"/>
                <w:szCs w:val="18"/>
              </w:rPr>
              <w:t xml:space="preserve">Icons</w:t>
            </w:r>
          </w:p>
        </w:tc>
        <w:tc>
          <w:tcPr>
            <w:tcW w:type="dxa" w:w="3200"/>
            <w:shd w:fill="FFFFFF" w:color="auto" w:val="clear"/>
            <w:tcMar>
              <w:top w:type="dxa" w:w="50"/>
              <w:left w:type="dxa" w:w="90"/>
              <w:bottom w:type="dxa" w:w="50"/>
              <w:right w:type="dxa" w:w="90"/>
            </w:tcMar>
            <w:vAlign w:val="center"/>
          </w:tcPr>
          <w:p>
            <w:r>
              <w:rPr>
                <w:color w:val="222222"/>
                <w:sz w:val="18"/>
                <w:szCs w:val="18"/>
              </w:rPr>
              <w:t xml:space="preserve">lucide-react</w:t>
            </w:r>
          </w:p>
        </w:tc>
        <w:tc>
          <w:tcPr>
            <w:tcW w:type="dxa" w:w="3426"/>
            <w:shd w:fill="FFFFFF" w:color="auto" w:val="clear"/>
            <w:tcMar>
              <w:top w:type="dxa" w:w="50"/>
              <w:left w:type="dxa" w:w="90"/>
              <w:bottom w:type="dxa" w:w="50"/>
              <w:right w:type="dxa" w:w="90"/>
            </w:tcMar>
            <w:vAlign w:val="center"/>
          </w:tcPr>
          <w:p>
            <w:r>
              <w:rPr>
                <w:color w:val="222222"/>
                <w:sz w:val="18"/>
                <w:szCs w:val="18"/>
              </w:rPr>
              <w:t xml:space="preserve">—</w:t>
            </w:r>
          </w:p>
        </w:tc>
      </w:tr>
      <w:tr>
        <w:tc>
          <w:tcPr>
            <w:tcW w:type="dxa" w:w="2400"/>
            <w:shd w:fill="F2F5FA" w:color="auto" w:val="clear"/>
            <w:tcMar>
              <w:top w:type="dxa" w:w="50"/>
              <w:left w:type="dxa" w:w="90"/>
              <w:bottom w:type="dxa" w:w="50"/>
              <w:right w:type="dxa" w:w="90"/>
            </w:tcMar>
            <w:vAlign w:val="center"/>
          </w:tcPr>
          <w:p>
            <w:r>
              <w:rPr>
                <w:color w:val="222222"/>
                <w:sz w:val="18"/>
                <w:szCs w:val="18"/>
              </w:rPr>
              <w:t xml:space="preserve">Notifications</w:t>
            </w:r>
          </w:p>
        </w:tc>
        <w:tc>
          <w:tcPr>
            <w:tcW w:type="dxa" w:w="3200"/>
            <w:shd w:fill="F2F5FA" w:color="auto" w:val="clear"/>
            <w:tcMar>
              <w:top w:type="dxa" w:w="50"/>
              <w:left w:type="dxa" w:w="90"/>
              <w:bottom w:type="dxa" w:w="50"/>
              <w:right w:type="dxa" w:w="90"/>
            </w:tcMar>
            <w:vAlign w:val="center"/>
          </w:tcPr>
          <w:p>
            <w:r>
              <w:rPr>
                <w:color w:val="222222"/>
                <w:sz w:val="18"/>
                <w:szCs w:val="18"/>
              </w:rPr>
              <w:t xml:space="preserve">sonner</w:t>
            </w:r>
          </w:p>
        </w:tc>
        <w:tc>
          <w:tcPr>
            <w:tcW w:type="dxa" w:w="3426"/>
            <w:shd w:fill="F2F5FA" w:color="auto" w:val="clear"/>
            <w:tcMar>
              <w:top w:type="dxa" w:w="50"/>
              <w:left w:type="dxa" w:w="90"/>
              <w:bottom w:type="dxa" w:w="50"/>
              <w:right w:type="dxa" w:w="90"/>
            </w:tcMar>
            <w:vAlign w:val="center"/>
          </w:tcPr>
          <w:p>
            <w:r>
              <w:rPr>
                <w:color w:val="222222"/>
                <w:sz w:val="18"/>
                <w:szCs w:val="18"/>
              </w:rPr>
              <w:t xml:space="preserve">Toast messages on mutation success/error</w:t>
            </w:r>
          </w:p>
        </w:tc>
      </w:tr>
    </w:tbl>
    <w:p>
      <w:pPr>
        <w:pStyle w:val="Heading2"/>
        <w:spacing w:after="90" w:before="220"/>
      </w:pPr>
      <w:r>
        <w:rPr>
          <w:b/>
          <w:bCs/>
          <w:color w:val="2E5395"/>
          <w:sz w:val="24"/>
          <w:szCs w:val="24"/>
        </w:rPr>
        <w:t xml:space="preserve">2.2  Full-stack framework: TanStack Start</w:t>
      </w:r>
    </w:p>
    <w:p>
      <w:pPr>
        <w:spacing w:after="100"/>
      </w:pPr>
      <w:r>
        <w:rPr>
          <w:b w:val="false"/>
          <w:bCs w:val="false"/>
          <w:i w:val="false"/>
          <w:iCs w:val="false"/>
          <w:color w:val="222222"/>
          <w:sz w:val="21"/>
          <w:szCs w:val="21"/>
        </w:rPr>
        <w:t xml:space="preserve">This is the architectural decision that shapes everything else. TanStack Start is a full-stack React framework: the same file can define a page component and a server-only function, and the framework handles the network call between them automatically. A function wrapped in createServerFn() never ships to the browser — Vite code-splits it out, and calling it from a component becomes a POST/GET to an internal /_serverFn/&lt;hash&gt; endpoint that the framework generates and wires up for you. Server-side rendering (SSR) is the default rendering mode.</w:t>
      </w:r>
    </w:p>
    <w:p>
      <w:pPr>
        <w:pBdr>
          <w:top w:val="single" w:color="2C5AA0" w:sz="4" w:space="4"/>
          <w:bottom w:val="single" w:color="2C5AA0" w:sz="4" w:space="4"/>
          <w:left w:val="single" w:color="2C5AA0" w:sz="22" w:space="10"/>
          <w:right w:val="single" w:color="2C5AA0" w:sz="4" w:space="4"/>
        </w:pBdr>
        <w:shd w:fill="E8F0FE" w:color="auto" w:val="clear"/>
        <w:spacing w:after="140" w:before="100"/>
      </w:pPr>
      <w:r>
        <w:rPr>
          <w:b/>
          <w:bCs/>
          <w:color w:val="222222"/>
          <w:sz w:val="21"/>
          <w:szCs w:val="21"/>
        </w:rPr>
        <w:t xml:space="preserve">ℹ Why this matters in interviews</w:t>
      </w:r>
      <w:r>
        <w:rPr>
          <w:color w:val="222222"/>
          <w:sz w:val="21"/>
          <w:szCs w:val="21"/>
        </w:rPr>
        <w:br/>
        <w:t xml:space="preserve">There is no hand-written REST or GraphQL API here. Every "endpoint" is just an exported async function with .middleware([requireAuth]) and a Zod .validator() attached — the framework does the routing, serialization, and (for GET-style reads) caching integration with TanStack Query.</w:t>
      </w:r>
    </w:p>
    <w:p>
      <w:pPr>
        <w:pStyle w:val="Heading2"/>
        <w:spacing w:after="90" w:before="220"/>
      </w:pPr>
      <w:r>
        <w:rPr>
          <w:b/>
          <w:bCs/>
          <w:color w:val="2E5395"/>
          <w:sz w:val="24"/>
          <w:szCs w:val="24"/>
        </w:rPr>
        <w:t xml:space="preserve">2.3  Build, server runtime, and hosting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shd w:fill="1F3864" w:color="auto" w:val="clear"/>
            <w:tcMar>
              <w:top w:type="dxa" w:w="60"/>
              <w:left w:type="dxa" w:w="90"/>
              <w:bottom w:type="dxa" w:w="60"/>
              <w:right w:type="dxa" w:w="90"/>
            </w:tcMar>
            <w:vAlign w:val="center"/>
          </w:tcPr>
          <w:p>
            <w:r>
              <w:rPr>
                <w:b/>
                <w:bCs/>
                <w:color w:val="FFFFFF"/>
                <w:sz w:val="18"/>
                <w:szCs w:val="18"/>
              </w:rPr>
              <w:t xml:space="preserve">Layer</w:t>
            </w:r>
          </w:p>
        </w:tc>
        <w:tc>
          <w:tcPr>
            <w:tcW w:type="dxa" w:w="3200"/>
            <w:shd w:fill="1F3864" w:color="auto" w:val="clear"/>
            <w:tcMar>
              <w:top w:type="dxa" w:w="60"/>
              <w:left w:type="dxa" w:w="90"/>
              <w:bottom w:type="dxa" w:w="60"/>
              <w:right w:type="dxa" w:w="90"/>
            </w:tcMar>
            <w:vAlign w:val="center"/>
          </w:tcPr>
          <w:p>
            <w:r>
              <w:rPr>
                <w:b/>
                <w:bCs/>
                <w:color w:val="FFFFFF"/>
                <w:sz w:val="18"/>
                <w:szCs w:val="18"/>
              </w:rPr>
              <w:t xml:space="preserve">Choice</w:t>
            </w:r>
          </w:p>
        </w:tc>
        <w:tc>
          <w:tcPr>
            <w:tcW w:type="dxa" w:w="3626"/>
            <w:shd w:fill="1F3864" w:color="auto" w:val="clear"/>
            <w:tcMar>
              <w:top w:type="dxa" w:w="60"/>
              <w:left w:type="dxa" w:w="90"/>
              <w:bottom w:type="dxa" w:w="60"/>
              <w:right w:type="dxa" w:w="90"/>
            </w:tcMar>
            <w:vAlign w:val="center"/>
          </w:tcPr>
          <w:p>
            <w:r>
              <w:rPr>
                <w:b/>
                <w:bCs/>
                <w:color w:val="FFFFFF"/>
                <w:sz w:val="18"/>
                <w:szCs w:val="18"/>
              </w:rPr>
              <w:t xml:space="preserve">Notes</w:t>
            </w:r>
          </w:p>
        </w:tc>
      </w:tr>
      <w:tr>
        <w:tc>
          <w:tcPr>
            <w:tcW w:type="dxa" w:w="2200"/>
            <w:shd w:fill="FFFFFF" w:color="auto" w:val="clear"/>
            <w:tcMar>
              <w:top w:type="dxa" w:w="50"/>
              <w:left w:type="dxa" w:w="90"/>
              <w:bottom w:type="dxa" w:w="50"/>
              <w:right w:type="dxa" w:w="90"/>
            </w:tcMar>
            <w:vAlign w:val="center"/>
          </w:tcPr>
          <w:p>
            <w:r>
              <w:rPr>
                <w:color w:val="222222"/>
                <w:sz w:val="18"/>
                <w:szCs w:val="18"/>
              </w:rPr>
              <w:t xml:space="preserve">Build tool</w:t>
            </w:r>
          </w:p>
        </w:tc>
        <w:tc>
          <w:tcPr>
            <w:tcW w:type="dxa" w:w="3200"/>
            <w:shd w:fill="FFFFFF" w:color="auto" w:val="clear"/>
            <w:tcMar>
              <w:top w:type="dxa" w:w="50"/>
              <w:left w:type="dxa" w:w="90"/>
              <w:bottom w:type="dxa" w:w="50"/>
              <w:right w:type="dxa" w:w="90"/>
            </w:tcMar>
            <w:vAlign w:val="center"/>
          </w:tcPr>
          <w:p>
            <w:r>
              <w:rPr>
                <w:color w:val="222222"/>
                <w:sz w:val="18"/>
                <w:szCs w:val="18"/>
              </w:rPr>
              <w:t xml:space="preserve">Vite 7</w:t>
            </w:r>
          </w:p>
        </w:tc>
        <w:tc>
          <w:tcPr>
            <w:tcW w:type="dxa" w:w="3626"/>
            <w:shd w:fill="FFFFFF" w:color="auto" w:val="clear"/>
            <w:tcMar>
              <w:top w:type="dxa" w:w="50"/>
              <w:left w:type="dxa" w:w="90"/>
              <w:bottom w:type="dxa" w:w="50"/>
              <w:right w:type="dxa" w:w="90"/>
            </w:tcMar>
            <w:vAlign w:val="center"/>
          </w:tcPr>
          <w:p>
            <w:r>
              <w:rPr>
                <w:color w:val="222222"/>
                <w:sz w:val="18"/>
                <w:szCs w:val="18"/>
              </w:rPr>
              <w:t xml:space="preserve">Dev server + production bundler</w:t>
            </w:r>
          </w:p>
        </w:tc>
      </w:tr>
      <w:tr>
        <w:tc>
          <w:tcPr>
            <w:tcW w:type="dxa" w:w="2200"/>
            <w:shd w:fill="F2F5FA" w:color="auto" w:val="clear"/>
            <w:tcMar>
              <w:top w:type="dxa" w:w="50"/>
              <w:left w:type="dxa" w:w="90"/>
              <w:bottom w:type="dxa" w:w="50"/>
              <w:right w:type="dxa" w:w="90"/>
            </w:tcMar>
            <w:vAlign w:val="center"/>
          </w:tcPr>
          <w:p>
            <w:r>
              <w:rPr>
                <w:color w:val="222222"/>
                <w:sz w:val="18"/>
                <w:szCs w:val="18"/>
              </w:rPr>
              <w:t xml:space="preserve">Server engine</w:t>
            </w:r>
          </w:p>
        </w:tc>
        <w:tc>
          <w:tcPr>
            <w:tcW w:type="dxa" w:w="3200"/>
            <w:shd w:fill="F2F5FA" w:color="auto" w:val="clear"/>
            <w:tcMar>
              <w:top w:type="dxa" w:w="50"/>
              <w:left w:type="dxa" w:w="90"/>
              <w:bottom w:type="dxa" w:w="50"/>
              <w:right w:type="dxa" w:w="90"/>
            </w:tcMar>
            <w:vAlign w:val="center"/>
          </w:tcPr>
          <w:p>
            <w:r>
              <w:rPr>
                <w:color w:val="222222"/>
                <w:sz w:val="18"/>
                <w:szCs w:val="18"/>
              </w:rPr>
              <w:t xml:space="preserve">Nitro (3.x, beta)</w:t>
            </w:r>
          </w:p>
        </w:tc>
        <w:tc>
          <w:tcPr>
            <w:tcW w:type="dxa" w:w="3626"/>
            <w:shd w:fill="F2F5FA" w:color="auto" w:val="clear"/>
            <w:tcMar>
              <w:top w:type="dxa" w:w="50"/>
              <w:left w:type="dxa" w:w="90"/>
              <w:bottom w:type="dxa" w:w="50"/>
              <w:right w:type="dxa" w:w="90"/>
            </w:tcMar>
            <w:vAlign w:val="center"/>
          </w:tcPr>
          <w:p>
            <w:r>
              <w:rPr>
                <w:color w:val="222222"/>
                <w:sz w:val="18"/>
                <w:szCs w:val="18"/>
              </w:rPr>
              <w:t xml:space="preserve">Universal server runtime — same code targets Node, Cloudflare, or Vercel via a preset</w:t>
            </w:r>
          </w:p>
        </w:tc>
      </w:tr>
      <w:tr>
        <w:tc>
          <w:tcPr>
            <w:tcW w:type="dxa" w:w="2200"/>
            <w:shd w:fill="FFFFFF" w:color="auto" w:val="clear"/>
            <w:tcMar>
              <w:top w:type="dxa" w:w="50"/>
              <w:left w:type="dxa" w:w="90"/>
              <w:bottom w:type="dxa" w:w="50"/>
              <w:right w:type="dxa" w:w="90"/>
            </w:tcMar>
            <w:vAlign w:val="center"/>
          </w:tcPr>
          <w:p>
            <w:r>
              <w:rPr>
                <w:color w:val="222222"/>
                <w:sz w:val="18"/>
                <w:szCs w:val="18"/>
              </w:rPr>
              <w:t xml:space="preserve">Deploy preset</w:t>
            </w:r>
          </w:p>
        </w:tc>
        <w:tc>
          <w:tcPr>
            <w:tcW w:type="dxa" w:w="3200"/>
            <w:shd w:fill="FFFFFF" w:color="auto" w:val="clear"/>
            <w:tcMar>
              <w:top w:type="dxa" w:w="50"/>
              <w:left w:type="dxa" w:w="90"/>
              <w:bottom w:type="dxa" w:w="50"/>
              <w:right w:type="dxa" w:w="90"/>
            </w:tcMar>
            <w:vAlign w:val="center"/>
          </w:tcPr>
          <w:p>
            <w:r>
              <w:rPr>
                <w:color w:val="222222"/>
                <w:sz w:val="18"/>
                <w:szCs w:val="18"/>
              </w:rPr>
              <w:t xml:space="preserve">nitro preset: "vercel"</w:t>
            </w:r>
          </w:p>
        </w:tc>
        <w:tc>
          <w:tcPr>
            <w:tcW w:type="dxa" w:w="3626"/>
            <w:shd w:fill="FFFFFF" w:color="auto" w:val="clear"/>
            <w:tcMar>
              <w:top w:type="dxa" w:w="50"/>
              <w:left w:type="dxa" w:w="90"/>
              <w:bottom w:type="dxa" w:w="50"/>
              <w:right w:type="dxa" w:w="90"/>
            </w:tcMar>
            <w:vAlign w:val="center"/>
          </w:tcPr>
          <w:p>
            <w:r>
              <w:rPr>
                <w:color w:val="222222"/>
                <w:sz w:val="18"/>
                <w:szCs w:val="18"/>
              </w:rPr>
              <w:t xml:space="preserve">Set in vite.config.ts; emits .vercel/output in Vercel's native serverless format</w:t>
            </w:r>
          </w:p>
        </w:tc>
      </w:tr>
      <w:tr>
        <w:tc>
          <w:tcPr>
            <w:tcW w:type="dxa" w:w="2200"/>
            <w:shd w:fill="F2F5FA" w:color="auto" w:val="clear"/>
            <w:tcMar>
              <w:top w:type="dxa" w:w="50"/>
              <w:left w:type="dxa" w:w="90"/>
              <w:bottom w:type="dxa" w:w="50"/>
              <w:right w:type="dxa" w:w="90"/>
            </w:tcMar>
            <w:vAlign w:val="center"/>
          </w:tcPr>
          <w:p>
            <w:r>
              <w:rPr>
                <w:color w:val="222222"/>
                <w:sz w:val="18"/>
                <w:szCs w:val="18"/>
              </w:rPr>
              <w:t xml:space="preserve">Hosting</w:t>
            </w:r>
          </w:p>
        </w:tc>
        <w:tc>
          <w:tcPr>
            <w:tcW w:type="dxa" w:w="3200"/>
            <w:shd w:fill="F2F5FA" w:color="auto" w:val="clear"/>
            <w:tcMar>
              <w:top w:type="dxa" w:w="50"/>
              <w:left w:type="dxa" w:w="90"/>
              <w:bottom w:type="dxa" w:w="50"/>
              <w:right w:type="dxa" w:w="90"/>
            </w:tcMar>
            <w:vAlign w:val="center"/>
          </w:tcPr>
          <w:p>
            <w:r>
              <w:rPr>
                <w:color w:val="222222"/>
                <w:sz w:val="18"/>
                <w:szCs w:val="18"/>
              </w:rPr>
              <w:t xml:space="preserve">Vercel (serverless functions)</w:t>
            </w:r>
          </w:p>
        </w:tc>
        <w:tc>
          <w:tcPr>
            <w:tcW w:type="dxa" w:w="3626"/>
            <w:shd w:fill="F2F5FA" w:color="auto" w:val="clear"/>
            <w:tcMar>
              <w:top w:type="dxa" w:w="50"/>
              <w:left w:type="dxa" w:w="90"/>
              <w:bottom w:type="dxa" w:w="50"/>
              <w:right w:type="dxa" w:w="90"/>
            </w:tcMar>
            <w:vAlign w:val="center"/>
          </w:tcPr>
          <w:p>
            <w:r>
              <w:rPr>
                <w:color w:val="222222"/>
                <w:sz w:val="18"/>
                <w:szCs w:val="18"/>
              </w:rPr>
              <w:t xml:space="preserve">Node.js 24.x runtime, 30s max function duration</w:t>
            </w:r>
          </w:p>
        </w:tc>
      </w:tr>
      <w:tr>
        <w:tc>
          <w:tcPr>
            <w:tcW w:type="dxa" w:w="2200"/>
            <w:shd w:fill="FFFFFF" w:color="auto" w:val="clear"/>
            <w:tcMar>
              <w:top w:type="dxa" w:w="50"/>
              <w:left w:type="dxa" w:w="90"/>
              <w:bottom w:type="dxa" w:w="50"/>
              <w:right w:type="dxa" w:w="90"/>
            </w:tcMar>
            <w:vAlign w:val="center"/>
          </w:tcPr>
          <w:p>
            <w:r>
              <w:rPr>
                <w:color w:val="222222"/>
                <w:sz w:val="18"/>
                <w:szCs w:val="18"/>
              </w:rPr>
              <w:t xml:space="preserve">Scaffolding layer</w:t>
            </w:r>
          </w:p>
        </w:tc>
        <w:tc>
          <w:tcPr>
            <w:tcW w:type="dxa" w:w="3200"/>
            <w:shd w:fill="FFFFFF" w:color="auto" w:val="clear"/>
            <w:tcMar>
              <w:top w:type="dxa" w:w="50"/>
              <w:left w:type="dxa" w:w="90"/>
              <w:bottom w:type="dxa" w:w="50"/>
              <w:right w:type="dxa" w:w="90"/>
            </w:tcMar>
            <w:vAlign w:val="center"/>
          </w:tcPr>
          <w:p>
            <w:r>
              <w:rPr>
                <w:color w:val="222222"/>
                <w:sz w:val="18"/>
                <w:szCs w:val="18"/>
              </w:rPr>
              <w:t xml:space="preserve">@lovable.dev/vite-tanstack-config</w:t>
            </w:r>
          </w:p>
        </w:tc>
        <w:tc>
          <w:tcPr>
            <w:tcW w:type="dxa" w:w="3626"/>
            <w:shd w:fill="FFFFFF" w:color="auto" w:val="clear"/>
            <w:tcMar>
              <w:top w:type="dxa" w:w="50"/>
              <w:left w:type="dxa" w:w="90"/>
              <w:bottom w:type="dxa" w:w="50"/>
              <w:right w:type="dxa" w:w="90"/>
            </w:tcMar>
            <w:vAlign w:val="center"/>
          </w:tcPr>
          <w:p>
            <w:r>
              <w:rPr>
                <w:color w:val="222222"/>
                <w:sz w:val="18"/>
                <w:szCs w:val="18"/>
              </w:rPr>
              <w:t xml:space="preserve">Wraps Vite/TanStack/Nitro/Tailwind plugin wiring — see §12.1 for a real bug this caused</w:t>
            </w:r>
          </w:p>
        </w:tc>
      </w:tr>
    </w:tbl>
    <w:p>
      <w:pPr>
        <w:pStyle w:val="Heading2"/>
        <w:spacing w:after="90" w:before="220"/>
      </w:pPr>
      <w:r>
        <w:rPr>
          <w:b/>
          <w:bCs/>
          <w:color w:val="2E5395"/>
          <w:sz w:val="24"/>
          <w:szCs w:val="24"/>
        </w:rPr>
        <w:t xml:space="preserve">2.4  Backend &amp;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shd w:fill="1F3864" w:color="auto" w:val="clear"/>
            <w:tcMar>
              <w:top w:type="dxa" w:w="60"/>
              <w:left w:type="dxa" w:w="90"/>
              <w:bottom w:type="dxa" w:w="60"/>
              <w:right w:type="dxa" w:w="90"/>
            </w:tcMar>
            <w:vAlign w:val="center"/>
          </w:tcPr>
          <w:p>
            <w:r>
              <w:rPr>
                <w:b/>
                <w:bCs/>
                <w:color w:val="FFFFFF"/>
                <w:sz w:val="18"/>
                <w:szCs w:val="18"/>
              </w:rPr>
              <w:t xml:space="preserve">Layer</w:t>
            </w:r>
          </w:p>
        </w:tc>
        <w:tc>
          <w:tcPr>
            <w:tcW w:type="dxa" w:w="3200"/>
            <w:shd w:fill="1F3864" w:color="auto" w:val="clear"/>
            <w:tcMar>
              <w:top w:type="dxa" w:w="60"/>
              <w:left w:type="dxa" w:w="90"/>
              <w:bottom w:type="dxa" w:w="60"/>
              <w:right w:type="dxa" w:w="90"/>
            </w:tcMar>
            <w:vAlign w:val="center"/>
          </w:tcPr>
          <w:p>
            <w:r>
              <w:rPr>
                <w:b/>
                <w:bCs/>
                <w:color w:val="FFFFFF"/>
                <w:sz w:val="18"/>
                <w:szCs w:val="18"/>
              </w:rPr>
              <w:t xml:space="preserve">Choice</w:t>
            </w:r>
          </w:p>
        </w:tc>
        <w:tc>
          <w:tcPr>
            <w:tcW w:type="dxa" w:w="3626"/>
            <w:shd w:fill="1F3864" w:color="auto" w:val="clear"/>
            <w:tcMar>
              <w:top w:type="dxa" w:w="60"/>
              <w:left w:type="dxa" w:w="90"/>
              <w:bottom w:type="dxa" w:w="60"/>
              <w:right w:type="dxa" w:w="90"/>
            </w:tcMar>
            <w:vAlign w:val="center"/>
          </w:tcPr>
          <w:p>
            <w:r>
              <w:rPr>
                <w:b/>
                <w:bCs/>
                <w:color w:val="FFFFFF"/>
                <w:sz w:val="18"/>
                <w:szCs w:val="18"/>
              </w:rPr>
              <w:t xml:space="preserve">Notes</w:t>
            </w:r>
          </w:p>
        </w:tc>
      </w:tr>
      <w:tr>
        <w:tc>
          <w:tcPr>
            <w:tcW w:type="dxa" w:w="2200"/>
            <w:shd w:fill="FFFFFF" w:color="auto" w:val="clear"/>
            <w:tcMar>
              <w:top w:type="dxa" w:w="50"/>
              <w:left w:type="dxa" w:w="90"/>
              <w:bottom w:type="dxa" w:w="50"/>
              <w:right w:type="dxa" w:w="90"/>
            </w:tcMar>
            <w:vAlign w:val="center"/>
          </w:tcPr>
          <w:p>
            <w:r>
              <w:rPr>
                <w:color w:val="222222"/>
                <w:sz w:val="18"/>
                <w:szCs w:val="18"/>
              </w:rPr>
              <w:t xml:space="preserve">Database</w:t>
            </w:r>
          </w:p>
        </w:tc>
        <w:tc>
          <w:tcPr>
            <w:tcW w:type="dxa" w:w="3200"/>
            <w:shd w:fill="FFFFFF" w:color="auto" w:val="clear"/>
            <w:tcMar>
              <w:top w:type="dxa" w:w="50"/>
              <w:left w:type="dxa" w:w="90"/>
              <w:bottom w:type="dxa" w:w="50"/>
              <w:right w:type="dxa" w:w="90"/>
            </w:tcMar>
            <w:vAlign w:val="center"/>
          </w:tcPr>
          <w:p>
            <w:r>
              <w:rPr>
                <w:color w:val="222222"/>
                <w:sz w:val="18"/>
                <w:szCs w:val="18"/>
              </w:rPr>
              <w:t xml:space="preserve">PostgreSQL, via Supabase</w:t>
            </w:r>
          </w:p>
        </w:tc>
        <w:tc>
          <w:tcPr>
            <w:tcW w:type="dxa" w:w="3626"/>
            <w:shd w:fill="FFFFFF" w:color="auto" w:val="clear"/>
            <w:tcMar>
              <w:top w:type="dxa" w:w="50"/>
              <w:left w:type="dxa" w:w="90"/>
              <w:bottom w:type="dxa" w:w="50"/>
              <w:right w:type="dxa" w:w="90"/>
            </w:tcMar>
            <w:vAlign w:val="center"/>
          </w:tcPr>
          <w:p>
            <w:r>
              <w:rPr>
                <w:color w:val="222222"/>
                <w:sz w:val="18"/>
                <w:szCs w:val="18"/>
              </w:rPr>
              <w:t xml:space="preserve">Managed Postgres with generated REST/RPC access</w:t>
            </w:r>
          </w:p>
        </w:tc>
      </w:tr>
      <w:tr>
        <w:tc>
          <w:tcPr>
            <w:tcW w:type="dxa" w:w="2200"/>
            <w:shd w:fill="F2F5FA" w:color="auto" w:val="clear"/>
            <w:tcMar>
              <w:top w:type="dxa" w:w="50"/>
              <w:left w:type="dxa" w:w="90"/>
              <w:bottom w:type="dxa" w:w="50"/>
              <w:right w:type="dxa" w:w="90"/>
            </w:tcMar>
            <w:vAlign w:val="center"/>
          </w:tcPr>
          <w:p>
            <w:r>
              <w:rPr>
                <w:color w:val="222222"/>
                <w:sz w:val="18"/>
                <w:szCs w:val="18"/>
              </w:rPr>
              <w:t xml:space="preserve">Auth</w:t>
            </w:r>
          </w:p>
        </w:tc>
        <w:tc>
          <w:tcPr>
            <w:tcW w:type="dxa" w:w="3200"/>
            <w:shd w:fill="F2F5FA" w:color="auto" w:val="clear"/>
            <w:tcMar>
              <w:top w:type="dxa" w:w="50"/>
              <w:left w:type="dxa" w:w="90"/>
              <w:bottom w:type="dxa" w:w="50"/>
              <w:right w:type="dxa" w:w="90"/>
            </w:tcMar>
            <w:vAlign w:val="center"/>
          </w:tcPr>
          <w:p>
            <w:r>
              <w:rPr>
                <w:color w:val="222222"/>
                <w:sz w:val="18"/>
                <w:szCs w:val="18"/>
              </w:rPr>
              <w:t xml:space="preserve">Supabase Auth</w:t>
            </w:r>
          </w:p>
        </w:tc>
        <w:tc>
          <w:tcPr>
            <w:tcW w:type="dxa" w:w="3626"/>
            <w:shd w:fill="F2F5FA" w:color="auto" w:val="clear"/>
            <w:tcMar>
              <w:top w:type="dxa" w:w="50"/>
              <w:left w:type="dxa" w:w="90"/>
              <w:bottom w:type="dxa" w:w="50"/>
              <w:right w:type="dxa" w:w="90"/>
            </w:tcMar>
            <w:vAlign w:val="center"/>
          </w:tcPr>
          <w:p>
            <w:r>
              <w:rPr>
                <w:color w:val="222222"/>
                <w:sz w:val="18"/>
                <w:szCs w:val="18"/>
              </w:rPr>
              <w:t xml:space="preserve">Wrapped by a custom session layer in src/lib/auth.server.ts</w:t>
            </w:r>
          </w:p>
        </w:tc>
      </w:tr>
      <w:tr>
        <w:tc>
          <w:tcPr>
            <w:tcW w:type="dxa" w:w="2200"/>
            <w:shd w:fill="FFFFFF" w:color="auto" w:val="clear"/>
            <w:tcMar>
              <w:top w:type="dxa" w:w="50"/>
              <w:left w:type="dxa" w:w="90"/>
              <w:bottom w:type="dxa" w:w="50"/>
              <w:right w:type="dxa" w:w="90"/>
            </w:tcMar>
            <w:vAlign w:val="center"/>
          </w:tcPr>
          <w:p>
            <w:r>
              <w:rPr>
                <w:color w:val="222222"/>
                <w:sz w:val="18"/>
                <w:szCs w:val="18"/>
              </w:rPr>
              <w:t xml:space="preserve">Authorization</w:t>
            </w:r>
          </w:p>
        </w:tc>
        <w:tc>
          <w:tcPr>
            <w:tcW w:type="dxa" w:w="3200"/>
            <w:shd w:fill="FFFFFF" w:color="auto" w:val="clear"/>
            <w:tcMar>
              <w:top w:type="dxa" w:w="50"/>
              <w:left w:type="dxa" w:w="90"/>
              <w:bottom w:type="dxa" w:w="50"/>
              <w:right w:type="dxa" w:w="90"/>
            </w:tcMar>
            <w:vAlign w:val="center"/>
          </w:tcPr>
          <w:p>
            <w:r>
              <w:rPr>
                <w:color w:val="222222"/>
                <w:sz w:val="18"/>
                <w:szCs w:val="18"/>
              </w:rPr>
              <w:t xml:space="preserve">App-layer checks + Postgres RLS</w:t>
            </w:r>
          </w:p>
        </w:tc>
        <w:tc>
          <w:tcPr>
            <w:tcW w:type="dxa" w:w="3626"/>
            <w:shd w:fill="FFFFFF" w:color="auto" w:val="clear"/>
            <w:tcMar>
              <w:top w:type="dxa" w:w="50"/>
              <w:left w:type="dxa" w:w="90"/>
              <w:bottom w:type="dxa" w:w="50"/>
              <w:right w:type="dxa" w:w="90"/>
            </w:tcMar>
            <w:vAlign w:val="center"/>
          </w:tcPr>
          <w:p>
            <w:r>
              <w:rPr>
                <w:color w:val="222222"/>
                <w:sz w:val="18"/>
                <w:szCs w:val="18"/>
              </w:rPr>
              <w:t xml:space="preserve">Explained in full in §5</w:t>
            </w:r>
          </w:p>
        </w:tc>
      </w:tr>
      <w:tr>
        <w:tc>
          <w:tcPr>
            <w:tcW w:type="dxa" w:w="2200"/>
            <w:shd w:fill="F2F5FA" w:color="auto" w:val="clear"/>
            <w:tcMar>
              <w:top w:type="dxa" w:w="50"/>
              <w:left w:type="dxa" w:w="90"/>
              <w:bottom w:type="dxa" w:w="50"/>
              <w:right w:type="dxa" w:w="90"/>
            </w:tcMar>
            <w:vAlign w:val="center"/>
          </w:tcPr>
          <w:p>
            <w:r>
              <w:rPr>
                <w:color w:val="222222"/>
                <w:sz w:val="18"/>
                <w:szCs w:val="18"/>
              </w:rPr>
              <w:t xml:space="preserve">Financial logic</w:t>
            </w:r>
          </w:p>
        </w:tc>
        <w:tc>
          <w:tcPr>
            <w:tcW w:type="dxa" w:w="3200"/>
            <w:shd w:fill="F2F5FA" w:color="auto" w:val="clear"/>
            <w:tcMar>
              <w:top w:type="dxa" w:w="50"/>
              <w:left w:type="dxa" w:w="90"/>
              <w:bottom w:type="dxa" w:w="50"/>
              <w:right w:type="dxa" w:w="90"/>
            </w:tcMar>
            <w:vAlign w:val="center"/>
          </w:tcPr>
          <w:p>
            <w:r>
              <w:rPr>
                <w:color w:val="222222"/>
                <w:sz w:val="18"/>
                <w:szCs w:val="18"/>
              </w:rPr>
              <w:t xml:space="preserve">Postgres functions (PL/pgSQL)</w:t>
            </w:r>
          </w:p>
        </w:tc>
        <w:tc>
          <w:tcPr>
            <w:tcW w:type="dxa" w:w="3626"/>
            <w:shd w:fill="F2F5FA" w:color="auto" w:val="clear"/>
            <w:tcMar>
              <w:top w:type="dxa" w:w="50"/>
              <w:left w:type="dxa" w:w="90"/>
              <w:bottom w:type="dxa" w:w="50"/>
              <w:right w:type="dxa" w:w="90"/>
            </w:tcMar>
            <w:vAlign w:val="center"/>
          </w:tcPr>
          <w:p>
            <w:r>
              <w:rPr>
                <w:color w:val="222222"/>
                <w:sz w:val="18"/>
                <w:szCs w:val="18"/>
              </w:rPr>
              <w:t xml:space="preserve">record_payment_with_allocations, recalculate_wallet_balance, triggers</w:t>
            </w:r>
          </w:p>
        </w:tc>
      </w:tr>
      <w:tr>
        <w:tc>
          <w:tcPr>
            <w:tcW w:type="dxa" w:w="2200"/>
            <w:shd w:fill="FFFFFF" w:color="auto" w:val="clear"/>
            <w:tcMar>
              <w:top w:type="dxa" w:w="50"/>
              <w:left w:type="dxa" w:w="90"/>
              <w:bottom w:type="dxa" w:w="50"/>
              <w:right w:type="dxa" w:w="90"/>
            </w:tcMar>
            <w:vAlign w:val="center"/>
          </w:tcPr>
          <w:p>
            <w:r>
              <w:rPr>
                <w:color w:val="222222"/>
                <w:sz w:val="18"/>
                <w:szCs w:val="18"/>
              </w:rPr>
              <w:t xml:space="preserve">Runtime validation</w:t>
            </w:r>
          </w:p>
        </w:tc>
        <w:tc>
          <w:tcPr>
            <w:tcW w:type="dxa" w:w="3200"/>
            <w:shd w:fill="FFFFFF" w:color="auto" w:val="clear"/>
            <w:tcMar>
              <w:top w:type="dxa" w:w="50"/>
              <w:left w:type="dxa" w:w="90"/>
              <w:bottom w:type="dxa" w:w="50"/>
              <w:right w:type="dxa" w:w="90"/>
            </w:tcMar>
            <w:vAlign w:val="center"/>
          </w:tcPr>
          <w:p>
            <w:r>
              <w:rPr>
                <w:color w:val="222222"/>
                <w:sz w:val="18"/>
                <w:szCs w:val="18"/>
              </w:rPr>
              <w:t xml:space="preserve">Zod</w:t>
            </w:r>
          </w:p>
        </w:tc>
        <w:tc>
          <w:tcPr>
            <w:tcW w:type="dxa" w:w="3626"/>
            <w:shd w:fill="FFFFFF" w:color="auto" w:val="clear"/>
            <w:tcMar>
              <w:top w:type="dxa" w:w="50"/>
              <w:left w:type="dxa" w:w="90"/>
              <w:bottom w:type="dxa" w:w="50"/>
              <w:right w:type="dxa" w:w="90"/>
            </w:tcMar>
            <w:vAlign w:val="center"/>
          </w:tcPr>
          <w:p>
            <w:r>
              <w:rPr>
                <w:color w:val="222222"/>
                <w:sz w:val="18"/>
                <w:szCs w:val="18"/>
              </w:rPr>
              <w:t xml:space="preserve">Every server function validates its input before touching the database</w:t>
            </w:r>
          </w:p>
        </w:tc>
      </w:tr>
      <w:tr>
        <w:tc>
          <w:tcPr>
            <w:tcW w:type="dxa" w:w="2200"/>
            <w:shd w:fill="F2F5FA" w:color="auto" w:val="clear"/>
            <w:tcMar>
              <w:top w:type="dxa" w:w="50"/>
              <w:left w:type="dxa" w:w="90"/>
              <w:bottom w:type="dxa" w:w="50"/>
              <w:right w:type="dxa" w:w="90"/>
            </w:tcMar>
            <w:vAlign w:val="center"/>
          </w:tcPr>
          <w:p>
            <w:r>
              <w:rPr>
                <w:color w:val="222222"/>
                <w:sz w:val="18"/>
                <w:szCs w:val="18"/>
              </w:rPr>
              <w:t xml:space="preserve">File storage</w:t>
            </w:r>
          </w:p>
        </w:tc>
        <w:tc>
          <w:tcPr>
            <w:tcW w:type="dxa" w:w="3200"/>
            <w:shd w:fill="F2F5FA" w:color="auto" w:val="clear"/>
            <w:tcMar>
              <w:top w:type="dxa" w:w="50"/>
              <w:left w:type="dxa" w:w="90"/>
              <w:bottom w:type="dxa" w:w="50"/>
              <w:right w:type="dxa" w:w="90"/>
            </w:tcMar>
            <w:vAlign w:val="center"/>
          </w:tcPr>
          <w:p>
            <w:r>
              <w:rPr>
                <w:color w:val="222222"/>
                <w:sz w:val="18"/>
                <w:szCs w:val="18"/>
              </w:rPr>
              <w:t xml:space="preserve">Supabase Storage</w:t>
            </w:r>
          </w:p>
        </w:tc>
        <w:tc>
          <w:tcPr>
            <w:tcW w:type="dxa" w:w="3626"/>
            <w:shd w:fill="F2F5FA" w:color="auto" w:val="clear"/>
            <w:tcMar>
              <w:top w:type="dxa" w:w="50"/>
              <w:left w:type="dxa" w:w="90"/>
              <w:bottom w:type="dxa" w:w="50"/>
              <w:right w:type="dxa" w:w="90"/>
            </w:tcMar>
            <w:vAlign w:val="center"/>
          </w:tcPr>
          <w:p>
            <w:r>
              <w:rPr>
                <w:color w:val="222222"/>
                <w:sz w:val="18"/>
                <w:szCs w:val="18"/>
              </w:rPr>
              <w:t xml:space="preserve">PO documents, letterheads, signed confirmations</w:t>
            </w:r>
          </w:p>
        </w:tc>
      </w:tr>
    </w:tbl>
    <w:p>
      <w:pPr>
        <w:pStyle w:val="Heading2"/>
        <w:spacing w:after="90" w:before="220"/>
      </w:pPr>
      <w:r>
        <w:rPr>
          <w:b/>
          <w:bCs/>
          <w:color w:val="2E5395"/>
          <w:sz w:val="24"/>
          <w:szCs w:val="24"/>
        </w:rPr>
        <w:t xml:space="preserve">2.5  Testing &amp; tooling</w:t>
      </w:r>
    </w:p>
    <w:p>
      <w:pPr>
        <w:pStyle w:val="ListParagraph"/>
        <w:numPr>
          <w:ilvl w:val="0"/>
          <w:numId w:val="2"/>
        </w:numPr>
        <w:spacing w:after="55"/>
      </w:pPr>
      <w:r>
        <w:rPr>
          <w:b/>
          <w:bCs/>
          <w:color w:val="222222"/>
          <w:sz w:val="21"/>
          <w:szCs w:val="21"/>
        </w:rPr>
        <w:t xml:space="preserve">Vitest + Testing Library — </w:t>
      </w:r>
      <w:r>
        <w:rPr>
          <w:color w:val="222222"/>
          <w:sz w:val="21"/>
          <w:szCs w:val="21"/>
        </w:rPr>
        <w:t xml:space="preserve">configured (ledger_balances.test.ts, opening_balances.test.ts) for the ledger/opening-balance financial logic</w:t>
      </w:r>
    </w:p>
    <w:p>
      <w:pPr>
        <w:pStyle w:val="ListParagraph"/>
        <w:numPr>
          <w:ilvl w:val="0"/>
          <w:numId w:val="2"/>
        </w:numPr>
        <w:spacing w:after="55"/>
      </w:pPr>
      <w:r>
        <w:rPr>
          <w:b/>
          <w:bCs/>
          <w:color w:val="222222"/>
          <w:sz w:val="21"/>
          <w:szCs w:val="21"/>
        </w:rPr>
        <w:t xml:space="preserve">ESLint + Prettier — </w:t>
      </w:r>
      <w:r>
        <w:rPr>
          <w:color w:val="222222"/>
          <w:sz w:val="21"/>
          <w:szCs w:val="21"/>
        </w:rPr>
        <w:t xml:space="preserve">standard lint/format tooling</w:t>
      </w:r>
    </w:p>
    <w:p>
      <w:pPr>
        <w:pStyle w:val="ListParagraph"/>
        <w:numPr>
          <w:ilvl w:val="0"/>
          <w:numId w:val="2"/>
        </w:numPr>
        <w:spacing w:after="55"/>
      </w:pPr>
      <w:r>
        <w:rPr>
          <w:b/>
          <w:bCs/>
          <w:color w:val="222222"/>
          <w:sz w:val="21"/>
          <w:szCs w:val="21"/>
        </w:rPr>
        <w:t xml:space="preserve">TypeScript — </w:t>
      </w:r>
      <w:r>
        <w:rPr>
          <w:color w:val="222222"/>
          <w:sz w:val="21"/>
          <w:szCs w:val="21"/>
        </w:rPr>
        <w:t xml:space="preserve">strict-ish mode; see §12.4 for an honest note on the current state of type-checking</w:t>
      </w:r>
    </w:p>
    <w:p>
      <w:pPr>
        <w:pBdr>
          <w:top w:val="single" w:color="2C5AA0" w:sz="4" w:space="4"/>
          <w:bottom w:val="single" w:color="2C5AA0" w:sz="4" w:space="4"/>
          <w:left w:val="single" w:color="2C5AA0" w:sz="22" w:space="10"/>
          <w:right w:val="single" w:color="2C5AA0" w:sz="4" w:space="4"/>
        </w:pBdr>
        <w:shd w:fill="E8F0FE" w:color="auto" w:val="clear"/>
        <w:spacing w:after="140" w:before="100"/>
      </w:pPr>
      <w:r>
        <w:rPr>
          <w:b/>
          <w:bCs/>
          <w:color w:val="222222"/>
          <w:sz w:val="21"/>
          <w:szCs w:val="21"/>
        </w:rPr>
        <w:t xml:space="preserve">ℹ An honest detail, not a polished one</w:t>
      </w:r>
      <w:r>
        <w:rPr>
          <w:color w:val="222222"/>
          <w:sz w:val="21"/>
          <w:szCs w:val="21"/>
        </w:rPr>
        <w:br/>
        <w:t xml:space="preserve">The dependency list includes "mongodb" — it is unused. It is a leftover from the project's initial scaffold and nothing in the codebase imports it (confirmed: the src/integrations/mongo folder is empty). Worth knowing so you're not caught off guard if an interviewer spots it in package.json and asks.</w:t>
      </w:r>
    </w:p>
    <w:p>
      <w:r>
        <w:br w:type="page"/>
      </w:r>
    </w:p>
    <w:p>
      <w:pPr>
        <w:pStyle w:val="Heading1"/>
        <w:pBdr>
          <w:bottom w:val="single" w:color="1F3864" w:sz="8" w:space="5"/>
        </w:pBdr>
        <w:spacing w:after="140" w:before="320"/>
      </w:pPr>
      <w:r>
        <w:rPr>
          <w:b/>
          <w:bCs/>
          <w:color w:val="1F3864"/>
          <w:sz w:val="30"/>
          <w:szCs w:val="30"/>
        </w:rPr>
        <w:t xml:space="preserve">3. High-Level Architecture</w:t>
      </w:r>
    </w:p>
    <w:p>
      <w:pPr>
        <w:spacing w:after="100"/>
      </w:pPr>
      <w:r>
        <w:rPr>
          <w:b w:val="false"/>
          <w:bCs w:val="false"/>
          <w:i w:val="false"/>
          <w:iCs w:val="false"/>
          <w:color w:val="222222"/>
          <w:sz w:val="21"/>
          <w:szCs w:val="21"/>
        </w:rPr>
        <w:t xml:space="preserve">There is exactly one deployable unit: a Vite/TanStack Start application. It is not a monorepo with a separate API service — the "backend" is a folder of server-only functions living inside the same project, which the build step automatically separates from client bundle code.</w:t>
      </w:r>
    </w:p>
    <w:p>
      <w:pPr>
        <w:spacing w:after="60" w:before="150"/>
      </w:pPr>
      <w:r>
        <w:rPr>
          <w:b/>
          <w:bCs/>
          <w:color w:val="9C6B1F"/>
          <w:sz w:val="21"/>
          <w:szCs w:val="21"/>
        </w:rPr>
        <w:t xml:space="preserve">Request flow, end to end</w:t>
      </w:r>
    </w:p>
    <w:p>
      <w:pPr>
        <w:pStyle w:val="ListParagraph"/>
        <w:numPr>
          <w:ilvl w:val="0"/>
          <w:numId w:val="3"/>
        </w:numPr>
        <w:spacing w:after="70"/>
      </w:pPr>
      <w:r>
        <w:rPr>
          <w:color w:val="222222"/>
          <w:sz w:val="21"/>
          <w:szCs w:val="21"/>
        </w:rPr>
        <w:t xml:space="preserve">A route component (e.g. src/routes/_authenticated/admin/payments.tsx) calls a hook like useQuery({ queryFn: () =&gt; getPayments() }).</w:t>
      </w:r>
    </w:p>
    <w:p>
      <w:pPr>
        <w:pStyle w:val="ListParagraph"/>
        <w:numPr>
          <w:ilvl w:val="0"/>
          <w:numId w:val="3"/>
        </w:numPr>
        <w:spacing w:after="70"/>
      </w:pPr>
      <w:r>
        <w:rPr>
          <w:color w:val="222222"/>
          <w:sz w:val="21"/>
          <w:szCs w:val="21"/>
        </w:rPr>
        <w:t xml:space="preserve">getPayments is imported from src/lib/api/business.functions.ts — it looks like a normal async function, but it was created with createServerFn().</w:t>
      </w:r>
    </w:p>
    <w:p>
      <w:pPr>
        <w:pStyle w:val="ListParagraph"/>
        <w:numPr>
          <w:ilvl w:val="0"/>
          <w:numId w:val="3"/>
        </w:numPr>
        <w:spacing w:after="70"/>
      </w:pPr>
      <w:r>
        <w:rPr>
          <w:color w:val="222222"/>
          <w:sz w:val="21"/>
          <w:szCs w:val="21"/>
        </w:rPr>
        <w:t xml:space="preserve">TanStack Start's Vite plugin has already extracted its body into a server-only chunk. The client-side call becomes a fetch to an internal RPC endpoint.</w:t>
      </w:r>
    </w:p>
    <w:p>
      <w:pPr>
        <w:pStyle w:val="ListParagraph"/>
        <w:numPr>
          <w:ilvl w:val="0"/>
          <w:numId w:val="3"/>
        </w:numPr>
        <w:spacing w:after="70"/>
      </w:pPr>
      <w:r>
        <w:rPr>
          <w:color w:val="222222"/>
          <w:sz w:val="21"/>
          <w:szCs w:val="21"/>
        </w:rPr>
        <w:t xml:space="preserve">On the server, the function's .middleware([requireAuth]) runs first — it resolves the caller's session and attaches it as `context`.</w:t>
      </w:r>
    </w:p>
    <w:p>
      <w:pPr>
        <w:pStyle w:val="ListParagraph"/>
        <w:numPr>
          <w:ilvl w:val="0"/>
          <w:numId w:val="3"/>
        </w:numPr>
        <w:spacing w:after="70"/>
      </w:pPr>
      <w:r>
        <w:rPr>
          <w:color w:val="222222"/>
          <w:sz w:val="21"/>
          <w:szCs w:val="21"/>
        </w:rPr>
        <w:t xml:space="preserve">The function body runs createSupabaseAdminClient() (service-role key) and queries Postgres directly, applying whatever authorization logic the function itself encodes (see §5).</w:t>
      </w:r>
    </w:p>
    <w:p>
      <w:pPr>
        <w:pStyle w:val="ListParagraph"/>
        <w:numPr>
          <w:ilvl w:val="0"/>
          <w:numId w:val="3"/>
        </w:numPr>
        <w:spacing w:after="70"/>
      </w:pPr>
      <w:r>
        <w:rPr>
          <w:color w:val="222222"/>
          <w:sz w:val="21"/>
          <w:szCs w:val="21"/>
        </w:rPr>
        <w:t xml:space="preserve">The result is serialized back to the client and lands in the React Query cache, exactly as if it were a normal REST response.</w:t>
      </w:r>
    </w:p>
    <w:p>
      <w:pPr>
        <w:spacing w:after="60" w:before="150"/>
      </w:pPr>
      <w:r>
        <w:rPr>
          <w:b/>
          <w:bCs/>
          <w:color w:val="9C6B1F"/>
          <w:sz w:val="21"/>
          <w:szCs w:val="21"/>
        </w:rPr>
        <w:t xml:space="preserve">Why the service-role client, not the user's own session?</w:t>
      </w:r>
    </w:p>
    <w:p>
      <w:pPr>
        <w:spacing w:after="100"/>
      </w:pPr>
      <w:r>
        <w:rPr>
          <w:b w:val="false"/>
          <w:bCs w:val="false"/>
          <w:i w:val="false"/>
          <w:iCs w:val="false"/>
          <w:color w:val="222222"/>
          <w:sz w:val="21"/>
          <w:szCs w:val="21"/>
        </w:rPr>
        <w:t xml:space="preserve">Every server function uses createSupabaseAdminClient(), which authenticates with Postgres using the Supabase service_role key — this bypasses Row Level Security entirely. That is a deliberate trade-off: complex cross-table authorization (e.g. "a client may see a payment if they own the invoice it settles, unless they're Mundra staff") is easier to write and unit-test as TypeScript than as a stack of Postgres RLS policies. RLS policies still exist in every migration as a defense-in-depth layer, but the load-bearing authorization logic is the requireAuth middleware plus explicit ensureMundraOrg / ensureClientOrg checks inside each function — see §5.</w:t>
      </w:r>
    </w:p>
    <w:p>
      <w:pPr>
        <w:spacing w:after="20" w:before="100"/>
      </w:pPr>
      <w:r>
        <w:rPr>
          <w:i/>
          <w:iCs/>
          <w:color w:val="5B5B5B"/>
          <w:sz w:val="18"/>
          <w:szCs w:val="18"/>
        </w:rPr>
        <w:t xml:space="preserve">src/lib/api/business.functions.ts</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function ensureMundraOrg(orgType: OrgType) {</w:t>
      </w:r>
      <w:r>
        <w:rPr>
          <w:rFonts w:ascii="Consolas" w:cs="Consolas" w:eastAsia="Consolas" w:hAnsi="Consolas"/>
          <w:color w:val="18181B"/>
          <w:sz w:val="17"/>
          <w:szCs w:val="17"/>
        </w:rPr>
        <w:br/>
        <w:t xml:space="preserve">  if (orgType !== "mundra") {</w:t>
      </w:r>
      <w:r>
        <w:rPr>
          <w:rFonts w:ascii="Consolas" w:cs="Consolas" w:eastAsia="Consolas" w:hAnsi="Consolas"/>
          <w:color w:val="18181B"/>
          <w:sz w:val="17"/>
          <w:szCs w:val="17"/>
        </w:rPr>
        <w:br/>
        <w:t xml:space="preserve">    throw new Error("Unauthorized: Mundra access required.");</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function ensureClientOrg(orgType: OrgType) {</w:t>
      </w:r>
      <w:r>
        <w:rPr>
          <w:rFonts w:ascii="Consolas" w:cs="Consolas" w:eastAsia="Consolas" w:hAnsi="Consolas"/>
          <w:color w:val="18181B"/>
          <w:sz w:val="17"/>
          <w:szCs w:val="17"/>
        </w:rPr>
        <w:br/>
        <w:t xml:space="preserve">  if (orgType === "mundra") {</w:t>
      </w:r>
      <w:r>
        <w:rPr>
          <w:rFonts w:ascii="Consolas" w:cs="Consolas" w:eastAsia="Consolas" w:hAnsi="Consolas"/>
          <w:color w:val="18181B"/>
          <w:sz w:val="17"/>
          <w:szCs w:val="17"/>
        </w:rPr>
        <w:br/>
        <w:t xml:space="preserve">    throw new Error("Unauthorized: Client access required.");</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w:t>
      </w:r>
    </w:p>
    <w:p>
      <w:pPr>
        <w:spacing w:after="60" w:before="150"/>
      </w:pPr>
      <w:r>
        <w:rPr>
          <w:b/>
          <w:bCs/>
          <w:color w:val="9C6B1F"/>
          <w:sz w:val="21"/>
          <w:szCs w:val="21"/>
        </w:rPr>
        <w:t xml:space="preserve">Two portals, one codebase</w:t>
      </w:r>
    </w:p>
    <w:p>
      <w:pPr>
        <w:spacing w:after="100"/>
      </w:pPr>
      <w:r>
        <w:rPr>
          <w:b w:val="false"/>
          <w:bCs w:val="false"/>
          <w:i w:val="false"/>
          <w:iCs w:val="false"/>
          <w:color w:val="222222"/>
          <w:sz w:val="21"/>
          <w:szCs w:val="21"/>
        </w:rPr>
        <w:t xml:space="preserve">Every organization row is tagged org_type: 'mundra' | 'client'. The same React app renders two completely different navigation sets and page sets depending on which type the logged-in user's organization is — routed via file-based paths /admin/* and /client/*, gated by a redirect guard in src/routes/_authenticated/route.tsx that bounces a client user out of /admin and vice versa.</w:t>
      </w:r>
    </w:p>
    <w:p>
      <w:pPr>
        <w:pStyle w:val="Heading1"/>
        <w:pBdr>
          <w:bottom w:val="single" w:color="1F3864" w:sz="8" w:space="5"/>
        </w:pBdr>
        <w:spacing w:after="140" w:before="320"/>
      </w:pPr>
      <w:r>
        <w:rPr>
          <w:b/>
          <w:bCs/>
          <w:color w:val="1F3864"/>
          <w:sz w:val="30"/>
          <w:szCs w:val="30"/>
        </w:rPr>
        <w:t xml:space="preserve">4. Two-Portal, Multi-Tenant Design</w:t>
      </w:r>
    </w:p>
    <w:p>
      <w:pPr>
        <w:spacing w:after="100"/>
      </w:pPr>
      <w:r>
        <w:rPr>
          <w:b w:val="false"/>
          <w:bCs w:val="false"/>
          <w:i w:val="false"/>
          <w:iCs w:val="false"/>
          <w:color w:val="222222"/>
          <w:sz w:val="21"/>
          <w:szCs w:val="21"/>
        </w:rPr>
        <w:t xml:space="preserve">"Multi-tenant" here means every client organization's data is logically isolated, while Mundra staff can see across all of them.</w:t>
      </w:r>
    </w:p>
    <w:p>
      <w:pPr>
        <w:pStyle w:val="Heading2"/>
        <w:spacing w:after="90" w:before="220"/>
      </w:pPr>
      <w:r>
        <w:rPr>
          <w:b/>
          <w:bCs/>
          <w:color w:val="2E5395"/>
          <w:sz w:val="24"/>
          <w:szCs w:val="24"/>
        </w:rPr>
        <w:t xml:space="preserve">4.1  Admin Console (Mundra staff) — 14 pages</w:t>
      </w:r>
    </w:p>
    <w:p>
      <w:pPr>
        <w:pStyle w:val="ListParagraph"/>
        <w:numPr>
          <w:ilvl w:val="0"/>
          <w:numId w:val="2"/>
        </w:numPr>
        <w:spacing w:after="55"/>
      </w:pPr>
      <w:r>
        <w:rPr>
          <w:color w:val="222222"/>
          <w:sz w:val="21"/>
          <w:szCs w:val="21"/>
        </w:rPr>
        <w:t xml:space="preserve">Dashboard, Client Master, Products, Rate Master, PO Queue, PO Formats, Dispatch Queue, Payments &amp; Refunds, Balance Confirmations, Refund Letters, User Approvals, Reports, Audit Trail, Platform Settings</w:t>
      </w:r>
    </w:p>
    <w:p>
      <w:pPr>
        <w:pStyle w:val="Heading2"/>
        <w:spacing w:after="90" w:before="220"/>
      </w:pPr>
      <w:r>
        <w:rPr>
          <w:b/>
          <w:bCs/>
          <w:color w:val="2E5395"/>
          <w:sz w:val="24"/>
          <w:szCs w:val="24"/>
        </w:rPr>
        <w:t xml:space="preserve">4.2  Client Portal (one client company's own staff) — 8 pages</w:t>
      </w:r>
    </w:p>
    <w:p>
      <w:pPr>
        <w:pStyle w:val="ListParagraph"/>
        <w:numPr>
          <w:ilvl w:val="0"/>
          <w:numId w:val="2"/>
        </w:numPr>
        <w:spacing w:after="55"/>
      </w:pPr>
      <w:r>
        <w:rPr>
          <w:color w:val="222222"/>
          <w:sz w:val="21"/>
          <w:szCs w:val="21"/>
        </w:rPr>
        <w:t xml:space="preserve">Dashboard, Purchase Orders, Dispatches, Payments, Ledgers &amp; Compliance, Balance Confirmations, Documents, My Team</w:t>
      </w:r>
    </w:p>
    <w:p>
      <w:pPr>
        <w:spacing w:after="60" w:before="150"/>
      </w:pPr>
      <w:r>
        <w:rPr>
          <w:b/>
          <w:bCs/>
          <w:color w:val="9C6B1F"/>
          <w:sz w:val="21"/>
          <w:szCs w:val="21"/>
        </w:rPr>
        <w:t xml:space="preserve">Sidebar source</w:t>
      </w:r>
    </w:p>
    <w:p>
      <w:pPr>
        <w:spacing w:after="20" w:before="100"/>
      </w:pPr>
      <w:r>
        <w:rPr>
          <w:i/>
          <w:iCs/>
          <w:color w:val="5B5B5B"/>
          <w:sz w:val="18"/>
          <w:szCs w:val="18"/>
        </w:rPr>
        <w:t xml:space="preserve">src/components/app-shell.tsx</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const CLIENT_NAV: NavItem[] = [</w:t>
      </w:r>
      <w:r>
        <w:rPr>
          <w:rFonts w:ascii="Consolas" w:cs="Consolas" w:eastAsia="Consolas" w:hAnsi="Consolas"/>
          <w:color w:val="18181B"/>
          <w:sz w:val="17"/>
          <w:szCs w:val="17"/>
        </w:rPr>
        <w:br/>
        <w:t xml:space="preserve">  { to: "/client", label: "Dashboard", icon: LayoutDashboard },</w:t>
      </w:r>
      <w:r>
        <w:rPr>
          <w:rFonts w:ascii="Consolas" w:cs="Consolas" w:eastAsia="Consolas" w:hAnsi="Consolas"/>
          <w:color w:val="18181B"/>
          <w:sz w:val="17"/>
          <w:szCs w:val="17"/>
        </w:rPr>
        <w:br/>
        <w:t xml:space="preserve">  { to: "/client/purchase-orders", label: "Purchase Orders", icon: FileText },</w:t>
      </w:r>
      <w:r>
        <w:rPr>
          <w:rFonts w:ascii="Consolas" w:cs="Consolas" w:eastAsia="Consolas" w:hAnsi="Consolas"/>
          <w:color w:val="18181B"/>
          <w:sz w:val="17"/>
          <w:szCs w:val="17"/>
        </w:rPr>
        <w:br/>
        <w:t xml:space="preserve">  { to: "/client/dispatches", label: "Dispatches", icon: Truck },</w:t>
      </w:r>
      <w:r>
        <w:rPr>
          <w:rFonts w:ascii="Consolas" w:cs="Consolas" w:eastAsia="Consolas" w:hAnsi="Consolas"/>
          <w:color w:val="18181B"/>
          <w:sz w:val="17"/>
          <w:szCs w:val="17"/>
        </w:rPr>
        <w:br/>
        <w:t xml:space="preserve">  { to: "/client/payments", label: "Payments", icon: Wallet },</w:t>
      </w:r>
      <w:r>
        <w:rPr>
          <w:rFonts w:ascii="Consolas" w:cs="Consolas" w:eastAsia="Consolas" w:hAnsi="Consolas"/>
          <w:color w:val="18181B"/>
          <w:sz w:val="17"/>
          <w:szCs w:val="17"/>
        </w:rPr>
        <w:br/>
        <w:t xml:space="preserve">  { to: "/client/ledgers", label: "Ledgers &amp; Compliance", icon: BookOpenCheck },</w:t>
      </w:r>
      <w:r>
        <w:rPr>
          <w:rFonts w:ascii="Consolas" w:cs="Consolas" w:eastAsia="Consolas" w:hAnsi="Consolas"/>
          <w:color w:val="18181B"/>
          <w:sz w:val="17"/>
          <w:szCs w:val="17"/>
        </w:rPr>
        <w:br/>
        <w:t xml:space="preserve">  { to: "/client/balance-confirmations", label: "Balance Confirmations", icon: FileText },</w:t>
      </w:r>
      <w:r>
        <w:rPr>
          <w:rFonts w:ascii="Consolas" w:cs="Consolas" w:eastAsia="Consolas" w:hAnsi="Consolas"/>
          <w:color w:val="18181B"/>
          <w:sz w:val="17"/>
          <w:szCs w:val="17"/>
        </w:rPr>
        <w:br/>
        <w:t xml:space="preserve">  { to: "/client/documents", label: "Documents", icon: Files },</w:t>
      </w:r>
      <w:r>
        <w:rPr>
          <w:rFonts w:ascii="Consolas" w:cs="Consolas" w:eastAsia="Consolas" w:hAnsi="Consolas"/>
          <w:color w:val="18181B"/>
          <w:sz w:val="17"/>
          <w:szCs w:val="17"/>
        </w:rPr>
        <w:br/>
        <w:t xml:space="preserve">  { to: "/client/users", label: "My Team", icon: Users },</w:t>
      </w:r>
      <w:r>
        <w:rPr>
          <w:rFonts w:ascii="Consolas" w:cs="Consolas" w:eastAsia="Consolas" w:hAnsi="Consolas"/>
          <w:color w:val="18181B"/>
          <w:sz w:val="17"/>
          <w:szCs w:val="17"/>
        </w:rPr>
        <w:br/>
        <w:t xml:space="preserve">];</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const ADMIN_NAV: NavItem[] = [</w:t>
      </w:r>
      <w:r>
        <w:rPr>
          <w:rFonts w:ascii="Consolas" w:cs="Consolas" w:eastAsia="Consolas" w:hAnsi="Consolas"/>
          <w:color w:val="18181B"/>
          <w:sz w:val="17"/>
          <w:szCs w:val="17"/>
        </w:rPr>
        <w:br/>
        <w:t xml:space="preserve">  { to: "/admin", label: "Dashboard", icon: LayoutDashboard },</w:t>
      </w:r>
      <w:r>
        <w:rPr>
          <w:rFonts w:ascii="Consolas" w:cs="Consolas" w:eastAsia="Consolas" w:hAnsi="Consolas"/>
          <w:color w:val="18181B"/>
          <w:sz w:val="17"/>
          <w:szCs w:val="17"/>
        </w:rPr>
        <w:br/>
        <w:t xml:space="preserve">  { to: "/admin/clients", label: "Client Master", icon: Building2 },</w:t>
      </w:r>
      <w:r>
        <w:rPr>
          <w:rFonts w:ascii="Consolas" w:cs="Consolas" w:eastAsia="Consolas" w:hAnsi="Consolas"/>
          <w:color w:val="18181B"/>
          <w:sz w:val="17"/>
          <w:szCs w:val="17"/>
        </w:rPr>
        <w:br/>
        <w:t xml:space="preserve">  // ...11 more entries</w:t>
      </w:r>
      <w:r>
        <w:rPr>
          <w:rFonts w:ascii="Consolas" w:cs="Consolas" w:eastAsia="Consolas" w:hAnsi="Consolas"/>
          <w:color w:val="18181B"/>
          <w:sz w:val="17"/>
          <w:szCs w:val="17"/>
        </w:rPr>
        <w:br/>
        <w:t xml:space="preserve">];</w:t>
      </w:r>
    </w:p>
    <w:p>
      <w:pPr>
        <w:spacing w:after="100"/>
      </w:pPr>
      <w:r>
        <w:rPr>
          <w:b w:val="false"/>
          <w:bCs w:val="false"/>
          <w:i/>
          <w:iCs/>
          <w:color w:val="222222"/>
          <w:sz w:val="21"/>
          <w:szCs w:val="21"/>
        </w:rPr>
        <w:t xml:space="preserve">A user's own account decides which set they get — there is no toggle. Roles are covered in §5.</w:t>
      </w:r>
    </w:p>
    <w:p>
      <w:r>
        <w:br w:type="page"/>
      </w:r>
    </w:p>
    <w:p>
      <w:pPr>
        <w:pStyle w:val="Heading1"/>
        <w:pBdr>
          <w:bottom w:val="single" w:color="1F3864" w:sz="8" w:space="5"/>
        </w:pBdr>
        <w:spacing w:after="140" w:before="320"/>
      </w:pPr>
      <w:r>
        <w:rPr>
          <w:b/>
          <w:bCs/>
          <w:color w:val="1F3864"/>
          <w:sz w:val="30"/>
          <w:szCs w:val="30"/>
        </w:rPr>
        <w:t xml:space="preserve">5. Authentication &amp; Authorization</w:t>
      </w:r>
    </w:p>
    <w:p>
      <w:pPr>
        <w:pStyle w:val="Heading2"/>
        <w:spacing w:after="90" w:before="220"/>
      </w:pPr>
      <w:r>
        <w:rPr>
          <w:b/>
          <w:bCs/>
          <w:color w:val="2E5395"/>
          <w:sz w:val="24"/>
          <w:szCs w:val="24"/>
        </w:rPr>
        <w:t xml:space="preserve">5.1  Session shape</w:t>
      </w:r>
    </w:p>
    <w:p>
      <w:pPr>
        <w:spacing w:after="100"/>
      </w:pPr>
      <w:r>
        <w:rPr>
          <w:b w:val="false"/>
          <w:bCs w:val="false"/>
          <w:i w:val="false"/>
          <w:iCs w:val="false"/>
          <w:color w:val="222222"/>
          <w:sz w:val="21"/>
          <w:szCs w:val="21"/>
        </w:rPr>
        <w:t xml:space="preserve">Every authenticated server function receives a context object of this shape, attached by the requireAuth middleware:</w:t>
      </w:r>
    </w:p>
    <w:p>
      <w:pPr>
        <w:spacing w:after="20" w:before="100"/>
      </w:pPr>
      <w:r>
        <w:rPr>
          <w:i/>
          <w:iCs/>
          <w:color w:val="5B5B5B"/>
          <w:sz w:val="18"/>
          <w:szCs w:val="18"/>
        </w:rPr>
        <w:t xml:space="preserve">src/lib/auth-types.ts</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export interface SessionContext {</w:t>
      </w:r>
      <w:r>
        <w:rPr>
          <w:rFonts w:ascii="Consolas" w:cs="Consolas" w:eastAsia="Consolas" w:hAnsi="Consolas"/>
          <w:color w:val="18181B"/>
          <w:sz w:val="17"/>
          <w:szCs w:val="17"/>
        </w:rPr>
        <w:br/>
        <w:t xml:space="preserve">  userId: string;</w:t>
      </w:r>
      <w:r>
        <w:rPr>
          <w:rFonts w:ascii="Consolas" w:cs="Consolas" w:eastAsia="Consolas" w:hAnsi="Consolas"/>
          <w:color w:val="18181B"/>
          <w:sz w:val="17"/>
          <w:szCs w:val="17"/>
        </w:rPr>
        <w:br/>
        <w:t xml:space="preserve">  email: string;</w:t>
      </w:r>
      <w:r>
        <w:rPr>
          <w:rFonts w:ascii="Consolas" w:cs="Consolas" w:eastAsia="Consolas" w:hAnsi="Consolas"/>
          <w:color w:val="18181B"/>
          <w:sz w:val="17"/>
          <w:szCs w:val="17"/>
        </w:rPr>
        <w:br/>
        <w:t xml:space="preserve">  fullName: string | null;</w:t>
      </w:r>
      <w:r>
        <w:rPr>
          <w:rFonts w:ascii="Consolas" w:cs="Consolas" w:eastAsia="Consolas" w:hAnsi="Consolas"/>
          <w:color w:val="18181B"/>
          <w:sz w:val="17"/>
          <w:szCs w:val="17"/>
        </w:rPr>
        <w:br/>
        <w:t xml:space="preserve">  organizationId: string;</w:t>
      </w:r>
      <w:r>
        <w:rPr>
          <w:rFonts w:ascii="Consolas" w:cs="Consolas" w:eastAsia="Consolas" w:hAnsi="Consolas"/>
          <w:color w:val="18181B"/>
          <w:sz w:val="17"/>
          <w:szCs w:val="17"/>
        </w:rPr>
        <w:br/>
        <w:t xml:space="preserve">  organizationName: string;</w:t>
      </w:r>
      <w:r>
        <w:rPr>
          <w:rFonts w:ascii="Consolas" w:cs="Consolas" w:eastAsia="Consolas" w:hAnsi="Consolas"/>
          <w:color w:val="18181B"/>
          <w:sz w:val="17"/>
          <w:szCs w:val="17"/>
        </w:rPr>
        <w:br/>
        <w:t xml:space="preserve">  orgType: OrgType;          // "mundra" | "client"</w:t>
      </w:r>
      <w:r>
        <w:rPr>
          <w:rFonts w:ascii="Consolas" w:cs="Consolas" w:eastAsia="Consolas" w:hAnsi="Consolas"/>
          <w:color w:val="18181B"/>
          <w:sz w:val="17"/>
          <w:szCs w:val="17"/>
        </w:rPr>
        <w:br/>
        <w:t xml:space="preserve">  roles: AppRole[];</w:t>
      </w:r>
      <w:r>
        <w:rPr>
          <w:rFonts w:ascii="Consolas" w:cs="Consolas" w:eastAsia="Consolas" w:hAnsi="Consolas"/>
          <w:color w:val="18181B"/>
          <w:sz w:val="17"/>
          <w:szCs w:val="17"/>
        </w:rPr>
        <w:br/>
        <w:t xml:space="preserve">  approvalStatus: "pending" | "approved" | "rejected";</w:t>
      </w:r>
      <w:r>
        <w:rPr>
          <w:rFonts w:ascii="Consolas" w:cs="Consolas" w:eastAsia="Consolas" w:hAnsi="Consolas"/>
          <w:color w:val="18181B"/>
          <w:sz w:val="17"/>
          <w:szCs w:val="17"/>
        </w:rPr>
        <w:br/>
        <w:t xml:space="preserve">}</w:t>
      </w:r>
    </w:p>
    <w:p>
      <w:pPr>
        <w:pStyle w:val="Heading2"/>
        <w:spacing w:after="90" w:before="220"/>
      </w:pPr>
      <w:r>
        <w:rPr>
          <w:b/>
          <w:bCs/>
          <w:color w:val="2E5395"/>
          <w:sz w:val="24"/>
          <w:szCs w:val="24"/>
        </w:rPr>
        <w:t xml:space="preserve">5.2  The middleware</w:t>
      </w:r>
    </w:p>
    <w:p>
      <w:pPr>
        <w:spacing w:after="20" w:before="100"/>
      </w:pPr>
      <w:r>
        <w:rPr>
          <w:i/>
          <w:iCs/>
          <w:color w:val="5B5B5B"/>
          <w:sz w:val="18"/>
          <w:szCs w:val="18"/>
        </w:rPr>
        <w:t xml:space="preserve">src/integrations/auth/auth-middleware.ts</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export const requireAuth = createMiddleware({ type: "function" }).server(async ({ next }) =&gt; {</w:t>
      </w:r>
      <w:r>
        <w:rPr>
          <w:rFonts w:ascii="Consolas" w:cs="Consolas" w:eastAsia="Consolas" w:hAnsi="Consolas"/>
          <w:color w:val="18181B"/>
          <w:sz w:val="17"/>
          <w:szCs w:val="17"/>
        </w:rPr>
        <w:br/>
        <w:t xml:space="preserve">  const result = await requireCurrentUser();</w:t>
      </w:r>
      <w:r>
        <w:rPr>
          <w:rFonts w:ascii="Consolas" w:cs="Consolas" w:eastAsia="Consolas" w:hAnsi="Consolas"/>
          <w:color w:val="18181B"/>
          <w:sz w:val="17"/>
          <w:szCs w:val="17"/>
        </w:rPr>
        <w:br/>
        <w:t xml:space="preserve">  if (!result) {</w:t>
      </w:r>
      <w:r>
        <w:rPr>
          <w:rFonts w:ascii="Consolas" w:cs="Consolas" w:eastAsia="Consolas" w:hAnsi="Consolas"/>
          <w:color w:val="18181B"/>
          <w:sz w:val="17"/>
          <w:szCs w:val="17"/>
        </w:rPr>
        <w:br/>
        <w:t xml:space="preserve">    throw new Error("Unauthorized");</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return next({</w:t>
      </w:r>
      <w:r>
        <w:rPr>
          <w:rFonts w:ascii="Consolas" w:cs="Consolas" w:eastAsia="Consolas" w:hAnsi="Consolas"/>
          <w:color w:val="18181B"/>
          <w:sz w:val="17"/>
          <w:szCs w:val="17"/>
        </w:rPr>
        <w:br/>
        <w:t xml:space="preserve">    context: mapUserToSessionContext(result.user),</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w:t>
      </w:r>
    </w:p>
    <w:p>
      <w:pPr>
        <w:spacing w:after="100"/>
      </w:pPr>
      <w:r>
        <w:rPr>
          <w:b w:val="false"/>
          <w:bCs w:val="false"/>
          <w:i w:val="false"/>
          <w:iCs w:val="false"/>
          <w:color w:val="222222"/>
          <w:sz w:val="21"/>
          <w:szCs w:val="21"/>
        </w:rPr>
        <w:t xml:space="preserve">Every one of the 71 server functions that needs a logged-in user attaches this via .middleware([requireAuth]). A handful of read-only, unauthenticated ones (e.g. sign-in itself) don't.</w:t>
      </w:r>
    </w:p>
    <w:p>
      <w:pPr>
        <w:pStyle w:val="Heading2"/>
        <w:spacing w:after="90" w:before="220"/>
      </w:pPr>
      <w:r>
        <w:rPr>
          <w:b/>
          <w:bCs/>
          <w:color w:val="2E5395"/>
          <w:sz w:val="24"/>
          <w:szCs w:val="24"/>
        </w:rPr>
        <w:t xml:space="preserve">5.3  Approval workflow</w:t>
      </w:r>
    </w:p>
    <w:p>
      <w:pPr>
        <w:spacing w:after="100"/>
      </w:pPr>
      <w:r>
        <w:rPr>
          <w:b w:val="false"/>
          <w:bCs w:val="false"/>
          <w:i w:val="false"/>
          <w:iCs w:val="false"/>
          <w:color w:val="222222"/>
          <w:sz w:val="21"/>
          <w:szCs w:val="21"/>
        </w:rPr>
        <w:t xml:space="preserve">Signing up does not grant access. A new user's profile is created with approval_status = 'pending'; a Mundra admin must review it on the User Approvals page, choose a role, and — for a client-side user — link them to the correct client organization before they can log in. This is enforced both in the sign-in flow and as a real gate, not just a UI hint.</w:t>
      </w:r>
    </w:p>
    <w:p>
      <w:pPr>
        <w:pStyle w:val="Heading2"/>
        <w:spacing w:after="90" w:before="220"/>
      </w:pPr>
      <w:r>
        <w:rPr>
          <w:b/>
          <w:bCs/>
          <w:color w:val="2E5395"/>
          <w:sz w:val="24"/>
          <w:szCs w:val="24"/>
        </w:rPr>
        <w:t xml:space="preserve">5.4  Roles</w:t>
      </w:r>
    </w:p>
    <w:p>
      <w:pPr>
        <w:spacing w:after="100"/>
      </w:pPr>
      <w:r>
        <w:rPr>
          <w:b w:val="false"/>
          <w:bCs w:val="false"/>
          <w:i w:val="false"/>
          <w:iCs w:val="false"/>
          <w:color w:val="222222"/>
          <w:sz w:val="21"/>
          <w:szCs w:val="21"/>
        </w:rPr>
        <w:t xml:space="preserve">AppRole values gate specific actions on top of the coarser orgType check — for example, only mundra_super_admin can create a new client:</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function isSuperAdmin(roles: AppRole[]) {</w:t>
      </w:r>
      <w:r>
        <w:rPr>
          <w:rFonts w:ascii="Consolas" w:cs="Consolas" w:eastAsia="Consolas" w:hAnsi="Consolas"/>
          <w:color w:val="18181B"/>
          <w:sz w:val="17"/>
          <w:szCs w:val="17"/>
        </w:rPr>
        <w:br/>
        <w:t xml:space="preserve">  return roles.includes("mundra_super_admin");</w:t>
      </w:r>
      <w:r>
        <w:rPr>
          <w:rFonts w:ascii="Consolas" w:cs="Consolas" w:eastAsia="Consolas" w:hAnsi="Consolas"/>
          <w:color w:val="18181B"/>
          <w:sz w:val="17"/>
          <w:szCs w:val="17"/>
        </w:rPr>
        <w:br/>
        <w:t xml:space="preserve">}</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if (!isSuperAdmin(context.roles)) {</w:t>
      </w:r>
      <w:r>
        <w:rPr>
          <w:rFonts w:ascii="Consolas" w:cs="Consolas" w:eastAsia="Consolas" w:hAnsi="Consolas"/>
          <w:color w:val="18181B"/>
          <w:sz w:val="17"/>
          <w:szCs w:val="17"/>
        </w:rPr>
        <w:br/>
        <w:t xml:space="preserve">  throw new Error("Unauthorized: Only Mundra Super Admin can create clients.");</w:t>
      </w:r>
      <w:r>
        <w:rPr>
          <w:rFonts w:ascii="Consolas" w:cs="Consolas" w:eastAsia="Consolas" w:hAnsi="Consolas"/>
          <w:color w:val="18181B"/>
          <w:sz w:val="17"/>
          <w:szCs w:val="17"/>
        </w:rPr>
        <w:br/>
        <w:t xml:space="preserve">}</w:t>
      </w:r>
    </w:p>
    <w:p>
      <w:pPr>
        <w:pStyle w:val="Heading2"/>
        <w:spacing w:after="90" w:before="220"/>
      </w:pPr>
      <w:r>
        <w:rPr>
          <w:b/>
          <w:bCs/>
          <w:color w:val="2E5395"/>
          <w:sz w:val="24"/>
          <w:szCs w:val="24"/>
        </w:rPr>
        <w:t xml:space="preserve">5.5  Resilience: surviving serverless cold starts</w:t>
      </w:r>
    </w:p>
    <w:p>
      <w:pPr>
        <w:spacing w:after="100"/>
      </w:pPr>
      <w:r>
        <w:rPr>
          <w:b w:val="false"/>
          <w:bCs w:val="false"/>
          <w:i w:val="false"/>
          <w:iCs w:val="false"/>
          <w:color w:val="222222"/>
          <w:sz w:val="21"/>
          <w:szCs w:val="21"/>
        </w:rPr>
        <w:t xml:space="preserve">A real production incident: Vercel scales the app's serverless function to zero when idle. The first Supabase call after a cold start would intermittently throw a raw "fetch failed" network error on sign-in — confusing for users, and not actually a configuration problem. The fix is a narrow retry wrapper that only reacts to genuinely transient network errors, never to real auth failures like a wrong password:</w:t>
      </w:r>
    </w:p>
    <w:p>
      <w:pPr>
        <w:spacing w:after="20" w:before="100"/>
      </w:pPr>
      <w:r>
        <w:rPr>
          <w:i/>
          <w:iCs/>
          <w:color w:val="5B5B5B"/>
          <w:sz w:val="18"/>
          <w:szCs w:val="18"/>
        </w:rPr>
        <w:t xml:space="preserve">src/lib/auth.server.ts</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function isTransientNetworkError(err: any): boolean {</w:t>
      </w:r>
      <w:r>
        <w:rPr>
          <w:rFonts w:ascii="Consolas" w:cs="Consolas" w:eastAsia="Consolas" w:hAnsi="Consolas"/>
          <w:color w:val="18181B"/>
          <w:sz w:val="17"/>
          <w:szCs w:val="17"/>
        </w:rPr>
        <w:br/>
        <w:t xml:space="preserve">  const msg = String(err?.message ?? err ?? "");</w:t>
      </w:r>
      <w:r>
        <w:rPr>
          <w:rFonts w:ascii="Consolas" w:cs="Consolas" w:eastAsia="Consolas" w:hAnsi="Consolas"/>
          <w:color w:val="18181B"/>
          <w:sz w:val="17"/>
          <w:szCs w:val="17"/>
        </w:rPr>
        <w:br/>
        <w:t xml:space="preserve">  const cause = String(err?.cause?.code ?? err?.cause?.message ?? "");</w:t>
      </w:r>
      <w:r>
        <w:rPr>
          <w:rFonts w:ascii="Consolas" w:cs="Consolas" w:eastAsia="Consolas" w:hAnsi="Consolas"/>
          <w:color w:val="18181B"/>
          <w:sz w:val="17"/>
          <w:szCs w:val="17"/>
        </w:rPr>
        <w:br/>
        <w:t xml:space="preserve">  return /fetch failed|network|socket hang up|ECONNRESET|ETIMEDOUT|ENOTFOUND|EAI_AGAIN|ECONNREFUSED/i.test(</w:t>
      </w:r>
      <w:r>
        <w:rPr>
          <w:rFonts w:ascii="Consolas" w:cs="Consolas" w:eastAsia="Consolas" w:hAnsi="Consolas"/>
          <w:color w:val="18181B"/>
          <w:sz w:val="17"/>
          <w:szCs w:val="17"/>
        </w:rPr>
        <w:br/>
        <w:t xml:space="preserve">    `${msg} ${cause}`,</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async function withRetry&lt;T&gt;(fn: () =&gt; PromiseLike&lt;T&gt;): Promise&lt;T&gt; {</w:t>
      </w:r>
      <w:r>
        <w:rPr>
          <w:rFonts w:ascii="Consolas" w:cs="Consolas" w:eastAsia="Consolas" w:hAnsi="Consolas"/>
          <w:color w:val="18181B"/>
          <w:sz w:val="17"/>
          <w:szCs w:val="17"/>
        </w:rPr>
        <w:br/>
        <w:t xml:space="preserve">  const maxAttempts = 3;</w:t>
      </w:r>
      <w:r>
        <w:rPr>
          <w:rFonts w:ascii="Consolas" w:cs="Consolas" w:eastAsia="Consolas" w:hAnsi="Consolas"/>
          <w:color w:val="18181B"/>
          <w:sz w:val="17"/>
          <w:szCs w:val="17"/>
        </w:rPr>
        <w:br/>
        <w:t xml:space="preserve">  let lastErr: any;</w:t>
      </w:r>
      <w:r>
        <w:rPr>
          <w:rFonts w:ascii="Consolas" w:cs="Consolas" w:eastAsia="Consolas" w:hAnsi="Consolas"/>
          <w:color w:val="18181B"/>
          <w:sz w:val="17"/>
          <w:szCs w:val="17"/>
        </w:rPr>
        <w:br/>
        <w:t xml:space="preserve">  for (let attempt = 1; attempt &lt;= maxAttempts; attempt++) {</w:t>
      </w:r>
      <w:r>
        <w:rPr>
          <w:rFonts w:ascii="Consolas" w:cs="Consolas" w:eastAsia="Consolas" w:hAnsi="Consolas"/>
          <w:color w:val="18181B"/>
          <w:sz w:val="17"/>
          <w:szCs w:val="17"/>
        </w:rPr>
        <w:br/>
        <w:t xml:space="preserve">    try {</w:t>
      </w:r>
      <w:r>
        <w:rPr>
          <w:rFonts w:ascii="Consolas" w:cs="Consolas" w:eastAsia="Consolas" w:hAnsi="Consolas"/>
          <w:color w:val="18181B"/>
          <w:sz w:val="17"/>
          <w:szCs w:val="17"/>
        </w:rPr>
        <w:br/>
        <w:t xml:space="preserve">      return await fn();</w:t>
      </w:r>
      <w:r>
        <w:rPr>
          <w:rFonts w:ascii="Consolas" w:cs="Consolas" w:eastAsia="Consolas" w:hAnsi="Consolas"/>
          <w:color w:val="18181B"/>
          <w:sz w:val="17"/>
          <w:szCs w:val="17"/>
        </w:rPr>
        <w:br/>
        <w:t xml:space="preserve">    } catch (err) {</w:t>
      </w:r>
      <w:r>
        <w:rPr>
          <w:rFonts w:ascii="Consolas" w:cs="Consolas" w:eastAsia="Consolas" w:hAnsi="Consolas"/>
          <w:color w:val="18181B"/>
          <w:sz w:val="17"/>
          <w:szCs w:val="17"/>
        </w:rPr>
        <w:br/>
        <w:t xml:space="preserve">      lastErr = err;</w:t>
      </w:r>
      <w:r>
        <w:rPr>
          <w:rFonts w:ascii="Consolas" w:cs="Consolas" w:eastAsia="Consolas" w:hAnsi="Consolas"/>
          <w:color w:val="18181B"/>
          <w:sz w:val="17"/>
          <w:szCs w:val="17"/>
        </w:rPr>
        <w:br/>
        <w:t xml:space="preserve">      if (!isTransientNetworkError(err) || attempt === maxAttempts) break;</w:t>
      </w:r>
      <w:r>
        <w:rPr>
          <w:rFonts w:ascii="Consolas" w:cs="Consolas" w:eastAsia="Consolas" w:hAnsi="Consolas"/>
          <w:color w:val="18181B"/>
          <w:sz w:val="17"/>
          <w:szCs w:val="17"/>
        </w:rPr>
        <w:br/>
        <w:t xml:space="preserve">      await new Promise((r) =&gt; setTimeout(r, 500 * attempt));</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if (isTransientNetworkError(lastErr)) {</w:t>
      </w:r>
      <w:r>
        <w:rPr>
          <w:rFonts w:ascii="Consolas" w:cs="Consolas" w:eastAsia="Consolas" w:hAnsi="Consolas"/>
          <w:color w:val="18181B"/>
          <w:sz w:val="17"/>
          <w:szCs w:val="17"/>
        </w:rPr>
        <w:br/>
        <w:t xml:space="preserve">    throw new Error("Couldn't reach the authentication service — it may be waking up from idle. Please wait a few seconds and try again.");</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throw lastErr;</w:t>
      </w:r>
      <w:r>
        <w:rPr>
          <w:rFonts w:ascii="Consolas" w:cs="Consolas" w:eastAsia="Consolas" w:hAnsi="Consolas"/>
          <w:color w:val="18181B"/>
          <w:sz w:val="17"/>
          <w:szCs w:val="17"/>
        </w:rPr>
        <w:br/>
        <w:t xml:space="preserve">}</w:t>
      </w:r>
    </w:p>
    <w:p>
      <w:pPr>
        <w:pBdr>
          <w:top w:val="single" w:color="2C5AA0" w:sz="4" w:space="4"/>
          <w:bottom w:val="single" w:color="2C5AA0" w:sz="4" w:space="4"/>
          <w:left w:val="single" w:color="2C5AA0" w:sz="22" w:space="10"/>
          <w:right w:val="single" w:color="2C5AA0" w:sz="4" w:space="4"/>
        </w:pBdr>
        <w:shd w:fill="E8F0FE" w:color="auto" w:val="clear"/>
        <w:spacing w:after="140" w:before="100"/>
      </w:pPr>
      <w:r>
        <w:rPr>
          <w:b/>
          <w:bCs/>
          <w:color w:val="222222"/>
          <w:sz w:val="21"/>
          <w:szCs w:val="21"/>
        </w:rPr>
        <w:t xml:space="preserve">ℹ Good interview material</w:t>
      </w:r>
      <w:r>
        <w:rPr>
          <w:color w:val="222222"/>
          <w:sz w:val="21"/>
          <w:szCs w:val="21"/>
        </w:rPr>
        <w:br/>
        <w:t xml:space="preserve">This is a clean example of distinguishing infrastructure failure from business-logic failure at the point where they'd otherwise look identical to a user — and of NOT retrying things that shouldn't be retried (a rejected login must fail immediately, not after 3 silent attempts).</w:t>
      </w:r>
    </w:p>
    <w:p>
      <w:r>
        <w:br w:type="page"/>
      </w:r>
    </w:p>
    <w:p>
      <w:pPr>
        <w:pStyle w:val="Heading1"/>
        <w:pBdr>
          <w:bottom w:val="single" w:color="1F3864" w:sz="8" w:space="5"/>
        </w:pBdr>
        <w:spacing w:after="140" w:before="320"/>
      </w:pPr>
      <w:r>
        <w:rPr>
          <w:b/>
          <w:bCs/>
          <w:color w:val="1F3864"/>
          <w:sz w:val="30"/>
          <w:szCs w:val="30"/>
        </w:rPr>
        <w:t xml:space="preserve">6. Database Schema</w:t>
      </w:r>
    </w:p>
    <w:p>
      <w:pPr>
        <w:spacing w:after="100"/>
      </w:pPr>
      <w:r>
        <w:rPr>
          <w:b w:val="false"/>
          <w:bCs w:val="false"/>
          <w:i w:val="false"/>
          <w:iCs w:val="false"/>
          <w:color w:val="222222"/>
          <w:sz w:val="21"/>
          <w:szCs w:val="21"/>
        </w:rPr>
        <w:t xml:space="preserve">28 tables, grouped by domain. All are Postgres, managed via 43 hand-written SQL migration files (no ORM-driven schema).</w:t>
      </w:r>
    </w:p>
    <w:p>
      <w:pPr>
        <w:pStyle w:val="Heading2"/>
        <w:spacing w:after="90" w:before="220"/>
      </w:pPr>
      <w:r>
        <w:rPr>
          <w:b/>
          <w:bCs/>
          <w:color w:val="2E5395"/>
          <w:sz w:val="24"/>
          <w:szCs w:val="24"/>
        </w:rPr>
        <w:t xml:space="preserve">6.1  Identity &amp; client master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864" w:color="auto" w:val="clear"/>
            <w:tcMar>
              <w:top w:type="dxa" w:w="60"/>
              <w:left w:type="dxa" w:w="90"/>
              <w:bottom w:type="dxa" w:w="60"/>
              <w:right w:type="dxa" w:w="90"/>
            </w:tcMar>
            <w:vAlign w:val="center"/>
          </w:tcPr>
          <w:p>
            <w:r>
              <w:rPr>
                <w:b/>
                <w:bCs/>
                <w:color w:val="FFFFFF"/>
                <w:sz w:val="18"/>
                <w:szCs w:val="18"/>
              </w:rPr>
              <w:t xml:space="preserve">Table</w:t>
            </w:r>
          </w:p>
        </w:tc>
        <w:tc>
          <w:tcPr>
            <w:tcW w:type="dxa" w:w="6226"/>
            <w:shd w:fill="1F3864" w:color="auto" w:val="clear"/>
            <w:tcMar>
              <w:top w:type="dxa" w:w="60"/>
              <w:left w:type="dxa" w:w="90"/>
              <w:bottom w:type="dxa" w:w="60"/>
              <w:right w:type="dxa" w:w="90"/>
            </w:tcMar>
            <w:vAlign w:val="center"/>
          </w:tcPr>
          <w:p>
            <w:r>
              <w:rPr>
                <w:b/>
                <w:bCs/>
                <w:color w:val="FFFFFF"/>
                <w:sz w:val="18"/>
                <w:szCs w:val="18"/>
              </w:rPr>
              <w:t xml:space="preserve">Purpose</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organizations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Every party in the system — Mundra itself and each client — with org_type distinguishing them</w:t>
            </w:r>
          </w:p>
        </w:tc>
      </w:tr>
      <w:tr>
        <w:tc>
          <w:tcPr>
            <w:tcW w:type="dxa" w:w="2800"/>
            <w:shd w:fill="F2F5FA" w:color="auto" w:val="clear"/>
            <w:tcMar>
              <w:top w:type="dxa" w:w="50"/>
              <w:left w:type="dxa" w:w="90"/>
              <w:bottom w:type="dxa" w:w="50"/>
              <w:right w:type="dxa" w:w="90"/>
            </w:tcMar>
            <w:vAlign w:val="center"/>
          </w:tcPr>
          <w:p>
            <w:r>
              <w:rPr>
                <w:color w:val="222222"/>
                <w:sz w:val="18"/>
                <w:szCs w:val="18"/>
              </w:rPr>
              <w:t xml:space="preserve">profiles</w:t>
            </w:r>
          </w:p>
        </w:tc>
        <w:tc>
          <w:tcPr>
            <w:tcW w:type="dxa" w:w="6226"/>
            <w:shd w:fill="F2F5FA" w:color="auto" w:val="clear"/>
            <w:tcMar>
              <w:top w:type="dxa" w:w="50"/>
              <w:left w:type="dxa" w:w="90"/>
              <w:bottom w:type="dxa" w:w="50"/>
              <w:right w:type="dxa" w:w="90"/>
            </w:tcMar>
            <w:vAlign w:val="center"/>
          </w:tcPr>
          <w:p>
            <w:r>
              <w:rPr>
                <w:color w:val="222222"/>
                <w:sz w:val="18"/>
                <w:szCs w:val="18"/>
              </w:rPr>
              <w:t xml:space="preserve">One row per authenticated user, linked to an organization</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user_roles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Many-to-many: a user can hold multiple AppRole values</w:t>
            </w:r>
          </w:p>
        </w:tc>
      </w:tr>
      <w:tr>
        <w:tc>
          <w:tcPr>
            <w:tcW w:type="dxa" w:w="2800"/>
            <w:shd w:fill="F2F5FA" w:color="auto" w:val="clear"/>
            <w:tcMar>
              <w:top w:type="dxa" w:w="50"/>
              <w:left w:type="dxa" w:w="90"/>
              <w:bottom w:type="dxa" w:w="50"/>
              <w:right w:type="dxa" w:w="90"/>
            </w:tcMar>
            <w:vAlign w:val="center"/>
          </w:tcPr>
          <w:p>
            <w:r>
              <w:rPr>
                <w:color w:val="222222"/>
                <w:sz w:val="18"/>
                <w:szCs w:val="18"/>
              </w:rPr>
              <w:t xml:space="preserve">client_commercial_profiles</w:t>
            </w:r>
          </w:p>
        </w:tc>
        <w:tc>
          <w:tcPr>
            <w:tcW w:type="dxa" w:w="6226"/>
            <w:shd w:fill="F2F5FA" w:color="auto" w:val="clear"/>
            <w:tcMar>
              <w:top w:type="dxa" w:w="50"/>
              <w:left w:type="dxa" w:w="90"/>
              <w:bottom w:type="dxa" w:w="50"/>
              <w:right w:type="dxa" w:w="90"/>
            </w:tcMar>
            <w:vAlign w:val="center"/>
          </w:tcPr>
          <w:p>
            <w:r>
              <w:rPr>
                <w:color w:val="222222"/>
                <w:sz w:val="18"/>
                <w:szCs w:val="18"/>
              </w:rPr>
              <w:t xml:space="preserve">Per-client commercial terms: credit_limit, payment_terms_days, grace_period_days, wallet_balance, and the three exposure-calculation toggles</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client_credit_history</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Append-only log of credit limit changes over time</w:t>
            </w:r>
          </w:p>
        </w:tc>
      </w:tr>
      <w:tr>
        <w:tc>
          <w:tcPr>
            <w:tcW w:type="dxa" w:w="2800"/>
            <w:shd w:fill="F2F5FA" w:color="auto" w:val="clear"/>
            <w:tcMar>
              <w:top w:type="dxa" w:w="50"/>
              <w:left w:type="dxa" w:w="90"/>
              <w:bottom w:type="dxa" w:w="50"/>
              <w:right w:type="dxa" w:w="90"/>
            </w:tcMar>
            <w:vAlign w:val="center"/>
          </w:tcPr>
          <w:p>
            <w:r>
              <w:rPr>
                <w:color w:val="222222"/>
                <w:sz w:val="18"/>
                <w:szCs w:val="18"/>
              </w:rPr>
              <w:t xml:space="preserve">client_delivery_locations</w:t>
            </w:r>
          </w:p>
        </w:tc>
        <w:tc>
          <w:tcPr>
            <w:tcW w:type="dxa" w:w="6226"/>
            <w:shd w:fill="F2F5FA" w:color="auto" w:val="clear"/>
            <w:tcMar>
              <w:top w:type="dxa" w:w="50"/>
              <w:left w:type="dxa" w:w="90"/>
              <w:bottom w:type="dxa" w:w="50"/>
              <w:right w:type="dxa" w:w="90"/>
            </w:tcMar>
            <w:vAlign w:val="center"/>
          </w:tcPr>
          <w:p>
            <w:r>
              <w:rPr>
                <w:color w:val="222222"/>
                <w:sz w:val="18"/>
                <w:szCs w:val="18"/>
              </w:rPr>
              <w:t xml:space="preserve">Saved shipping addresses per client</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client_billing_addresses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Saved GST/billing profiles per client</w:t>
            </w:r>
          </w:p>
        </w:tc>
      </w:tr>
      <w:tr>
        <w:tc>
          <w:tcPr>
            <w:tcW w:type="dxa" w:w="2800"/>
            <w:shd w:fill="F2F5FA" w:color="auto" w:val="clear"/>
            <w:tcMar>
              <w:top w:type="dxa" w:w="50"/>
              <w:left w:type="dxa" w:w="90"/>
              <w:bottom w:type="dxa" w:w="50"/>
              <w:right w:type="dxa" w:w="90"/>
            </w:tcMar>
            <w:vAlign w:val="center"/>
          </w:tcPr>
          <w:p>
            <w:r>
              <w:rPr>
                <w:color w:val="222222"/>
                <w:sz w:val="18"/>
                <w:szCs w:val="18"/>
              </w:rPr>
              <w:t xml:space="preserve">client_approved_products</w:t>
            </w:r>
          </w:p>
        </w:tc>
        <w:tc>
          <w:tcPr>
            <w:tcW w:type="dxa" w:w="6226"/>
            <w:shd w:fill="F2F5FA" w:color="auto" w:val="clear"/>
            <w:tcMar>
              <w:top w:type="dxa" w:w="50"/>
              <w:left w:type="dxa" w:w="90"/>
              <w:bottom w:type="dxa" w:w="50"/>
              <w:right w:type="dxa" w:w="90"/>
            </w:tcMar>
            <w:vAlign w:val="center"/>
          </w:tcPr>
          <w:p>
            <w:r>
              <w:rPr>
                <w:color w:val="222222"/>
                <w:sz w:val="18"/>
                <w:szCs w:val="18"/>
              </w:rPr>
              <w:t xml:space="preserve">Which products a client is allowed to order</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client_seals_signatories / client_workflow_settings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Per-client document and workflow configuration</w:t>
            </w:r>
          </w:p>
        </w:tc>
      </w:tr>
    </w:tbl>
    <w:p>
      <w:pPr>
        <w:pStyle w:val="Heading2"/>
        <w:spacing w:after="90" w:before="220"/>
      </w:pPr>
      <w:r>
        <w:rPr>
          <w:b/>
          <w:bCs/>
          <w:color w:val="2E5395"/>
          <w:sz w:val="24"/>
          <w:szCs w:val="24"/>
        </w:rPr>
        <w:t xml:space="preserve">6.2  Catalogue &amp;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864" w:color="auto" w:val="clear"/>
            <w:tcMar>
              <w:top w:type="dxa" w:w="60"/>
              <w:left w:type="dxa" w:w="90"/>
              <w:bottom w:type="dxa" w:w="60"/>
              <w:right w:type="dxa" w:w="90"/>
            </w:tcMar>
            <w:vAlign w:val="center"/>
          </w:tcPr>
          <w:p>
            <w:r>
              <w:rPr>
                <w:b/>
                <w:bCs/>
                <w:color w:val="FFFFFF"/>
                <w:sz w:val="18"/>
                <w:szCs w:val="18"/>
              </w:rPr>
              <w:t xml:space="preserve">Table</w:t>
            </w:r>
          </w:p>
        </w:tc>
        <w:tc>
          <w:tcPr>
            <w:tcW w:type="dxa" w:w="6226"/>
            <w:shd w:fill="1F3864" w:color="auto" w:val="clear"/>
            <w:tcMar>
              <w:top w:type="dxa" w:w="60"/>
              <w:left w:type="dxa" w:w="90"/>
              <w:bottom w:type="dxa" w:w="60"/>
              <w:right w:type="dxa" w:w="90"/>
            </w:tcMar>
            <w:vAlign w:val="center"/>
          </w:tcPr>
          <w:p>
            <w:r>
              <w:rPr>
                <w:b/>
                <w:bCs/>
                <w:color w:val="FFFFFF"/>
                <w:sz w:val="18"/>
                <w:szCs w:val="18"/>
              </w:rPr>
              <w:t xml:space="preserve">Purpose</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products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Cement products — weight/unit, base price, GST rate</w:t>
            </w:r>
          </w:p>
        </w:tc>
      </w:tr>
      <w:tr>
        <w:tc>
          <w:tcPr>
            <w:tcW w:type="dxa" w:w="2800"/>
            <w:shd w:fill="F2F5FA" w:color="auto" w:val="clear"/>
            <w:tcMar>
              <w:top w:type="dxa" w:w="50"/>
              <w:left w:type="dxa" w:w="90"/>
              <w:bottom w:type="dxa" w:w="50"/>
              <w:right w:type="dxa" w:w="90"/>
            </w:tcMar>
            <w:vAlign w:val="center"/>
          </w:tcPr>
          <w:p>
            <w:r>
              <w:rPr>
                <w:color w:val="222222"/>
                <w:sz w:val="18"/>
                <w:szCs w:val="18"/>
              </w:rPr>
              <w:t xml:space="preserve">rates</w:t>
            </w:r>
          </w:p>
        </w:tc>
        <w:tc>
          <w:tcPr>
            <w:tcW w:type="dxa" w:w="6226"/>
            <w:shd w:fill="F2F5FA" w:color="auto" w:val="clear"/>
            <w:tcMar>
              <w:top w:type="dxa" w:w="50"/>
              <w:left w:type="dxa" w:w="90"/>
              <w:bottom w:type="dxa" w:w="50"/>
              <w:right w:type="dxa" w:w="90"/>
            </w:tcMar>
            <w:vAlign w:val="center"/>
          </w:tcPr>
          <w:p>
            <w:r>
              <w:rPr>
                <w:color w:val="222222"/>
                <w:sz w:val="18"/>
                <w:szCs w:val="18"/>
              </w:rPr>
              <w:t xml:space="preserve">Price rules: either generic (organization_id IS NULL, applies to everyone) or a client-specific override, each with an effective date range</w:t>
            </w:r>
          </w:p>
        </w:tc>
      </w:tr>
    </w:tbl>
    <w:p>
      <w:pPr>
        <w:pStyle w:val="Heading2"/>
        <w:spacing w:after="90" w:before="220"/>
      </w:pPr>
      <w:r>
        <w:rPr>
          <w:b/>
          <w:bCs/>
          <w:color w:val="2E5395"/>
          <w:sz w:val="24"/>
          <w:szCs w:val="24"/>
        </w:rPr>
        <w:t xml:space="preserve">6.3  Order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864" w:color="auto" w:val="clear"/>
            <w:tcMar>
              <w:top w:type="dxa" w:w="60"/>
              <w:left w:type="dxa" w:w="90"/>
              <w:bottom w:type="dxa" w:w="60"/>
              <w:right w:type="dxa" w:w="90"/>
            </w:tcMar>
            <w:vAlign w:val="center"/>
          </w:tcPr>
          <w:p>
            <w:r>
              <w:rPr>
                <w:b/>
                <w:bCs/>
                <w:color w:val="FFFFFF"/>
                <w:sz w:val="18"/>
                <w:szCs w:val="18"/>
              </w:rPr>
              <w:t xml:space="preserve">Table</w:t>
            </w:r>
          </w:p>
        </w:tc>
        <w:tc>
          <w:tcPr>
            <w:tcW w:type="dxa" w:w="6226"/>
            <w:shd w:fill="1F3864" w:color="auto" w:val="clear"/>
            <w:tcMar>
              <w:top w:type="dxa" w:w="60"/>
              <w:left w:type="dxa" w:w="90"/>
              <w:bottom w:type="dxa" w:w="60"/>
              <w:right w:type="dxa" w:w="90"/>
            </w:tcMar>
            <w:vAlign w:val="center"/>
          </w:tcPr>
          <w:p>
            <w:r>
              <w:rPr>
                <w:b/>
                <w:bCs/>
                <w:color w:val="FFFFFF"/>
                <w:sz w:val="18"/>
                <w:szCs w:val="18"/>
              </w:rPr>
              <w:t xml:space="preserve">Purpose</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purchase_orders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A client's order header. Retains legacy single-product columns (product_id, locked_rate, original_quantity) for backward compatibility — see §7.3</w:t>
            </w:r>
          </w:p>
        </w:tc>
      </w:tr>
      <w:tr>
        <w:tc>
          <w:tcPr>
            <w:tcW w:type="dxa" w:w="2800"/>
            <w:shd w:fill="F2F5FA" w:color="auto" w:val="clear"/>
            <w:tcMar>
              <w:top w:type="dxa" w:w="50"/>
              <w:left w:type="dxa" w:w="90"/>
              <w:bottom w:type="dxa" w:w="50"/>
              <w:right w:type="dxa" w:w="90"/>
            </w:tcMar>
            <w:vAlign w:val="center"/>
          </w:tcPr>
          <w:p>
            <w:r>
              <w:rPr>
                <w:color w:val="222222"/>
                <w:sz w:val="18"/>
                <w:szCs w:val="18"/>
              </w:rPr>
              <w:t xml:space="preserve">purchase_order_items</w:t>
            </w:r>
          </w:p>
        </w:tc>
        <w:tc>
          <w:tcPr>
            <w:tcW w:type="dxa" w:w="6226"/>
            <w:shd w:fill="F2F5FA" w:color="auto" w:val="clear"/>
            <w:tcMar>
              <w:top w:type="dxa" w:w="50"/>
              <w:left w:type="dxa" w:w="90"/>
              <w:bottom w:type="dxa" w:w="50"/>
              <w:right w:type="dxa" w:w="90"/>
            </w:tcMar>
            <w:vAlign w:val="center"/>
          </w:tcPr>
          <w:p>
            <w:r>
              <w:rPr>
                <w:color w:val="222222"/>
                <w:sz w:val="18"/>
                <w:szCs w:val="18"/>
              </w:rPr>
              <w:t xml:space="preserve">NEW: one row per product on a PO, enabling multi-product orders. Each line has its own quantity and locked rate</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dispatch_requests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A request to release material against ONE specific purchase_order_item; carries its own credit-eligibility result</w:t>
            </w:r>
          </w:p>
        </w:tc>
      </w:tr>
    </w:tbl>
    <w:p>
      <w:pPr>
        <w:pStyle w:val="Heading2"/>
        <w:spacing w:after="90" w:before="220"/>
      </w:pPr>
      <w:r>
        <w:rPr>
          <w:b/>
          <w:bCs/>
          <w:color w:val="2E5395"/>
          <w:sz w:val="24"/>
          <w:szCs w:val="24"/>
        </w:rPr>
        <w:t xml:space="preserve">6.4  Money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864" w:color="auto" w:val="clear"/>
            <w:tcMar>
              <w:top w:type="dxa" w:w="60"/>
              <w:left w:type="dxa" w:w="90"/>
              <w:bottom w:type="dxa" w:w="60"/>
              <w:right w:type="dxa" w:w="90"/>
            </w:tcMar>
            <w:vAlign w:val="center"/>
          </w:tcPr>
          <w:p>
            <w:r>
              <w:rPr>
                <w:b/>
                <w:bCs/>
                <w:color w:val="FFFFFF"/>
                <w:sz w:val="18"/>
                <w:szCs w:val="18"/>
              </w:rPr>
              <w:t xml:space="preserve">Table</w:t>
            </w:r>
          </w:p>
        </w:tc>
        <w:tc>
          <w:tcPr>
            <w:tcW w:type="dxa" w:w="6226"/>
            <w:shd w:fill="1F3864" w:color="auto" w:val="clear"/>
            <w:tcMar>
              <w:top w:type="dxa" w:w="60"/>
              <w:left w:type="dxa" w:w="90"/>
              <w:bottom w:type="dxa" w:w="60"/>
              <w:right w:type="dxa" w:w="90"/>
            </w:tcMar>
            <w:vAlign w:val="center"/>
          </w:tcPr>
          <w:p>
            <w:r>
              <w:rPr>
                <w:b/>
                <w:bCs/>
                <w:color w:val="FFFFFF"/>
                <w:sz w:val="18"/>
                <w:szCs w:val="18"/>
              </w:rPr>
              <w:t xml:space="preserve">Purpose</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invoices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A billable amount raised against a dispatch, or an opening balance carried in at client onboarding (is_opening_balance flag)</w:t>
            </w:r>
          </w:p>
        </w:tc>
      </w:tr>
      <w:tr>
        <w:tc>
          <w:tcPr>
            <w:tcW w:type="dxa" w:w="2800"/>
            <w:shd w:fill="F2F5FA" w:color="auto" w:val="clear"/>
            <w:tcMar>
              <w:top w:type="dxa" w:w="50"/>
              <w:left w:type="dxa" w:w="90"/>
              <w:bottom w:type="dxa" w:w="50"/>
              <w:right w:type="dxa" w:w="90"/>
            </w:tcMar>
            <w:vAlign w:val="center"/>
          </w:tcPr>
          <w:p>
            <w:r>
              <w:rPr>
                <w:color w:val="222222"/>
                <w:sz w:val="18"/>
                <w:szCs w:val="18"/>
              </w:rPr>
              <w:t xml:space="preserve">invoice_allocations</w:t>
            </w:r>
          </w:p>
        </w:tc>
        <w:tc>
          <w:tcPr>
            <w:tcW w:type="dxa" w:w="6226"/>
            <w:shd w:fill="F2F5FA" w:color="auto" w:val="clear"/>
            <w:tcMar>
              <w:top w:type="dxa" w:w="50"/>
              <w:left w:type="dxa" w:w="90"/>
              <w:bottom w:type="dxa" w:w="50"/>
              <w:right w:type="dxa" w:w="90"/>
            </w:tcMar>
            <w:vAlign w:val="center"/>
          </w:tcPr>
          <w:p>
            <w:r>
              <w:rPr>
                <w:color w:val="222222"/>
                <w:sz w:val="18"/>
                <w:szCs w:val="18"/>
              </w:rPr>
              <w:t xml:space="preserve">Many-to-many: how much of a payment settles which invoice, including a tds_amount column</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payments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Every payment in the system — see §6.5, this is the most overloaded table in the schema</w:t>
            </w:r>
          </w:p>
        </w:tc>
      </w:tr>
      <w:tr>
        <w:tc>
          <w:tcPr>
            <w:tcW w:type="dxa" w:w="2800"/>
            <w:shd w:fill="F2F5FA" w:color="auto" w:val="clear"/>
            <w:tcMar>
              <w:top w:type="dxa" w:w="50"/>
              <w:left w:type="dxa" w:w="90"/>
              <w:bottom w:type="dxa" w:w="50"/>
              <w:right w:type="dxa" w:w="90"/>
            </w:tcMar>
            <w:vAlign w:val="center"/>
          </w:tcPr>
          <w:p>
            <w:r>
              <w:rPr>
                <w:color w:val="222222"/>
                <w:sz w:val="18"/>
                <w:szCs w:val="18"/>
              </w:rPr>
              <w:t xml:space="preserve">credit_notes / debit_notes</w:t>
            </w:r>
          </w:p>
        </w:tc>
        <w:tc>
          <w:tcPr>
            <w:tcW w:type="dxa" w:w="6226"/>
            <w:shd w:fill="F2F5FA" w:color="auto" w:val="clear"/>
            <w:tcMar>
              <w:top w:type="dxa" w:w="50"/>
              <w:left w:type="dxa" w:w="90"/>
              <w:bottom w:type="dxa" w:w="50"/>
              <w:right w:type="dxa" w:w="90"/>
            </w:tcMar>
            <w:vAlign w:val="center"/>
          </w:tcPr>
          <w:p>
            <w:r>
              <w:rPr>
                <w:color w:val="222222"/>
                <w:sz w:val="18"/>
                <w:szCs w:val="18"/>
              </w:rPr>
              <w:t xml:space="preserve">Manual adjustments to a client's balance (rate corrections, shortages, penalties, etc.)</w:t>
            </w:r>
          </w:p>
        </w:tc>
      </w:tr>
    </w:tbl>
    <w:p>
      <w:pPr>
        <w:pStyle w:val="Heading2"/>
        <w:spacing w:after="90" w:before="220"/>
      </w:pPr>
      <w:r>
        <w:rPr>
          <w:b/>
          <w:bCs/>
          <w:color w:val="2E5395"/>
          <w:sz w:val="24"/>
          <w:szCs w:val="24"/>
        </w:rPr>
        <w:t xml:space="preserve">6.5  The payments table — one table, three money flows</w:t>
      </w:r>
    </w:p>
    <w:p>
      <w:pPr>
        <w:spacing w:after="100"/>
      </w:pPr>
      <w:r>
        <w:rPr>
          <w:b w:val="false"/>
          <w:bCs w:val="false"/>
          <w:i w:val="false"/>
          <w:iCs w:val="false"/>
          <w:color w:val="222222"/>
          <w:sz w:val="21"/>
          <w:szCs w:val="21"/>
        </w:rPr>
        <w:t xml:space="preserve">A single row shape is reused for every kind of payment, disambiguated by boolean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shd w:fill="1F3864" w:color="auto" w:val="clear"/>
            <w:tcMar>
              <w:top w:type="dxa" w:w="60"/>
              <w:left w:type="dxa" w:w="90"/>
              <w:bottom w:type="dxa" w:w="60"/>
              <w:right w:type="dxa" w:w="90"/>
            </w:tcMar>
            <w:vAlign w:val="center"/>
          </w:tcPr>
          <w:p>
            <w:r>
              <w:rPr>
                <w:b/>
                <w:bCs/>
                <w:color w:val="FFFFFF"/>
                <w:sz w:val="18"/>
                <w:szCs w:val="18"/>
              </w:rPr>
              <w:t xml:space="preserve">Flag combination</w:t>
            </w:r>
          </w:p>
        </w:tc>
        <w:tc>
          <w:tcPr>
            <w:tcW w:type="dxa" w:w="5126"/>
            <w:shd w:fill="1F3864" w:color="auto" w:val="clear"/>
            <w:tcMar>
              <w:top w:type="dxa" w:w="60"/>
              <w:left w:type="dxa" w:w="90"/>
              <w:bottom w:type="dxa" w:w="60"/>
              <w:right w:type="dxa" w:w="90"/>
            </w:tcMar>
            <w:vAlign w:val="center"/>
          </w:tcPr>
          <w:p>
            <w:r>
              <w:rPr>
                <w:b/>
                <w:bCs/>
                <w:color w:val="FFFFFF"/>
                <w:sz w:val="18"/>
                <w:szCs w:val="18"/>
              </w:rPr>
              <w:t xml:space="preserve">Means</w:t>
            </w:r>
          </w:p>
        </w:tc>
      </w:tr>
      <w:tr>
        <w:tc>
          <w:tcPr>
            <w:tcW w:type="dxa" w:w="3900"/>
            <w:shd w:fill="FFFFFF" w:color="auto" w:val="clear"/>
            <w:tcMar>
              <w:top w:type="dxa" w:w="50"/>
              <w:left w:type="dxa" w:w="90"/>
              <w:bottom w:type="dxa" w:w="50"/>
              <w:right w:type="dxa" w:w="90"/>
            </w:tcMar>
            <w:vAlign w:val="center"/>
          </w:tcPr>
          <w:p>
            <w:r>
              <w:rPr>
                <w:color w:val="222222"/>
                <w:sz w:val="18"/>
                <w:szCs w:val="18"/>
              </w:rPr>
              <w:t xml:space="preserve">is_utcl_payment = false</w:t>
            </w:r>
          </w:p>
        </w:tc>
        <w:tc>
          <w:tcPr>
            <w:tcW w:type="dxa" w:w="5126"/>
            <w:shd w:fill="FFFFFF" w:color="auto" w:val="clear"/>
            <w:tcMar>
              <w:top w:type="dxa" w:w="50"/>
              <w:left w:type="dxa" w:w="90"/>
              <w:bottom w:type="dxa" w:w="50"/>
              <w:right w:type="dxa" w:w="90"/>
            </w:tcMar>
            <w:vAlign w:val="center"/>
          </w:tcPr>
          <w:p>
            <w:r>
              <w:rPr>
                <w:color w:val="222222"/>
                <w:sz w:val="18"/>
                <w:szCs w:val="18"/>
              </w:rPr>
              <w:t xml:space="preserve">Client → Mundra Brothers (a client reporting a bank transfer to Mundra)</w:t>
            </w:r>
          </w:p>
        </w:tc>
      </w:tr>
      <w:tr>
        <w:tc>
          <w:tcPr>
            <w:tcW w:type="dxa" w:w="3900"/>
            <w:shd w:fill="F2F5FA" w:color="auto" w:val="clear"/>
            <w:tcMar>
              <w:top w:type="dxa" w:w="50"/>
              <w:left w:type="dxa" w:w="90"/>
              <w:bottom w:type="dxa" w:w="50"/>
              <w:right w:type="dxa" w:w="90"/>
            </w:tcMar>
            <w:vAlign w:val="center"/>
          </w:tcPr>
          <w:p>
            <w:r>
              <w:rPr>
                <w:color w:val="222222"/>
                <w:sz w:val="18"/>
                <w:szCs w:val="18"/>
              </w:rPr>
              <w:t xml:space="preserve">is_utcl_payment = true, is_client_to_utcl = false</w:t>
            </w:r>
          </w:p>
        </w:tc>
        <w:tc>
          <w:tcPr>
            <w:tcW w:type="dxa" w:w="5126"/>
            <w:shd w:fill="F2F5FA" w:color="auto" w:val="clear"/>
            <w:tcMar>
              <w:top w:type="dxa" w:w="50"/>
              <w:left w:type="dxa" w:w="90"/>
              <w:bottom w:type="dxa" w:w="50"/>
              <w:right w:type="dxa" w:w="90"/>
            </w:tcMar>
            <w:vAlign w:val="center"/>
          </w:tcPr>
          <w:p>
            <w:r>
              <w:rPr>
                <w:color w:val="222222"/>
                <w:sz w:val="18"/>
                <w:szCs w:val="18"/>
              </w:rPr>
              <w:t xml:space="preserve">Mundra → UTCL (Mundra paying the cement supplier)</w:t>
            </w:r>
          </w:p>
        </w:tc>
      </w:tr>
      <w:tr>
        <w:tc>
          <w:tcPr>
            <w:tcW w:type="dxa" w:w="3900"/>
            <w:shd w:fill="FFFFFF" w:color="auto" w:val="clear"/>
            <w:tcMar>
              <w:top w:type="dxa" w:w="50"/>
              <w:left w:type="dxa" w:w="90"/>
              <w:bottom w:type="dxa" w:w="50"/>
              <w:right w:type="dxa" w:w="90"/>
            </w:tcMar>
            <w:vAlign w:val="center"/>
          </w:tcPr>
          <w:p>
            <w:r>
              <w:rPr>
                <w:color w:val="222222"/>
                <w:sz w:val="18"/>
                <w:szCs w:val="18"/>
              </w:rPr>
              <w:t xml:space="preserve">is_utcl_payment = true, is_client_to_utcl = true</w:t>
            </w:r>
          </w:p>
        </w:tc>
        <w:tc>
          <w:tcPr>
            <w:tcW w:type="dxa" w:w="5126"/>
            <w:shd w:fill="FFFFFF" w:color="auto" w:val="clear"/>
            <w:tcMar>
              <w:top w:type="dxa" w:w="50"/>
              <w:left w:type="dxa" w:w="90"/>
              <w:bottom w:type="dxa" w:w="50"/>
              <w:right w:type="dxa" w:w="90"/>
            </w:tcMar>
            <w:vAlign w:val="center"/>
          </w:tcPr>
          <w:p>
            <w:r>
              <w:rPr>
                <w:color w:val="222222"/>
                <w:sz w:val="18"/>
                <w:szCs w:val="18"/>
              </w:rPr>
              <w:t xml:space="preserve">Client → UTCL (client paying the supplier directly)</w:t>
            </w:r>
          </w:p>
        </w:tc>
      </w:tr>
      <w:tr>
        <w:tc>
          <w:tcPr>
            <w:tcW w:type="dxa" w:w="3900"/>
            <w:shd w:fill="F2F5FA" w:color="auto" w:val="clear"/>
            <w:tcMar>
              <w:top w:type="dxa" w:w="50"/>
              <w:left w:type="dxa" w:w="90"/>
              <w:bottom w:type="dxa" w:w="50"/>
              <w:right w:type="dxa" w:w="90"/>
            </w:tcMar>
            <w:vAlign w:val="center"/>
          </w:tcPr>
          <w:p>
            <w:r>
              <w:rPr>
                <w:color w:val="222222"/>
                <w:sz w:val="18"/>
                <w:szCs w:val="18"/>
              </w:rPr>
              <w:t xml:space="preserve">is_advance = true</w:t>
            </w:r>
          </w:p>
        </w:tc>
        <w:tc>
          <w:tcPr>
            <w:tcW w:type="dxa" w:w="5126"/>
            <w:shd w:fill="F2F5FA" w:color="auto" w:val="clear"/>
            <w:tcMar>
              <w:top w:type="dxa" w:w="50"/>
              <w:left w:type="dxa" w:w="90"/>
              <w:bottom w:type="dxa" w:w="50"/>
              <w:right w:type="dxa" w:w="90"/>
            </w:tcMar>
            <w:vAlign w:val="center"/>
          </w:tcPr>
          <w:p>
            <w:r>
              <w:rPr>
                <w:color w:val="222222"/>
                <w:sz w:val="18"/>
                <w:szCs w:val="18"/>
              </w:rPr>
              <w:t xml:space="preserve">The payment isn't tied to a specific invoice yet</w:t>
            </w:r>
          </w:p>
        </w:tc>
      </w:tr>
    </w:tbl>
    <w:p>
      <w:pPr>
        <w:pBdr>
          <w:top w:val="single" w:color="B7791F" w:sz="4" w:space="4"/>
          <w:bottom w:val="single" w:color="B7791F" w:sz="4" w:space="4"/>
          <w:left w:val="single" w:color="B7791F" w:sz="22" w:space="10"/>
          <w:right w:val="single" w:color="B7791F" w:sz="4" w:space="4"/>
        </w:pBdr>
        <w:shd w:fill="FFF4CE" w:color="auto" w:val="clear"/>
        <w:spacing w:after="140" w:before="100"/>
      </w:pPr>
      <w:r>
        <w:rPr>
          <w:b/>
          <w:bCs/>
          <w:color w:val="222222"/>
          <w:sz w:val="21"/>
          <w:szCs w:val="21"/>
        </w:rPr>
        <w:t xml:space="preserve">⚠ The recurring source of bugs in this project</w:t>
      </w:r>
      <w:r>
        <w:rPr>
          <w:color w:val="222222"/>
          <w:sz w:val="21"/>
          <w:szCs w:val="21"/>
        </w:rPr>
        <w:br/>
        <w:t xml:space="preserve">Three separate money flows sharing one table, distinguished only by two booleans, is powerful but easy to query wrong. Nearly every refund-letter bug fixed during this project's later sessions traced back to a query that filtered on the wrong flag combination, or followed only one of several ways a payment can link back to a dispatch/invoice. If asked "what would you change," this table is the honest answer — see §12.</w:t>
      </w:r>
    </w:p>
    <w:p>
      <w:pPr>
        <w:pStyle w:val="Heading2"/>
        <w:spacing w:after="90" w:before="220"/>
      </w:pPr>
      <w:r>
        <w:rPr>
          <w:b/>
          <w:bCs/>
          <w:color w:val="2E5395"/>
          <w:sz w:val="24"/>
          <w:szCs w:val="24"/>
        </w:rPr>
        <w:t xml:space="preserve">6.6  Compliance &amp;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864" w:color="auto" w:val="clear"/>
            <w:tcMar>
              <w:top w:type="dxa" w:w="60"/>
              <w:left w:type="dxa" w:w="90"/>
              <w:bottom w:type="dxa" w:w="60"/>
              <w:right w:type="dxa" w:w="90"/>
            </w:tcMar>
            <w:vAlign w:val="center"/>
          </w:tcPr>
          <w:p>
            <w:r>
              <w:rPr>
                <w:b/>
                <w:bCs/>
                <w:color w:val="FFFFFF"/>
                <w:sz w:val="18"/>
                <w:szCs w:val="18"/>
              </w:rPr>
              <w:t xml:space="preserve">Table</w:t>
            </w:r>
          </w:p>
        </w:tc>
        <w:tc>
          <w:tcPr>
            <w:tcW w:type="dxa" w:w="6226"/>
            <w:shd w:fill="1F3864" w:color="auto" w:val="clear"/>
            <w:tcMar>
              <w:top w:type="dxa" w:w="60"/>
              <w:left w:type="dxa" w:w="90"/>
              <w:bottom w:type="dxa" w:w="60"/>
              <w:right w:type="dxa" w:w="90"/>
            </w:tcMar>
            <w:vAlign w:val="center"/>
          </w:tcPr>
          <w:p>
            <w:r>
              <w:rPr>
                <w:b/>
                <w:bCs/>
                <w:color w:val="FFFFFF"/>
                <w:sz w:val="18"/>
                <w:szCs w:val="18"/>
              </w:rPr>
              <w:t xml:space="preserve">Purpose</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balance_confirmations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Quarterly "please confirm your outstanding balance" letters sent to clients, and their signed responses</w:t>
            </w:r>
          </w:p>
        </w:tc>
      </w:tr>
      <w:tr>
        <w:tc>
          <w:tcPr>
            <w:tcW w:type="dxa" w:w="2800"/>
            <w:shd w:fill="F2F5FA" w:color="auto" w:val="clear"/>
            <w:tcMar>
              <w:top w:type="dxa" w:w="50"/>
              <w:left w:type="dxa" w:w="90"/>
              <w:bottom w:type="dxa" w:w="50"/>
              <w:right w:type="dxa" w:w="90"/>
            </w:tcMar>
            <w:vAlign w:val="center"/>
          </w:tcPr>
          <w:p>
            <w:r>
              <w:rPr>
                <w:color w:val="222222"/>
                <w:sz w:val="18"/>
                <w:szCs w:val="18"/>
              </w:rPr>
              <w:t xml:space="preserve">refund_letters</w:t>
            </w:r>
          </w:p>
        </w:tc>
        <w:tc>
          <w:tcPr>
            <w:tcW w:type="dxa" w:w="6226"/>
            <w:shd w:fill="F2F5FA" w:color="auto" w:val="clear"/>
            <w:tcMar>
              <w:top w:type="dxa" w:w="50"/>
              <w:left w:type="dxa" w:w="90"/>
              <w:bottom w:type="dxa" w:w="50"/>
              <w:right w:type="dxa" w:w="90"/>
            </w:tcMar>
            <w:vAlign w:val="center"/>
          </w:tcPr>
          <w:p>
            <w:r>
              <w:rPr>
                <w:color w:val="222222"/>
                <w:sz w:val="18"/>
                <w:szCs w:val="18"/>
              </w:rPr>
              <w:t xml:space="preserve">Records of the "Finance Scheme Refund Claim" letters Mundra sends to UTCL, with per-invoice allocation</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utcl_refund_letters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Tracks what UTCL has actually refunded back, reconciled against reference_number</w:t>
            </w:r>
          </w:p>
        </w:tc>
      </w:tr>
      <w:tr>
        <w:tc>
          <w:tcPr>
            <w:tcW w:type="dxa" w:w="2800"/>
            <w:shd w:fill="F2F5FA" w:color="auto" w:val="clear"/>
            <w:tcMar>
              <w:top w:type="dxa" w:w="50"/>
              <w:left w:type="dxa" w:w="90"/>
              <w:bottom w:type="dxa" w:w="50"/>
              <w:right w:type="dxa" w:w="90"/>
            </w:tcMar>
            <w:vAlign w:val="center"/>
          </w:tcPr>
          <w:p>
            <w:r>
              <w:rPr>
                <w:color w:val="222222"/>
                <w:sz w:val="18"/>
                <w:szCs w:val="18"/>
              </w:rPr>
              <w:t xml:space="preserve">po_formats</w:t>
            </w:r>
          </w:p>
        </w:tc>
        <w:tc>
          <w:tcPr>
            <w:tcW w:type="dxa" w:w="6226"/>
            <w:shd w:fill="F2F5FA" w:color="auto" w:val="clear"/>
            <w:tcMar>
              <w:top w:type="dxa" w:w="50"/>
              <w:left w:type="dxa" w:w="90"/>
              <w:bottom w:type="dxa" w:w="50"/>
              <w:right w:type="dxa" w:w="90"/>
            </w:tcMar>
            <w:vAlign w:val="center"/>
          </w:tcPr>
          <w:p>
            <w:r>
              <w:rPr>
                <w:color w:val="222222"/>
                <w:sz w:val="18"/>
                <w:szCs w:val="18"/>
              </w:rPr>
              <w:t xml:space="preserve">Per-client letterhead + template text used when generating a PO document on a client's behalf</w:t>
            </w:r>
          </w:p>
        </w:tc>
      </w:tr>
      <w:tr>
        <w:tc>
          <w:tcPr>
            <w:tcW w:type="dxa" w:w="2800"/>
            <w:shd w:fill="FFFFFF" w:color="auto" w:val="clear"/>
            <w:tcMar>
              <w:top w:type="dxa" w:w="50"/>
              <w:left w:type="dxa" w:w="90"/>
              <w:bottom w:type="dxa" w:w="50"/>
              <w:right w:type="dxa" w:w="90"/>
            </w:tcMar>
            <w:vAlign w:val="center"/>
          </w:tcPr>
          <w:p>
            <w:r>
              <w:rPr>
                <w:color w:val="222222"/>
                <w:sz w:val="18"/>
                <w:szCs w:val="18"/>
              </w:rPr>
              <w:t xml:space="preserve">special_approvals</w:t>
            </w:r>
          </w:p>
        </w:tc>
        <w:tc>
          <w:tcPr>
            <w:tcW w:type="dxa" w:w="6226"/>
            <w:shd w:fill="FFFFFF" w:color="auto" w:val="clear"/>
            <w:tcMar>
              <w:top w:type="dxa" w:w="50"/>
              <w:left w:type="dxa" w:w="90"/>
              <w:bottom w:type="dxa" w:w="50"/>
              <w:right w:type="dxa" w:w="90"/>
            </w:tcMar>
            <w:vAlign w:val="center"/>
          </w:tcPr>
          <w:p>
            <w:r>
              <w:rPr>
                <w:color w:val="222222"/>
                <w:sz w:val="18"/>
                <w:szCs w:val="18"/>
              </w:rPr>
              <w:t xml:space="preserve">Manual overrides that bypass a specific automated credit-control check for a client</w:t>
            </w:r>
          </w:p>
        </w:tc>
      </w:tr>
      <w:tr>
        <w:tc>
          <w:tcPr>
            <w:tcW w:type="dxa" w:w="2800"/>
            <w:shd w:fill="F2F5FA" w:color="auto" w:val="clear"/>
            <w:tcMar>
              <w:top w:type="dxa" w:w="50"/>
              <w:left w:type="dxa" w:w="90"/>
              <w:bottom w:type="dxa" w:w="50"/>
              <w:right w:type="dxa" w:w="90"/>
            </w:tcMar>
            <w:vAlign w:val="center"/>
          </w:tcPr>
          <w:p>
            <w:r>
              <w:rPr>
                <w:color w:val="222222"/>
                <w:sz w:val="18"/>
                <w:szCs w:val="18"/>
              </w:rPr>
              <w:t xml:space="preserve">issues</w:t>
            </w:r>
          </w:p>
        </w:tc>
        <w:tc>
          <w:tcPr>
            <w:tcW w:type="dxa" w:w="6226"/>
            <w:shd w:fill="F2F5FA" w:color="auto" w:val="clear"/>
            <w:tcMar>
              <w:top w:type="dxa" w:w="50"/>
              <w:left w:type="dxa" w:w="90"/>
              <w:bottom w:type="dxa" w:w="50"/>
              <w:right w:type="dxa" w:w="90"/>
            </w:tcMar>
            <w:vAlign w:val="center"/>
          </w:tcPr>
          <w:p>
            <w:r>
              <w:rPr>
                <w:color w:val="222222"/>
                <w:sz w:val="18"/>
                <w:szCs w:val="18"/>
              </w:rPr>
              <w:t xml:space="preserve">General support/issue tracking</w:t>
            </w:r>
          </w:p>
        </w:tc>
      </w:tr>
    </w:tbl>
    <w:p>
      <w:pPr>
        <w:pStyle w:val="Heading2"/>
        <w:spacing w:after="90" w:before="220"/>
      </w:pPr>
      <w:r>
        <w:rPr>
          <w:b/>
          <w:bCs/>
          <w:color w:val="2E5395"/>
          <w:sz w:val="24"/>
          <w:szCs w:val="24"/>
        </w:rPr>
        <w:t xml:space="preserve">6.7  System</w:t>
      </w:r>
    </w:p>
    <w:p>
      <w:pPr>
        <w:pStyle w:val="ListParagraph"/>
        <w:numPr>
          <w:ilvl w:val="0"/>
          <w:numId w:val="2"/>
        </w:numPr>
        <w:spacing w:after="55"/>
      </w:pPr>
      <w:r>
        <w:rPr>
          <w:b/>
          <w:bCs/>
          <w:color w:val="222222"/>
          <w:sz w:val="21"/>
          <w:szCs w:val="21"/>
        </w:rPr>
        <w:t xml:space="preserve">audit_logs — </w:t>
      </w:r>
      <w:r>
        <w:rPr>
          <w:color w:val="222222"/>
          <w:sz w:val="21"/>
          <w:szCs w:val="21"/>
        </w:rPr>
        <w:t xml:space="preserve">Immutable log of who changed what, with before/after JSON — written by createAuditLog() on nearly every mutation</w:t>
      </w:r>
    </w:p>
    <w:p>
      <w:pPr>
        <w:pStyle w:val="ListParagraph"/>
        <w:numPr>
          <w:ilvl w:val="0"/>
          <w:numId w:val="2"/>
        </w:numPr>
        <w:spacing w:after="55"/>
      </w:pPr>
      <w:r>
        <w:rPr>
          <w:b/>
          <w:bCs/>
          <w:color w:val="222222"/>
          <w:sz w:val="21"/>
          <w:szCs w:val="21"/>
        </w:rPr>
        <w:t xml:space="preserve">notifications — </w:t>
      </w:r>
      <w:r>
        <w:rPr>
          <w:color w:val="222222"/>
          <w:sz w:val="21"/>
          <w:szCs w:val="21"/>
        </w:rPr>
        <w:t xml:space="preserve">In-app notifications broadcast to a client org or to Mundra staff on key events (PO approved, dispatch blocked, etc.)</w:t>
      </w:r>
    </w:p>
    <w:p>
      <w:r>
        <w:br w:type="page"/>
      </w:r>
    </w:p>
    <w:p>
      <w:pPr>
        <w:pStyle w:val="Heading1"/>
        <w:pBdr>
          <w:bottom w:val="single" w:color="1F3864" w:sz="8" w:space="5"/>
        </w:pBdr>
        <w:spacing w:after="140" w:before="320"/>
      </w:pPr>
      <w:r>
        <w:rPr>
          <w:b/>
          <w:bCs/>
          <w:color w:val="1F3864"/>
          <w:sz w:val="30"/>
          <w:szCs w:val="30"/>
        </w:rPr>
        <w:t xml:space="preserve">7. Core Business Logic</w:t>
      </w:r>
    </w:p>
    <w:p>
      <w:pPr>
        <w:spacing w:after="130"/>
      </w:pPr>
      <w:r>
        <w:rPr>
          <w:i/>
          <w:iCs/>
          <w:color w:val="5B5B5B"/>
          <w:sz w:val="21"/>
          <w:szCs w:val="21"/>
        </w:rPr>
        <w:t xml:space="preserve">This is the part of the system actually worth explaining in depth in an interview — the CRUD is standard, this is not.</w:t>
      </w:r>
    </w:p>
    <w:p>
      <w:pPr>
        <w:pStyle w:val="Heading2"/>
        <w:spacing w:after="90" w:before="220"/>
      </w:pPr>
      <w:r>
        <w:rPr>
          <w:b/>
          <w:bCs/>
          <w:color w:val="2E5395"/>
          <w:sz w:val="24"/>
          <w:szCs w:val="24"/>
        </w:rPr>
        <w:t xml:space="preserve">7.1  Credit exposure calculation</w:t>
      </w:r>
    </w:p>
    <w:p>
      <w:pPr>
        <w:spacing w:after="100"/>
      </w:pPr>
      <w:r>
        <w:rPr>
          <w:b w:val="false"/>
          <w:bCs w:val="false"/>
          <w:i w:val="false"/>
          <w:iCs w:val="false"/>
          <w:color w:val="222222"/>
          <w:sz w:val="21"/>
          <w:szCs w:val="21"/>
        </w:rPr>
        <w:t xml:space="preserve">"Exposure" is how much of a client's approved credit limit is currently at risk. It is configurable per client because different clients' contracts count risk differently:</w:t>
      </w:r>
    </w:p>
    <w:p>
      <w:pPr>
        <w:spacing w:after="20" w:before="100"/>
      </w:pPr>
      <w:r>
        <w:rPr>
          <w:i/>
          <w:iCs/>
          <w:color w:val="5B5B5B"/>
          <w:sz w:val="18"/>
          <w:szCs w:val="18"/>
        </w:rPr>
        <w:t xml:space="preserve">src/lib/api/business.functions.ts</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export function calculateClientExposure(</w:t>
      </w:r>
      <w:r>
        <w:rPr>
          <w:rFonts w:ascii="Consolas" w:cs="Consolas" w:eastAsia="Consolas" w:hAnsi="Consolas"/>
          <w:color w:val="18181B"/>
          <w:sz w:val="17"/>
          <w:szCs w:val="17"/>
        </w:rPr>
        <w:br/>
        <w:t xml:space="preserve">  profile: any,</w:t>
      </w:r>
      <w:r>
        <w:rPr>
          <w:rFonts w:ascii="Consolas" w:cs="Consolas" w:eastAsia="Consolas" w:hAnsi="Consolas"/>
          <w:color w:val="18181B"/>
          <w:sz w:val="17"/>
          <w:szCs w:val="17"/>
        </w:rPr>
        <w:br/>
        <w:t xml:space="preserve">  totalInvoicesValue: number,</w:t>
      </w:r>
      <w:r>
        <w:rPr>
          <w:rFonts w:ascii="Consolas" w:cs="Consolas" w:eastAsia="Consolas" w:hAnsi="Consolas"/>
          <w:color w:val="18181B"/>
          <w:sz w:val="17"/>
          <w:szCs w:val="17"/>
        </w:rPr>
        <w:br/>
        <w:t xml:space="preserve">  totalPaymentsValue: number,</w:t>
      </w:r>
      <w:r>
        <w:rPr>
          <w:rFonts w:ascii="Consolas" w:cs="Consolas" w:eastAsia="Consolas" w:hAnsi="Consolas"/>
          <w:color w:val="18181B"/>
          <w:sz w:val="17"/>
          <w:szCs w:val="17"/>
        </w:rPr>
        <w:br/>
        <w:t xml:space="preserve">  activeDispatchesValue: number,</w:t>
      </w:r>
      <w:r>
        <w:rPr>
          <w:rFonts w:ascii="Consolas" w:cs="Consolas" w:eastAsia="Consolas" w:hAnsi="Consolas"/>
          <w:color w:val="18181B"/>
          <w:sz w:val="17"/>
          <w:szCs w:val="17"/>
        </w:rPr>
        <w:br/>
        <w:t xml:space="preserve">  undispatchedPOsValue: number = 0</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const includeInvoices = profile?.include_unpaid_invoices ?? true;</w:t>
      </w:r>
      <w:r>
        <w:rPr>
          <w:rFonts w:ascii="Consolas" w:cs="Consolas" w:eastAsia="Consolas" w:hAnsi="Consolas"/>
          <w:color w:val="18181B"/>
          <w:sz w:val="17"/>
          <w:szCs w:val="17"/>
        </w:rPr>
        <w:br/>
        <w:t xml:space="preserve">  const includeDispatched = profile?.include_dispatched_unbilled ?? true;</w:t>
      </w:r>
      <w:r>
        <w:rPr>
          <w:rFonts w:ascii="Consolas" w:cs="Consolas" w:eastAsia="Consolas" w:hAnsi="Consolas"/>
          <w:color w:val="18181B"/>
          <w:sz w:val="17"/>
          <w:szCs w:val="17"/>
        </w:rPr>
        <w:br/>
        <w:t xml:space="preserve">  const includeUndispatched = profile?.include_undispatched_pos ?? false;</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const invoiceBalance = totalInvoicesValue - totalPaymentsValue;</w:t>
      </w:r>
      <w:r>
        <w:rPr>
          <w:rFonts w:ascii="Consolas" w:cs="Consolas" w:eastAsia="Consolas" w:hAnsi="Consolas"/>
          <w:color w:val="18181B"/>
          <w:sz w:val="17"/>
          <w:szCs w:val="17"/>
        </w:rPr>
        <w:br/>
        <w:t xml:space="preserve">  let exposure = 0;</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if (invoiceBalance &gt; 0) {</w:t>
      </w:r>
      <w:r>
        <w:rPr>
          <w:rFonts w:ascii="Consolas" w:cs="Consolas" w:eastAsia="Consolas" w:hAnsi="Consolas"/>
          <w:color w:val="18181B"/>
          <w:sz w:val="17"/>
          <w:szCs w:val="17"/>
        </w:rPr>
        <w:br/>
        <w:t xml:space="preserve">    if (includeInvoices) exposure += invoiceBalance;</w:t>
      </w:r>
      <w:r>
        <w:rPr>
          <w:rFonts w:ascii="Consolas" w:cs="Consolas" w:eastAsia="Consolas" w:hAnsi="Consolas"/>
          <w:color w:val="18181B"/>
          <w:sz w:val="17"/>
          <w:szCs w:val="17"/>
        </w:rPr>
        <w:br/>
        <w:t xml:space="preserve">  } else {</w:t>
      </w:r>
      <w:r>
        <w:rPr>
          <w:rFonts w:ascii="Consolas" w:cs="Consolas" w:eastAsia="Consolas" w:hAnsi="Consolas"/>
          <w:color w:val="18181B"/>
          <w:sz w:val="17"/>
          <w:szCs w:val="17"/>
        </w:rPr>
        <w:br/>
        <w:t xml:space="preserve">    exposure += invoiceBalance;   // a credit balance always reduces exposure</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if (includeDispatched) exposure += activeDispatchesValue;</w:t>
      </w:r>
      <w:r>
        <w:rPr>
          <w:rFonts w:ascii="Consolas" w:cs="Consolas" w:eastAsia="Consolas" w:hAnsi="Consolas"/>
          <w:color w:val="18181B"/>
          <w:sz w:val="17"/>
          <w:szCs w:val="17"/>
        </w:rPr>
        <w:br/>
        <w:t xml:space="preserve">  if (includeUndispatched) exposure += undispatchedPOsValue;</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return Math.max(0, exposure);</w:t>
      </w:r>
      <w:r>
        <w:rPr>
          <w:rFonts w:ascii="Consolas" w:cs="Consolas" w:eastAsia="Consolas" w:hAnsi="Consolas"/>
          <w:color w:val="18181B"/>
          <w:sz w:val="17"/>
          <w:szCs w:val="17"/>
        </w:rPr>
        <w:br/>
        <w:t xml:space="preserve">}</w:t>
      </w:r>
    </w:p>
    <w:p>
      <w:pPr>
        <w:pStyle w:val="ListParagraph"/>
        <w:numPr>
          <w:ilvl w:val="0"/>
          <w:numId w:val="2"/>
        </w:numPr>
        <w:spacing w:after="55"/>
      </w:pPr>
      <w:r>
        <w:rPr>
          <w:b/>
          <w:bCs/>
          <w:color w:val="222222"/>
          <w:sz w:val="21"/>
          <w:szCs w:val="21"/>
        </w:rPr>
        <w:t xml:space="preserve">include_unpaid_invoices — </w:t>
      </w:r>
      <w:r>
        <w:rPr>
          <w:color w:val="222222"/>
          <w:sz w:val="21"/>
          <w:szCs w:val="21"/>
        </w:rPr>
        <w:t xml:space="preserve">count unbilled/unpaid invoice value toward exposure (default on)</w:t>
      </w:r>
    </w:p>
    <w:p>
      <w:pPr>
        <w:pStyle w:val="ListParagraph"/>
        <w:numPr>
          <w:ilvl w:val="0"/>
          <w:numId w:val="2"/>
        </w:numPr>
        <w:spacing w:after="55"/>
      </w:pPr>
      <w:r>
        <w:rPr>
          <w:b/>
          <w:bCs/>
          <w:color w:val="222222"/>
          <w:sz w:val="21"/>
          <w:szCs w:val="21"/>
        </w:rPr>
        <w:t xml:space="preserve">include_dispatched_unbilled — </w:t>
      </w:r>
      <w:r>
        <w:rPr>
          <w:color w:val="222222"/>
          <w:sz w:val="21"/>
          <w:szCs w:val="21"/>
        </w:rPr>
        <w:t xml:space="preserve">count material already dispatched but not yet invoiced (default on)</w:t>
      </w:r>
    </w:p>
    <w:p>
      <w:pPr>
        <w:pStyle w:val="ListParagraph"/>
        <w:numPr>
          <w:ilvl w:val="0"/>
          <w:numId w:val="2"/>
        </w:numPr>
        <w:spacing w:after="55"/>
      </w:pPr>
      <w:r>
        <w:rPr>
          <w:b/>
          <w:bCs/>
          <w:color w:val="222222"/>
          <w:sz w:val="21"/>
          <w:szCs w:val="21"/>
        </w:rPr>
        <w:t xml:space="preserve">include_undispatched_pos — </w:t>
      </w:r>
      <w:r>
        <w:rPr>
          <w:color w:val="222222"/>
          <w:sz w:val="21"/>
          <w:szCs w:val="21"/>
        </w:rPr>
        <w:t xml:space="preserve">count the remaining value of approved-but-undispatched POs (default OFF — the more conservative-for-the-client setting)</w:t>
      </w:r>
    </w:p>
    <w:p>
      <w:pPr>
        <w:spacing w:after="100"/>
      </w:pPr>
      <w:r>
        <w:rPr>
          <w:b w:val="false"/>
          <w:bCs w:val="false"/>
          <w:i/>
          <w:iCs/>
          <w:color w:val="222222"/>
          <w:sz w:val="21"/>
          <w:szCs w:val="21"/>
        </w:rPr>
        <w:t xml:space="preserve">A negative invoice balance (client is in credit) always reduces exposure regardless of the toggle — that branch is intentional, not a bug.</w:t>
      </w:r>
    </w:p>
    <w:p>
      <w:pPr>
        <w:pStyle w:val="Heading2"/>
        <w:spacing w:after="90" w:before="220"/>
      </w:pPr>
      <w:r>
        <w:rPr>
          <w:b/>
          <w:bCs/>
          <w:color w:val="2E5395"/>
          <w:sz w:val="24"/>
          <w:szCs w:val="24"/>
        </w:rPr>
        <w:t xml:space="preserve">7.2  Automated dispatch eligibility (credit control gate)</w:t>
      </w:r>
    </w:p>
    <w:p>
      <w:pPr>
        <w:spacing w:after="100"/>
      </w:pPr>
      <w:r>
        <w:rPr>
          <w:b w:val="false"/>
          <w:bCs w:val="false"/>
          <w:i w:val="false"/>
          <w:iCs w:val="false"/>
          <w:color w:val="222222"/>
          <w:sz w:val="21"/>
          <w:szCs w:val="21"/>
        </w:rPr>
        <w:t xml:space="preserve">Every dispatch request runs through runDispatchEligibilityCheck() the moment it's created. This is the system's automated underwriting step — it decides auto_approved or blocked without a human in the loop, and every rejection carries a human-readable reason.</w:t>
      </w:r>
    </w:p>
    <w:p>
      <w:pPr>
        <w:spacing w:after="60" w:before="150"/>
      </w:pPr>
      <w:r>
        <w:rPr>
          <w:b/>
          <w:bCs/>
          <w:color w:val="9C6B1F"/>
          <w:sz w:val="21"/>
          <w:szCs w:val="21"/>
        </w:rPr>
        <w:t xml:space="preserve">What it checks, in order</w:t>
      </w:r>
    </w:p>
    <w:p>
      <w:pPr>
        <w:pStyle w:val="ListParagraph"/>
        <w:numPr>
          <w:ilvl w:val="0"/>
          <w:numId w:val="3"/>
        </w:numPr>
        <w:spacing w:after="70"/>
      </w:pPr>
      <w:r>
        <w:rPr>
          <w:color w:val="222222"/>
          <w:sz w:val="21"/>
          <w:szCs w:val="21"/>
        </w:rPr>
        <w:t xml:space="preserve">Organization status — is the client account active or suspended?</w:t>
      </w:r>
    </w:p>
    <w:p>
      <w:pPr>
        <w:pStyle w:val="ListParagraph"/>
        <w:numPr>
          <w:ilvl w:val="0"/>
          <w:numId w:val="3"/>
        </w:numPr>
        <w:spacing w:after="70"/>
      </w:pPr>
      <w:r>
        <w:rPr>
          <w:color w:val="222222"/>
          <w:sz w:val="21"/>
          <w:szCs w:val="21"/>
        </w:rPr>
        <w:t xml:space="preserve">Credit limit — does the client's total exposure (calculateClientExposure, above) exceed their approved limit?</w:t>
      </w:r>
    </w:p>
    <w:p>
      <w:pPr>
        <w:pStyle w:val="ListParagraph"/>
        <w:numPr>
          <w:ilvl w:val="0"/>
          <w:numId w:val="3"/>
        </w:numPr>
        <w:spacing w:after="70"/>
      </w:pPr>
      <w:r>
        <w:rPr>
          <w:color w:val="222222"/>
          <w:sz w:val="21"/>
          <w:szCs w:val="21"/>
        </w:rPr>
        <w:t xml:space="preserve">Overdue balance — does the client have anything overdue beyond their agreed payment terms + grace period?</w:t>
      </w:r>
    </w:p>
    <w:p>
      <w:pPr>
        <w:pStyle w:val="ListParagraph"/>
        <w:numPr>
          <w:ilvl w:val="0"/>
          <w:numId w:val="3"/>
        </w:numPr>
        <w:spacing w:after="70"/>
      </w:pPr>
      <w:r>
        <w:rPr>
          <w:color w:val="222222"/>
          <w:sz w:val="21"/>
          <w:szCs w:val="21"/>
        </w:rPr>
        <w:t xml:space="preserve">Balance confirmation compliance — is a required quarterly confirmation overdue past its block date?</w:t>
      </w:r>
    </w:p>
    <w:p>
      <w:pPr>
        <w:pStyle w:val="ListParagraph"/>
        <w:numPr>
          <w:ilvl w:val="0"/>
          <w:numId w:val="3"/>
        </w:numPr>
        <w:spacing w:after="70"/>
      </w:pPr>
      <w:r>
        <w:rPr>
          <w:color w:val="222222"/>
          <w:sz w:val="21"/>
          <w:szCs w:val="21"/>
        </w:rPr>
        <w:t xml:space="preserve">Document presence — does the Purchase Order have its authorizing document attached?</w:t>
      </w:r>
    </w:p>
    <w:p>
      <w:pPr>
        <w:spacing w:after="100"/>
      </w:pPr>
      <w:r>
        <w:rPr>
          <w:b w:val="false"/>
          <w:bCs w:val="false"/>
          <w:i/>
          <w:iCs/>
          <w:color w:val="222222"/>
          <w:sz w:val="21"/>
          <w:szCs w:val="21"/>
        </w:rPr>
        <w:t xml:space="preserve">Each check can be individually overridden by an active row in special_approvals (exception_type: credit_limit | overdue_payment | balance_confirmation) — a manual escape hatch for exceptional cases, scoped per client and per check.</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const reasons: string[] = [];</w:t>
      </w:r>
      <w:r>
        <w:rPr>
          <w:rFonts w:ascii="Consolas" w:cs="Consolas" w:eastAsia="Consolas" w:hAnsi="Consolas"/>
          <w:color w:val="18181B"/>
          <w:sz w:val="17"/>
          <w:szCs w:val="17"/>
        </w:rPr>
        <w:br/>
        <w:t xml:space="preserve">if (organizationStatus !== "active") {</w:t>
      </w:r>
      <w:r>
        <w:rPr>
          <w:rFonts w:ascii="Consolas" w:cs="Consolas" w:eastAsia="Consolas" w:hAnsi="Consolas"/>
          <w:color w:val="18181B"/>
          <w:sz w:val="17"/>
          <w:szCs w:val="17"/>
        </w:rPr>
        <w:br/>
        <w:t xml:space="preserve">  reasons.push("Client organization is inactive or suspended");</w:t>
      </w:r>
      <w:r>
        <w:rPr>
          <w:rFonts w:ascii="Consolas" w:cs="Consolas" w:eastAsia="Consolas" w:hAnsi="Consolas"/>
          <w:color w:val="18181B"/>
          <w:sz w:val="17"/>
          <w:szCs w:val="17"/>
        </w:rPr>
        <w:br/>
        <w:t xml:space="preserve">}</w:t>
      </w:r>
      <w:r>
        <w:rPr>
          <w:rFonts w:ascii="Consolas" w:cs="Consolas" w:eastAsia="Consolas" w:hAnsi="Consolas"/>
          <w:color w:val="18181B"/>
          <w:sz w:val="17"/>
          <w:szCs w:val="17"/>
        </w:rPr>
        <w:br/>
        <w:t xml:space="preserve">if (totalExposure &gt; creditLimit &amp;&amp; !hasCreditOverride) {</w:t>
      </w:r>
      <w:r>
        <w:rPr>
          <w:rFonts w:ascii="Consolas" w:cs="Consolas" w:eastAsia="Consolas" w:hAnsi="Consolas"/>
          <w:color w:val="18181B"/>
          <w:sz w:val="17"/>
          <w:szCs w:val="17"/>
        </w:rPr>
        <w:br/>
        <w:t xml:space="preserve">  reasons.push(`Credit limit breached — current exposure of ₹${totalExposure.toLocaleString()} exceeds the approved limit of ₹${creditLimit.toLocaleString()}`);</w:t>
      </w:r>
      <w:r>
        <w:rPr>
          <w:rFonts w:ascii="Consolas" w:cs="Consolas" w:eastAsia="Consolas" w:hAnsi="Consolas"/>
          <w:color w:val="18181B"/>
          <w:sz w:val="17"/>
          <w:szCs w:val="17"/>
        </w:rPr>
        <w:br/>
        <w:t xml:space="preserve">}</w:t>
      </w:r>
      <w:r>
        <w:rPr>
          <w:rFonts w:ascii="Consolas" w:cs="Consolas" w:eastAsia="Consolas" w:hAnsi="Consolas"/>
          <w:color w:val="18181B"/>
          <w:sz w:val="17"/>
          <w:szCs w:val="17"/>
        </w:rPr>
        <w:br/>
        <w:t xml:space="preserve">if (totalOverdue &gt; 0 &amp;&amp; !hasTermsOverride) {</w:t>
      </w:r>
      <w:r>
        <w:rPr>
          <w:rFonts w:ascii="Consolas" w:cs="Consolas" w:eastAsia="Consolas" w:hAnsi="Consolas"/>
          <w:color w:val="18181B"/>
          <w:sz w:val="17"/>
          <w:szCs w:val="17"/>
        </w:rPr>
        <w:br/>
        <w:t xml:space="preserve">  reasons.push(`Client has ₹${totalOverdue.toLocaleString()} overdue beyond allowed terms`);</w:t>
      </w:r>
      <w:r>
        <w:rPr>
          <w:rFonts w:ascii="Consolas" w:cs="Consolas" w:eastAsia="Consolas" w:hAnsi="Consolas"/>
          <w:color w:val="18181B"/>
          <w:sz w:val="17"/>
          <w:szCs w:val="17"/>
        </w:rPr>
        <w:br/>
        <w:t xml:space="preserve">}</w:t>
      </w:r>
      <w:r>
        <w:rPr>
          <w:rFonts w:ascii="Consolas" w:cs="Consolas" w:eastAsia="Consolas" w:hAnsi="Consolas"/>
          <w:color w:val="18181B"/>
          <w:sz w:val="17"/>
          <w:szCs w:val="17"/>
        </w:rPr>
        <w:br/>
        <w:t xml:space="preserve">if (hasOverdueConfirmations &amp;&amp; !hasConfOverride) {</w:t>
      </w:r>
      <w:r>
        <w:rPr>
          <w:rFonts w:ascii="Consolas" w:cs="Consolas" w:eastAsia="Consolas" w:hAnsi="Consolas"/>
          <w:color w:val="18181B"/>
          <w:sz w:val="17"/>
          <w:szCs w:val="17"/>
        </w:rPr>
        <w:br/>
        <w:t xml:space="preserve">  reasons.push("Quarterly balance confirmation is pending beyond the block date");</w:t>
      </w:r>
      <w:r>
        <w:rPr>
          <w:rFonts w:ascii="Consolas" w:cs="Consolas" w:eastAsia="Consolas" w:hAnsi="Consolas"/>
          <w:color w:val="18181B"/>
          <w:sz w:val="17"/>
          <w:szCs w:val="17"/>
        </w:rPr>
        <w:br/>
        <w:t xml:space="preserve">}</w:t>
      </w:r>
      <w:r>
        <w:rPr>
          <w:rFonts w:ascii="Consolas" w:cs="Consolas" w:eastAsia="Consolas" w:hAnsi="Consolas"/>
          <w:color w:val="18181B"/>
          <w:sz w:val="17"/>
          <w:szCs w:val="17"/>
        </w:rPr>
        <w:br/>
        <w:t xml:space="preserve">if (!po?.document_url) {</w:t>
      </w:r>
      <w:r>
        <w:rPr>
          <w:rFonts w:ascii="Consolas" w:cs="Consolas" w:eastAsia="Consolas" w:hAnsi="Consolas"/>
          <w:color w:val="18181B"/>
          <w:sz w:val="17"/>
          <w:szCs w:val="17"/>
        </w:rPr>
        <w:br/>
        <w:t xml:space="preserve">  reasons.push("Purchase Order authorized document is missing");</w:t>
      </w:r>
      <w:r>
        <w:rPr>
          <w:rFonts w:ascii="Consolas" w:cs="Consolas" w:eastAsia="Consolas" w:hAnsi="Consolas"/>
          <w:color w:val="18181B"/>
          <w:sz w:val="17"/>
          <w:szCs w:val="17"/>
        </w:rPr>
        <w:br/>
        <w:t xml:space="preserve">}</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const passed = reasons.length === 0;</w:t>
      </w:r>
      <w:r>
        <w:rPr>
          <w:rFonts w:ascii="Consolas" w:cs="Consolas" w:eastAsia="Consolas" w:hAnsi="Consolas"/>
          <w:color w:val="18181B"/>
          <w:sz w:val="17"/>
          <w:szCs w:val="17"/>
        </w:rPr>
        <w:br/>
        <w:t xml:space="preserve">const status = passed ? "auto_approved" : "blocked";</w:t>
      </w:r>
    </w:p>
    <w:p>
      <w:pPr>
        <w:pStyle w:val="Heading2"/>
        <w:spacing w:after="90" w:before="220"/>
      </w:pPr>
      <w:r>
        <w:rPr>
          <w:b/>
          <w:bCs/>
          <w:color w:val="2E5395"/>
          <w:sz w:val="24"/>
          <w:szCs w:val="24"/>
        </w:rPr>
        <w:t xml:space="preserve">7.3  Multi-product Purchase Orders — a live schema migration</w:t>
      </w:r>
    </w:p>
    <w:p>
      <w:pPr>
        <w:spacing w:after="100"/>
      </w:pPr>
      <w:r>
        <w:rPr>
          <w:b w:val="false"/>
          <w:bCs w:val="false"/>
          <w:i w:val="false"/>
          <w:iCs w:val="false"/>
          <w:color w:val="222222"/>
          <w:sz w:val="21"/>
          <w:szCs w:val="21"/>
        </w:rPr>
        <w:t xml:space="preserve">Originally one PO could only hold one product. A client asked for multi-product POs; since this is a live financial system, the migration had to be additive and non-breaking rather than a rewrite.</w:t>
      </w:r>
    </w:p>
    <w:p>
      <w:pPr>
        <w:spacing w:after="60" w:before="150"/>
      </w:pPr>
      <w:r>
        <w:rPr>
          <w:b/>
          <w:bCs/>
          <w:color w:val="9C6B1F"/>
          <w:sz w:val="21"/>
          <w:szCs w:val="21"/>
        </w:rPr>
        <w:t xml:space="preserve">The design</w:t>
      </w:r>
    </w:p>
    <w:p>
      <w:pPr>
        <w:pStyle w:val="ListParagraph"/>
        <w:numPr>
          <w:ilvl w:val="0"/>
          <w:numId w:val="2"/>
        </w:numPr>
        <w:spacing w:after="55"/>
      </w:pPr>
      <w:r>
        <w:rPr>
          <w:b/>
          <w:bCs/>
          <w:color w:val="222222"/>
          <w:sz w:val="21"/>
          <w:szCs w:val="21"/>
        </w:rPr>
        <w:t xml:space="preserve">New table purchase_order_items — </w:t>
      </w:r>
      <w:r>
        <w:rPr>
          <w:color w:val="222222"/>
          <w:sz w:val="21"/>
          <w:szCs w:val="21"/>
        </w:rPr>
        <w:t xml:space="preserve">one row per product on a PO, each with its own quantity and locked rate</w:t>
      </w:r>
    </w:p>
    <w:p>
      <w:pPr>
        <w:pStyle w:val="ListParagraph"/>
        <w:numPr>
          <w:ilvl w:val="0"/>
          <w:numId w:val="2"/>
        </w:numPr>
        <w:spacing w:after="55"/>
      </w:pPr>
      <w:r>
        <w:rPr>
          <w:b/>
          <w:bCs/>
          <w:color w:val="222222"/>
          <w:sz w:val="21"/>
          <w:szCs w:val="21"/>
        </w:rPr>
        <w:t xml:space="preserve">Legacy columns kept on purchase_orders — </w:t>
      </w:r>
      <w:r>
        <w:rPr>
          <w:color w:val="222222"/>
          <w:sz w:val="21"/>
          <w:szCs w:val="21"/>
        </w:rPr>
        <w:t xml:space="preserve">product_id / original_quantity / locked_rate now just mirror the FIRST line item, so any code that hadn't been migrated yet kept working</w:t>
      </w:r>
    </w:p>
    <w:p>
      <w:pPr>
        <w:pStyle w:val="ListParagraph"/>
        <w:numPr>
          <w:ilvl w:val="0"/>
          <w:numId w:val="2"/>
        </w:numPr>
        <w:spacing w:after="55"/>
      </w:pPr>
      <w:r>
        <w:rPr>
          <w:b/>
          <w:bCs/>
          <w:color w:val="222222"/>
          <w:sz w:val="21"/>
          <w:szCs w:val="21"/>
        </w:rPr>
        <w:t xml:space="preserve">dispatch_requests.purchase_order_item_id — </w:t>
      </w:r>
      <w:r>
        <w:rPr>
          <w:color w:val="222222"/>
          <w:sz w:val="21"/>
          <w:szCs w:val="21"/>
        </w:rPr>
        <w:t xml:space="preserve">a dispatch now draws from ONE specific product line, not the PO as a whole</w:t>
      </w:r>
    </w:p>
    <w:p>
      <w:pPr>
        <w:pStyle w:val="ListParagraph"/>
        <w:numPr>
          <w:ilvl w:val="0"/>
          <w:numId w:val="2"/>
        </w:numPr>
        <w:spacing w:after="55"/>
      </w:pPr>
      <w:r>
        <w:rPr>
          <w:b/>
          <w:bCs/>
          <w:color w:val="222222"/>
          <w:sz w:val="21"/>
          <w:szCs w:val="21"/>
        </w:rPr>
        <w:t xml:space="preserve">Backfill — </w:t>
      </w:r>
      <w:r>
        <w:rPr>
          <w:color w:val="222222"/>
          <w:sz w:val="21"/>
          <w:szCs w:val="21"/>
        </w:rPr>
        <w:t xml:space="preserve">every existing PO got exactly one purchase_order_items row generated from its legacy columns, so historical data needed no manual fix-up</w:t>
      </w:r>
    </w:p>
    <w:p>
      <w:pPr>
        <w:spacing w:after="60" w:before="150"/>
      </w:pPr>
      <w:r>
        <w:rPr>
          <w:b/>
          <w:bCs/>
          <w:color w:val="9C6B1F"/>
          <w:sz w:val="21"/>
          <w:szCs w:val="21"/>
        </w:rPr>
        <w:t xml:space="preserve">The trigger fallback — the actual interesting bit</w:t>
      </w:r>
    </w:p>
    <w:p>
      <w:pPr>
        <w:spacing w:after="100"/>
      </w:pPr>
      <w:r>
        <w:rPr>
          <w:b w:val="false"/>
          <w:bCs w:val="false"/>
          <w:i w:val="false"/>
          <w:iCs w:val="false"/>
          <w:color w:val="222222"/>
          <w:sz w:val="21"/>
          <w:szCs w:val="21"/>
        </w:rPr>
        <w:t xml:space="preserve">The wallet-balance recalculation trigger reads a dispatch's value. Rather than requiring every dispatch to already have a line-item link, it falls back to the legacy PO rate:</w:t>
      </w:r>
    </w:p>
    <w:p>
      <w:pPr>
        <w:spacing w:after="20" w:before="100"/>
      </w:pPr>
      <w:r>
        <w:rPr>
          <w:i/>
          <w:iCs/>
          <w:color w:val="5B5B5B"/>
          <w:sz w:val="18"/>
          <w:szCs w:val="18"/>
        </w:rPr>
        <w:t xml:space="preserve">recalculate_wallet_balance() — Postgres function</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SELECT COALESCE(SUM(dr.quantity * COALESCE(poi.locked_rate, po.locked_rate)), 0)</w:t>
      </w:r>
      <w:r>
        <w:rPr>
          <w:rFonts w:ascii="Consolas" w:cs="Consolas" w:eastAsia="Consolas" w:hAnsi="Consolas"/>
          <w:color w:val="18181B"/>
          <w:sz w:val="17"/>
          <w:szCs w:val="17"/>
        </w:rPr>
        <w:br/>
        <w:t xml:space="preserve">INTO v_total_debits</w:t>
      </w:r>
      <w:r>
        <w:rPr>
          <w:rFonts w:ascii="Consolas" w:cs="Consolas" w:eastAsia="Consolas" w:hAnsi="Consolas"/>
          <w:color w:val="18181B"/>
          <w:sz w:val="17"/>
          <w:szCs w:val="17"/>
        </w:rPr>
        <w:br/>
        <w:t xml:space="preserve">FROM dispatch_requests dr</w:t>
      </w:r>
      <w:r>
        <w:rPr>
          <w:rFonts w:ascii="Consolas" w:cs="Consolas" w:eastAsia="Consolas" w:hAnsi="Consolas"/>
          <w:color w:val="18181B"/>
          <w:sz w:val="17"/>
          <w:szCs w:val="17"/>
        </w:rPr>
        <w:br/>
        <w:t xml:space="preserve">JOIN purchase_orders po ON dr.purchase_order_id = po.id</w:t>
      </w:r>
      <w:r>
        <w:rPr>
          <w:rFonts w:ascii="Consolas" w:cs="Consolas" w:eastAsia="Consolas" w:hAnsi="Consolas"/>
          <w:color w:val="18181B"/>
          <w:sz w:val="17"/>
          <w:szCs w:val="17"/>
        </w:rPr>
        <w:br/>
        <w:t xml:space="preserve">LEFT JOIN purchase_order_items poi ON dr.purchase_order_item_id = poi.id</w:t>
      </w:r>
      <w:r>
        <w:rPr>
          <w:rFonts w:ascii="Consolas" w:cs="Consolas" w:eastAsia="Consolas" w:hAnsi="Consolas"/>
          <w:color w:val="18181B"/>
          <w:sz w:val="17"/>
          <w:szCs w:val="17"/>
        </w:rPr>
        <w:br/>
        <w:t xml:space="preserve">WHERE dr.organization_id = p_org_id</w:t>
      </w:r>
      <w:r>
        <w:rPr>
          <w:rFonts w:ascii="Consolas" w:cs="Consolas" w:eastAsia="Consolas" w:hAnsi="Consolas"/>
          <w:color w:val="18181B"/>
          <w:sz w:val="17"/>
          <w:szCs w:val="17"/>
        </w:rPr>
        <w:br/>
        <w:t xml:space="preserve">  AND dr.status IN ('approved', 'auto_approved', 'pending_mundra', 'submitted');</w:t>
      </w:r>
    </w:p>
    <w:p>
      <w:pPr>
        <w:spacing w:after="100"/>
      </w:pPr>
      <w:r>
        <w:rPr>
          <w:b w:val="false"/>
          <w:bCs w:val="false"/>
          <w:i/>
          <w:iCs/>
          <w:color w:val="222222"/>
          <w:sz w:val="21"/>
          <w:szCs w:val="21"/>
        </w:rPr>
        <w:t xml:space="preserve">COALESCE(poi.locked_rate, po.locked_rate) means: use the new per-line-item rate if this dispatch has one, otherwise fall back to the legacy rate. This one line is what let old and new dispatches coexist correctly during and after the migration, with zero data corrections needed.</w:t>
      </w:r>
    </w:p>
    <w:p>
      <w:pPr>
        <w:pStyle w:val="Heading2"/>
        <w:spacing w:after="90" w:before="220"/>
      </w:pPr>
      <w:r>
        <w:rPr>
          <w:b/>
          <w:bCs/>
          <w:color w:val="2E5395"/>
          <w:sz w:val="24"/>
          <w:szCs w:val="24"/>
        </w:rPr>
        <w:t xml:space="preserve">7.4  Payment allocation — manual-first, then FIFO</w:t>
      </w:r>
    </w:p>
    <w:p>
      <w:pPr>
        <w:spacing w:after="100"/>
      </w:pPr>
      <w:r>
        <w:rPr>
          <w:b w:val="false"/>
          <w:bCs w:val="false"/>
          <w:i w:val="false"/>
          <w:iCs w:val="false"/>
          <w:color w:val="222222"/>
          <w:sz w:val="21"/>
          <w:szCs w:val="21"/>
        </w:rPr>
        <w:t xml:space="preserve">When a payment is recorded, it has to be matched against outstanding invoices. record_payment_with_allocations is a Postgres function (not application code) that does this atomically, using FOR UPDATE row locks so two concurrent payments can't double-allocate the same invoice.</w:t>
      </w:r>
    </w:p>
    <w:p>
      <w:pPr>
        <w:spacing w:after="60" w:before="150"/>
      </w:pPr>
      <w:r>
        <w:rPr>
          <w:b/>
          <w:bCs/>
          <w:color w:val="9C6B1F"/>
          <w:sz w:val="21"/>
          <w:szCs w:val="21"/>
        </w:rPr>
        <w:t xml:space="preserve">Allocation order</w:t>
      </w:r>
    </w:p>
    <w:p>
      <w:pPr>
        <w:pStyle w:val="ListParagraph"/>
        <w:numPr>
          <w:ilvl w:val="0"/>
          <w:numId w:val="3"/>
        </w:numPr>
        <w:spacing w:after="70"/>
      </w:pPr>
      <w:r>
        <w:rPr>
          <w:color w:val="222222"/>
          <w:sz w:val="21"/>
          <w:szCs w:val="21"/>
        </w:rPr>
        <w:t xml:space="preserve">If explicit invoice allocations were supplied (the user picked specific invoices in the UI), use exactly those — validating each against that invoice's real outstanding balance.</w:t>
      </w:r>
    </w:p>
    <w:p>
      <w:pPr>
        <w:pStyle w:val="ListParagraph"/>
        <w:numPr>
          <w:ilvl w:val="0"/>
          <w:numId w:val="3"/>
        </w:numPr>
        <w:spacing w:after="70"/>
      </w:pPr>
      <w:r>
        <w:rPr>
          <w:color w:val="222222"/>
          <w:sz w:val="21"/>
          <w:szCs w:val="21"/>
        </w:rPr>
        <w:t xml:space="preserve">Otherwise, priority-allocate to the invoice(s) belonging to the dispatch(es) the payment was recorded against.</w:t>
      </w:r>
    </w:p>
    <w:p>
      <w:pPr>
        <w:pStyle w:val="ListParagraph"/>
        <w:numPr>
          <w:ilvl w:val="0"/>
          <w:numId w:val="3"/>
        </w:numPr>
        <w:spacing w:after="70"/>
      </w:pPr>
      <w:r>
        <w:rPr>
          <w:color w:val="222222"/>
          <w:sz w:val="21"/>
          <w:szCs w:val="21"/>
        </w:rPr>
        <w:t xml:space="preserve">Any amount still remaining falls through to oldest-invoice-first FIFO across the client's other unpaid invoices — explicitly excluding opening-balance invoices, so a payment made against a specific dispatch can't get silently swallowed by an unrelated opening balance.</w:t>
      </w:r>
    </w:p>
    <w:p>
      <w:pPr>
        <w:spacing w:after="20" w:before="100"/>
      </w:pPr>
      <w:r>
        <w:rPr>
          <w:i/>
          <w:iCs/>
          <w:color w:val="5B5B5B"/>
          <w:sz w:val="18"/>
          <w:szCs w:val="18"/>
        </w:rPr>
        <w:t xml:space="preserve">record_payment_with_allocations() — Postgres function</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 FIFO fallback: oldest invoice first, opening balances excluded</w:t>
      </w:r>
      <w:r>
        <w:rPr>
          <w:rFonts w:ascii="Consolas" w:cs="Consolas" w:eastAsia="Consolas" w:hAnsi="Consolas"/>
          <w:color w:val="18181B"/>
          <w:sz w:val="17"/>
          <w:szCs w:val="17"/>
        </w:rPr>
        <w:br/>
        <w:t xml:space="preserve">FOR v_inv IN</w:t>
      </w:r>
      <w:r>
        <w:rPr>
          <w:rFonts w:ascii="Consolas" w:cs="Consolas" w:eastAsia="Consolas" w:hAnsi="Consolas"/>
          <w:color w:val="18181B"/>
          <w:sz w:val="17"/>
          <w:szCs w:val="17"/>
        </w:rPr>
        <w:br/>
        <w:t xml:space="preserve">  SELECT id, amount</w:t>
      </w:r>
      <w:r>
        <w:rPr>
          <w:rFonts w:ascii="Consolas" w:cs="Consolas" w:eastAsia="Consolas" w:hAnsi="Consolas"/>
          <w:color w:val="18181B"/>
          <w:sz w:val="17"/>
          <w:szCs w:val="17"/>
        </w:rPr>
        <w:br/>
        <w:t xml:space="preserve">  FROM invoices</w:t>
      </w:r>
      <w:r>
        <w:rPr>
          <w:rFonts w:ascii="Consolas" w:cs="Consolas" w:eastAsia="Consolas" w:hAnsi="Consolas"/>
          <w:color w:val="18181B"/>
          <w:sz w:val="17"/>
          <w:szCs w:val="17"/>
        </w:rPr>
        <w:br/>
        <w:t xml:space="preserve">  WHERE organization_id = p_org_id</w:t>
      </w:r>
      <w:r>
        <w:rPr>
          <w:rFonts w:ascii="Consolas" w:cs="Consolas" w:eastAsia="Consolas" w:hAnsi="Consolas"/>
          <w:color w:val="18181B"/>
          <w:sz w:val="17"/>
          <w:szCs w:val="17"/>
        </w:rPr>
        <w:br/>
        <w:t xml:space="preserve">    AND status IN ('unpaid', 'partially_paid')</w:t>
      </w:r>
      <w:r>
        <w:rPr>
          <w:rFonts w:ascii="Consolas" w:cs="Consolas" w:eastAsia="Consolas" w:hAnsi="Consolas"/>
          <w:color w:val="18181B"/>
          <w:sz w:val="17"/>
          <w:szCs w:val="17"/>
        </w:rPr>
        <w:br/>
        <w:t xml:space="preserve">    AND status != 'cancelled'</w:t>
      </w:r>
      <w:r>
        <w:rPr>
          <w:rFonts w:ascii="Consolas" w:cs="Consolas" w:eastAsia="Consolas" w:hAnsi="Consolas"/>
          <w:color w:val="18181B"/>
          <w:sz w:val="17"/>
          <w:szCs w:val="17"/>
        </w:rPr>
        <w:br/>
        <w:t xml:space="preserve">    AND COALESCE(is_opening_balance, FALSE) = FALSE</w:t>
      </w:r>
      <w:r>
        <w:rPr>
          <w:rFonts w:ascii="Consolas" w:cs="Consolas" w:eastAsia="Consolas" w:hAnsi="Consolas"/>
          <w:color w:val="18181B"/>
          <w:sz w:val="17"/>
          <w:szCs w:val="17"/>
        </w:rPr>
        <w:br/>
        <w:t xml:space="preserve">  ORDER BY invoice_date ASC, created_at ASC, id ASC</w:t>
      </w:r>
      <w:r>
        <w:rPr>
          <w:rFonts w:ascii="Consolas" w:cs="Consolas" w:eastAsia="Consolas" w:hAnsi="Consolas"/>
          <w:color w:val="18181B"/>
          <w:sz w:val="17"/>
          <w:szCs w:val="17"/>
        </w:rPr>
        <w:br/>
        <w:t xml:space="preserve">  FOR UPDATE</w:t>
      </w:r>
      <w:r>
        <w:rPr>
          <w:rFonts w:ascii="Consolas" w:cs="Consolas" w:eastAsia="Consolas" w:hAnsi="Consolas"/>
          <w:color w:val="18181B"/>
          <w:sz w:val="17"/>
          <w:szCs w:val="17"/>
        </w:rPr>
        <w:br/>
        <w:t xml:space="preserve">LOOP</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v_to_allocate := LEAST(v_outstanding, v_remaining_payment);</w:t>
      </w:r>
      <w:r>
        <w:rPr>
          <w:rFonts w:ascii="Consolas" w:cs="Consolas" w:eastAsia="Consolas" w:hAnsi="Consolas"/>
          <w:color w:val="18181B"/>
          <w:sz w:val="17"/>
          <w:szCs w:val="17"/>
        </w:rPr>
        <w:br/>
        <w:t xml:space="preserve">  INSERT INTO invoice_allocations (invoice_id, payment_id, allocated_amount)</w:t>
      </w:r>
      <w:r>
        <w:rPr>
          <w:rFonts w:ascii="Consolas" w:cs="Consolas" w:eastAsia="Consolas" w:hAnsi="Consolas"/>
          <w:color w:val="18181B"/>
          <w:sz w:val="17"/>
          <w:szCs w:val="17"/>
        </w:rPr>
        <w:br/>
        <w:t xml:space="preserve">  VALUES (v_inv.id, v_payment_id, v_to_allocate);</w:t>
      </w:r>
      <w:r>
        <w:rPr>
          <w:rFonts w:ascii="Consolas" w:cs="Consolas" w:eastAsia="Consolas" w:hAnsi="Consolas"/>
          <w:color w:val="18181B"/>
          <w:sz w:val="17"/>
          <w:szCs w:val="17"/>
        </w:rPr>
        <w:br/>
        <w:t xml:space="preserve">  PERFORM update_invoice_status(v_inv.id);</w:t>
      </w:r>
      <w:r>
        <w:rPr>
          <w:rFonts w:ascii="Consolas" w:cs="Consolas" w:eastAsia="Consolas" w:hAnsi="Consolas"/>
          <w:color w:val="18181B"/>
          <w:sz w:val="17"/>
          <w:szCs w:val="17"/>
        </w:rPr>
        <w:br/>
        <w:t xml:space="preserve">END LOOP;</w:t>
      </w:r>
    </w:p>
    <w:p>
      <w:pPr>
        <w:pBdr>
          <w:top w:val="single" w:color="2C5AA0" w:sz="4" w:space="4"/>
          <w:bottom w:val="single" w:color="2C5AA0" w:sz="4" w:space="4"/>
          <w:left w:val="single" w:color="2C5AA0" w:sz="22" w:space="10"/>
          <w:right w:val="single" w:color="2C5AA0" w:sz="4" w:space="4"/>
        </w:pBdr>
        <w:shd w:fill="E8F0FE" w:color="auto" w:val="clear"/>
        <w:spacing w:after="140" w:before="100"/>
      </w:pPr>
      <w:r>
        <w:rPr>
          <w:b/>
          <w:bCs/>
          <w:color w:val="222222"/>
          <w:sz w:val="21"/>
          <w:szCs w:val="21"/>
        </w:rPr>
        <w:t xml:space="preserve">ℹ Why a Postgres function instead of application code</w:t>
      </w:r>
      <w:r>
        <w:rPr>
          <w:color w:val="222222"/>
          <w:sz w:val="21"/>
          <w:szCs w:val="21"/>
        </w:rPr>
        <w:br/>
        <w:t xml:space="preserve">This function has to be correct under concurrency (two payments recorded seconds apart must never both think the same invoice is unpaid) and it has to be the single source of truth regardless of which caller writes a payment — the admin UI, the client UI, and any future integration all funnel through the same RPC. Doing this allocate-and-lock logic in TypeScript would mean re-implementing transaction/locking semantics that Postgres already does correctly.</w:t>
      </w:r>
    </w:p>
    <w:p>
      <w:pPr>
        <w:pStyle w:val="Heading2"/>
        <w:spacing w:after="90" w:before="220"/>
      </w:pPr>
      <w:r>
        <w:rPr>
          <w:b/>
          <w:bCs/>
          <w:color w:val="2E5395"/>
          <w:sz w:val="24"/>
          <w:szCs w:val="24"/>
        </w:rPr>
        <w:t xml:space="preserve">7.5  TDS handling in invoice settlement</w:t>
      </w:r>
    </w:p>
    <w:p>
      <w:pPr>
        <w:spacing w:after="100"/>
      </w:pPr>
      <w:r>
        <w:rPr>
          <w:b w:val="false"/>
          <w:bCs w:val="false"/>
          <w:i w:val="false"/>
          <w:iCs w:val="false"/>
          <w:color w:val="222222"/>
          <w:sz w:val="21"/>
          <w:szCs w:val="21"/>
        </w:rPr>
        <w:t xml:space="preserve">Indian B2B payments routinely withhold Tax Deducted at Source. A client paying ₹25,000 against a ₹50,000 invoice, with ₹25,000 already covered by a prior advance and TDS applying, still needs the invoice to show as fully settled. TDS is tracked as its own column on invoice_allocations and counted toward an invoice's settled amount without consuming the cash-payment balance:</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 TDS withheld against this invoice settles it too — the client kept</w:t>
      </w:r>
      <w:r>
        <w:rPr>
          <w:rFonts w:ascii="Consolas" w:cs="Consolas" w:eastAsia="Consolas" w:hAnsi="Consolas"/>
          <w:color w:val="18181B"/>
          <w:sz w:val="17"/>
          <w:szCs w:val="17"/>
        </w:rPr>
        <w:br/>
        <w:t xml:space="preserve">// that slice back rather than paying it in cash — so it counts toward</w:t>
      </w:r>
      <w:r>
        <w:rPr>
          <w:rFonts w:ascii="Consolas" w:cs="Consolas" w:eastAsia="Consolas" w:hAnsi="Consolas"/>
          <w:color w:val="18181B"/>
          <w:sz w:val="17"/>
          <w:szCs w:val="17"/>
        </w:rPr>
        <w:br/>
        <w:t xml:space="preserve">// Amount Paid, but it never consumes the cash payment's balance.</w:t>
      </w:r>
      <w:r>
        <w:rPr>
          <w:rFonts w:ascii="Consolas" w:cs="Consolas" w:eastAsia="Consolas" w:hAnsi="Consolas"/>
          <w:color w:val="18181B"/>
          <w:sz w:val="17"/>
          <w:szCs w:val="17"/>
        </w:rPr>
        <w:br/>
        <w:t xml:space="preserve">const tdsForAlloc = Number(alloc.tds_amount) || 0;</w:t>
      </w:r>
      <w:r>
        <w:rPr>
          <w:rFonts w:ascii="Consolas" w:cs="Consolas" w:eastAsia="Consolas" w:hAnsi="Consolas"/>
          <w:color w:val="18181B"/>
          <w:sz w:val="17"/>
          <w:szCs w:val="17"/>
        </w:rPr>
        <w:br/>
        <w:t xml:space="preserve">const tdsRoom = Math.max(0, room - allocAmount);</w:t>
      </w:r>
      <w:r>
        <w:rPr>
          <w:rFonts w:ascii="Consolas" w:cs="Consolas" w:eastAsia="Consolas" w:hAnsi="Consolas"/>
          <w:color w:val="18181B"/>
          <w:sz w:val="17"/>
          <w:szCs w:val="17"/>
        </w:rPr>
        <w:br/>
        <w:t xml:space="preserve">const tdsApplied = Math.min(tdsForAlloc, tdsRoom);</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newInvoicesMap.get(invId).amountPaid += allocAmount + tdsApplied;</w:t>
      </w:r>
    </w:p>
    <w:p>
      <w:pPr>
        <w:pStyle w:val="Heading2"/>
        <w:spacing w:after="90" w:before="220"/>
      </w:pPr>
      <w:r>
        <w:rPr>
          <w:b/>
          <w:bCs/>
          <w:color w:val="2E5395"/>
          <w:sz w:val="24"/>
          <w:szCs w:val="24"/>
        </w:rPr>
        <w:t xml:space="preserve">7.6  Refund letters — reconciling the UTCL relationship</w:t>
      </w:r>
    </w:p>
    <w:p>
      <w:pPr>
        <w:spacing w:after="100"/>
      </w:pPr>
      <w:r>
        <w:rPr>
          <w:b w:val="false"/>
          <w:bCs w:val="false"/>
          <w:i w:val="false"/>
          <w:iCs w:val="false"/>
          <w:color w:val="222222"/>
          <w:sz w:val="21"/>
          <w:szCs w:val="21"/>
        </w:rPr>
        <w:t xml:space="preserve">When Mundra Brothers (or a client directly) pays UTCL, Mundra is sometimes owed a refund under a finance scheme. The "Finance Scheme Refund Claim" letter is the formal document that claims that money back; the "UTCL to Mundra" tab tracks whether UTCL has actually paid it.</w:t>
      </w:r>
    </w:p>
    <w:p>
      <w:pPr>
        <w:spacing w:after="60" w:before="150"/>
      </w:pPr>
      <w:r>
        <w:rPr>
          <w:b/>
          <w:bCs/>
          <w:color w:val="9C6B1F"/>
          <w:sz w:val="21"/>
          <w:szCs w:val="21"/>
        </w:rPr>
        <w:t xml:space="preserve">The hard part: linking a payment back to its invoice</w:t>
      </w:r>
    </w:p>
    <w:p>
      <w:pPr>
        <w:spacing w:after="100"/>
      </w:pPr>
      <w:r>
        <w:rPr>
          <w:b w:val="false"/>
          <w:bCs w:val="false"/>
          <w:i w:val="false"/>
          <w:iCs w:val="false"/>
          <w:color w:val="222222"/>
          <w:sz w:val="21"/>
          <w:szCs w:val="21"/>
        </w:rPr>
        <w:t xml:space="preserve">A Mundra→UTCL payment can be linked to the dispatch/invoice it covers three different ways, because the linkage mechanism evolved across several iterations of the payment-recording RPC. Resolving an invoice's letter row correctly means trying all three, most specific first, rather than trusting any single column:</w:t>
      </w:r>
    </w:p>
    <w:p>
      <w:pPr>
        <w:spacing w:after="20" w:before="100"/>
      </w:pPr>
      <w:r>
        <w:rPr>
          <w:i/>
          <w:iCs/>
          <w:color w:val="5B5B5B"/>
          <w:sz w:val="18"/>
          <w:szCs w:val="18"/>
        </w:rPr>
        <w:t xml:space="preserve">getRefundEligibleAllocations() — src/lib/api/business.functions.ts</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const mp =</w:t>
      </w:r>
      <w:r>
        <w:rPr>
          <w:rFonts w:ascii="Consolas" w:cs="Consolas" w:eastAsia="Consolas" w:hAnsi="Consolas"/>
          <w:color w:val="18181B"/>
          <w:sz w:val="17"/>
          <w:szCs w:val="17"/>
        </w:rPr>
        <w:br/>
        <w:t xml:space="preserve">  (dr.utcl_payment_id ? byId.get(dr.utcl_payment_id) : undefined) ||</w:t>
      </w:r>
      <w:r>
        <w:rPr>
          <w:rFonts w:ascii="Consolas" w:cs="Consolas" w:eastAsia="Consolas" w:hAnsi="Consolas"/>
          <w:color w:val="18181B"/>
          <w:sz w:val="17"/>
          <w:szCs w:val="17"/>
        </w:rPr>
        <w:br/>
        <w:t xml:space="preserve">  byDispatch.get(dr.id) ||</w:t>
      </w:r>
      <w:r>
        <w:rPr>
          <w:rFonts w:ascii="Consolas" w:cs="Consolas" w:eastAsia="Consolas" w:hAnsi="Consolas"/>
          <w:color w:val="18181B"/>
          <w:sz w:val="17"/>
          <w:szCs w:val="17"/>
        </w:rPr>
        <w:br/>
        <w:t xml:space="preserve">  (dr.purchase_order_id ? byPo.get(dr.purchase_order_id) : undefined);</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if (!mp) continue;</w:t>
      </w:r>
      <w:r>
        <w:rPr>
          <w:rFonts w:ascii="Consolas" w:cs="Consolas" w:eastAsia="Consolas" w:hAnsi="Consolas"/>
          <w:color w:val="18181B"/>
          <w:sz w:val="17"/>
          <w:szCs w:val="17"/>
        </w:rPr>
        <w:br/>
        <w:t xml:space="preserve">mundraPaymentByInvoice[r.id] = {</w:t>
      </w:r>
      <w:r>
        <w:rPr>
          <w:rFonts w:ascii="Consolas" w:cs="Consolas" w:eastAsia="Consolas" w:hAnsi="Consolas"/>
          <w:color w:val="18181B"/>
          <w:sz w:val="17"/>
          <w:szCs w:val="17"/>
        </w:rPr>
        <w:br/>
        <w:t xml:space="preserve">  payment_date: mp.payment_date,</w:t>
      </w:r>
      <w:r>
        <w:rPr>
          <w:rFonts w:ascii="Consolas" w:cs="Consolas" w:eastAsia="Consolas" w:hAnsi="Consolas"/>
          <w:color w:val="18181B"/>
          <w:sz w:val="17"/>
          <w:szCs w:val="17"/>
        </w:rPr>
        <w:br/>
        <w:t xml:space="preserve">  payment_mode: mp.payment_mode,</w:t>
      </w:r>
      <w:r>
        <w:rPr>
          <w:rFonts w:ascii="Consolas" w:cs="Consolas" w:eastAsia="Consolas" w:hAnsi="Consolas"/>
          <w:color w:val="18181B"/>
          <w:sz w:val="17"/>
          <w:szCs w:val="17"/>
        </w:rPr>
        <w:br/>
        <w:t xml:space="preserve">};</w:t>
      </w:r>
    </w:p>
    <w:p>
      <w:pPr>
        <w:spacing w:after="100"/>
      </w:pPr>
      <w:r>
        <w:rPr>
          <w:b w:val="false"/>
          <w:bCs w:val="false"/>
          <w:i/>
          <w:iCs/>
          <w:color w:val="222222"/>
          <w:sz w:val="21"/>
          <w:szCs w:val="21"/>
        </w:rPr>
        <w:t xml:space="preserve">This function also groups payment ROWS by bank transfer (UTR reference number), because recording one payment against several dispatches writes several payment rows that all belong to the same real-world bank transfer — without grouping, a single ₹2,000 transfer covering two invoices showed up as two separate ₹1,000 options, and picking one only cleared one invoice.</w:t>
      </w:r>
    </w:p>
    <w:p>
      <w:r>
        <w:br w:type="page"/>
      </w:r>
    </w:p>
    <w:p>
      <w:pPr>
        <w:pStyle w:val="Heading1"/>
        <w:pBdr>
          <w:bottom w:val="single" w:color="1F3864" w:sz="8" w:space="5"/>
        </w:pBdr>
        <w:spacing w:after="140" w:before="320"/>
      </w:pPr>
      <w:r>
        <w:rPr>
          <w:b/>
          <w:bCs/>
          <w:color w:val="1F3864"/>
          <w:sz w:val="30"/>
          <w:szCs w:val="30"/>
        </w:rPr>
        <w:t xml:space="preserve">8. Key Files</w:t>
      </w:r>
    </w:p>
    <w:p>
      <w:pPr>
        <w:pStyle w:val="Heading2"/>
        <w:spacing w:after="90" w:before="220"/>
      </w:pPr>
      <w:r>
        <w:rPr>
          <w:b/>
          <w:bCs/>
          <w:color w:val="2E5395"/>
          <w:sz w:val="24"/>
          <w:szCs w:val="24"/>
        </w:rPr>
        <w:t xml:space="preserve">8.1  src/lib/api/business.functions.ts — the entire server API (~5,150 lines, 71 functions)</w:t>
      </w:r>
    </w:p>
    <w:p>
      <w:pPr>
        <w:spacing w:after="100"/>
      </w:pPr>
      <w:r>
        <w:rPr>
          <w:b w:val="false"/>
          <w:bCs w:val="false"/>
          <w:i w:val="false"/>
          <w:iCs w:val="false"/>
          <w:color w:val="222222"/>
          <w:sz w:val="21"/>
          <w:szCs w:val="21"/>
        </w:rPr>
        <w:t xml:space="preserve">Grouped by the domain they serve:</w:t>
      </w:r>
    </w:p>
    <w:p>
      <w:pPr>
        <w:pStyle w:val="ListParagraph"/>
        <w:numPr>
          <w:ilvl w:val="0"/>
          <w:numId w:val="4"/>
        </w:numPr>
        <w:spacing w:after="40"/>
      </w:pPr>
      <w:r>
        <w:rPr>
          <w:b/>
          <w:bCs/>
          <w:color w:val="222222"/>
          <w:sz w:val="18"/>
          <w:szCs w:val="18"/>
        </w:rPr>
        <w:t xml:space="preserve">Clients — </w:t>
      </w:r>
      <w:r>
        <w:rPr>
          <w:color w:val="222222"/>
          <w:sz w:val="18"/>
          <w:szCs w:val="18"/>
        </w:rPr>
        <w:t xml:space="preserve">createClient, updateClient, updateClientCommercials, deleteClientAdmin, getClients, getClientOrganization, updateClientStatus</w:t>
      </w:r>
    </w:p>
    <w:p>
      <w:pPr>
        <w:pStyle w:val="ListParagraph"/>
        <w:numPr>
          <w:ilvl w:val="0"/>
          <w:numId w:val="4"/>
        </w:numPr>
        <w:spacing w:after="40"/>
      </w:pPr>
      <w:r>
        <w:rPr>
          <w:b/>
          <w:bCs/>
          <w:color w:val="222222"/>
          <w:sz w:val="18"/>
          <w:szCs w:val="18"/>
        </w:rPr>
        <w:t xml:space="preserve">Products &amp; Rates — </w:t>
      </w:r>
      <w:r>
        <w:rPr>
          <w:color w:val="222222"/>
          <w:sz w:val="18"/>
          <w:szCs w:val="18"/>
        </w:rPr>
        <w:t xml:space="preserve">createProduct, updateProduct, deleteProduct, getProducts, proposeProductRate, approveProductRate, getApplicableRate, getRates, getRatesForProduct, deleteRates</w:t>
      </w:r>
    </w:p>
    <w:p>
      <w:pPr>
        <w:pStyle w:val="ListParagraph"/>
        <w:numPr>
          <w:ilvl w:val="0"/>
          <w:numId w:val="4"/>
        </w:numPr>
        <w:spacing w:after="40"/>
      </w:pPr>
      <w:r>
        <w:rPr>
          <w:b/>
          <w:bCs/>
          <w:color w:val="222222"/>
          <w:sz w:val="18"/>
          <w:szCs w:val="18"/>
        </w:rPr>
        <w:t xml:space="preserve">Purchase Orders — </w:t>
      </w:r>
      <w:r>
        <w:rPr>
          <w:color w:val="222222"/>
          <w:sz w:val="18"/>
          <w:szCs w:val="18"/>
        </w:rPr>
        <w:t xml:space="preserve">createPurchaseOrder, createPurchaseOrderAdmin, updatePurchaseOrderStatus, getPurchaseOrders, deletePurchaseOrdersAdmin</w:t>
      </w:r>
    </w:p>
    <w:p>
      <w:pPr>
        <w:pStyle w:val="ListParagraph"/>
        <w:numPr>
          <w:ilvl w:val="0"/>
          <w:numId w:val="4"/>
        </w:numPr>
        <w:spacing w:after="40"/>
      </w:pPr>
      <w:r>
        <w:rPr>
          <w:b/>
          <w:bCs/>
          <w:color w:val="222222"/>
          <w:sz w:val="18"/>
          <w:szCs w:val="18"/>
        </w:rPr>
        <w:t xml:space="preserve">Dispatches — </w:t>
      </w:r>
      <w:r>
        <w:rPr>
          <w:color w:val="222222"/>
          <w:sz w:val="18"/>
          <w:szCs w:val="18"/>
        </w:rPr>
        <w:t xml:space="preserve">createDispatchRequest, createDispatchRequestAdmin, editDispatchRequestAdmin, updateDispatchRequestStatus, evaluateDispatchEligibility, getDispatchRequests</w:t>
      </w:r>
    </w:p>
    <w:p>
      <w:pPr>
        <w:pStyle w:val="ListParagraph"/>
        <w:numPr>
          <w:ilvl w:val="0"/>
          <w:numId w:val="4"/>
        </w:numPr>
        <w:spacing w:after="40"/>
      </w:pPr>
      <w:r>
        <w:rPr>
          <w:b/>
          <w:bCs/>
          <w:color w:val="222222"/>
          <w:sz w:val="18"/>
          <w:szCs w:val="18"/>
        </w:rPr>
        <w:t xml:space="preserve">Payments — </w:t>
      </w:r>
      <w:r>
        <w:rPr>
          <w:color w:val="222222"/>
          <w:sz w:val="18"/>
          <w:szCs w:val="18"/>
        </w:rPr>
        <w:t xml:space="preserve">submitPayment, recordPaymentAdmin, editPayment, updatePaymentAdmin, deletePaymentAdmin, verifyPayment, getPayments, getAdminUTCLPayments, getAdminPaymentMonitoring</w:t>
      </w:r>
    </w:p>
    <w:p>
      <w:pPr>
        <w:pStyle w:val="ListParagraph"/>
        <w:numPr>
          <w:ilvl w:val="0"/>
          <w:numId w:val="4"/>
        </w:numPr>
        <w:spacing w:after="40"/>
      </w:pPr>
      <w:r>
        <w:rPr>
          <w:b/>
          <w:bCs/>
          <w:color w:val="222222"/>
          <w:sz w:val="18"/>
          <w:szCs w:val="18"/>
        </w:rPr>
        <w:t xml:space="preserve">Refund letters — </w:t>
      </w:r>
      <w:r>
        <w:rPr>
          <w:color w:val="222222"/>
          <w:sz w:val="18"/>
          <w:szCs w:val="18"/>
        </w:rPr>
        <w:t xml:space="preserve">getRefundEligibleAllocations, markPaymentsAsRefunded, getRefundLetterReferences, getUtclRefundLetters, createUtclRefundLetter, updateUtclRefundLetterStatus</w:t>
      </w:r>
    </w:p>
    <w:p>
      <w:pPr>
        <w:pStyle w:val="ListParagraph"/>
        <w:numPr>
          <w:ilvl w:val="0"/>
          <w:numId w:val="4"/>
        </w:numPr>
        <w:spacing w:after="40"/>
      </w:pPr>
      <w:r>
        <w:rPr>
          <w:b/>
          <w:bCs/>
          <w:color w:val="222222"/>
          <w:sz w:val="18"/>
          <w:szCs w:val="18"/>
        </w:rPr>
        <w:t xml:space="preserve">Ledger &amp; compliance — </w:t>
      </w:r>
      <w:r>
        <w:rPr>
          <w:color w:val="222222"/>
          <w:sz w:val="18"/>
          <w:szCs w:val="18"/>
        </w:rPr>
        <w:t xml:space="preserve">getJournalEntries, getJournalFeed, getClientStatement, getInvoices, createCreditNote, createDebitNote, createOpeningBalance, cancelOpeningBalanceAction, getInterestSummary</w:t>
      </w:r>
    </w:p>
    <w:p>
      <w:pPr>
        <w:pStyle w:val="ListParagraph"/>
        <w:numPr>
          <w:ilvl w:val="0"/>
          <w:numId w:val="4"/>
        </w:numPr>
        <w:spacing w:after="40"/>
      </w:pPr>
      <w:r>
        <w:rPr>
          <w:b/>
          <w:bCs/>
          <w:color w:val="222222"/>
          <w:sz w:val="18"/>
          <w:szCs w:val="18"/>
        </w:rPr>
        <w:t xml:space="preserve">Balance confirmations — </w:t>
      </w:r>
      <w:r>
        <w:rPr>
          <w:color w:val="222222"/>
          <w:sz w:val="18"/>
          <w:szCs w:val="18"/>
        </w:rPr>
        <w:t xml:space="preserve">createBalanceConfirmationPeriod, getBalanceConfirmations, uploadBalanceConfirmation, clientApproveBalanceConfirmation, verifyBalanceConfirmation</w:t>
      </w:r>
    </w:p>
    <w:p>
      <w:pPr>
        <w:pStyle w:val="ListParagraph"/>
        <w:numPr>
          <w:ilvl w:val="0"/>
          <w:numId w:val="4"/>
        </w:numPr>
        <w:spacing w:after="40"/>
      </w:pPr>
      <w:r>
        <w:rPr>
          <w:b/>
          <w:bCs/>
          <w:color w:val="222222"/>
          <w:sz w:val="18"/>
          <w:szCs w:val="18"/>
        </w:rPr>
        <w:t xml:space="preserve">Admin/ops — </w:t>
      </w:r>
      <w:r>
        <w:rPr>
          <w:color w:val="222222"/>
          <w:sz w:val="18"/>
          <w:szCs w:val="18"/>
        </w:rPr>
        <w:t xml:space="preserve">getDashboardStats, getAdminOverdueReport, getExcelExportData, getAuditLogs, getNotifications, markNotificationRead, deleteNotification, createSpecialApproval, getSpecialApprovals, getWorkflowSettings, updateWorkflowSettings, createIssue, getIssues</w:t>
      </w:r>
    </w:p>
    <w:p>
      <w:pPr>
        <w:pBdr>
          <w:top w:val="single" w:color="B7791F" w:sz="4" w:space="4"/>
          <w:bottom w:val="single" w:color="B7791F" w:sz="4" w:space="4"/>
          <w:left w:val="single" w:color="B7791F" w:sz="22" w:space="10"/>
          <w:right w:val="single" w:color="B7791F" w:sz="4" w:space="4"/>
        </w:pBdr>
        <w:shd w:fill="FFF4CE" w:color="auto" w:val="clear"/>
        <w:spacing w:after="140" w:before="100"/>
      </w:pPr>
      <w:r>
        <w:rPr>
          <w:b/>
          <w:bCs/>
          <w:color w:val="222222"/>
          <w:sz w:val="21"/>
          <w:szCs w:val="21"/>
        </w:rPr>
        <w:t xml:space="preserve">⚠ Honest assessment</w:t>
      </w:r>
      <w:r>
        <w:rPr>
          <w:color w:val="222222"/>
          <w:sz w:val="21"/>
          <w:szCs w:val="21"/>
        </w:rPr>
        <w:br/>
        <w:t xml:space="preserve">This is one very large file. It works, and every function is independently testable/callable, but grouping these into domain modules (payments.functions.ts, dispatches.functions.ts, etc.) would be the obvious next refactor — a good answer if asked "what would you improve."</w:t>
      </w:r>
    </w:p>
    <w:p>
      <w:pPr>
        <w:pStyle w:val="Heading2"/>
        <w:spacing w:after="90" w:before="220"/>
      </w:pPr>
      <w:r>
        <w:rPr>
          <w:b/>
          <w:bCs/>
          <w:color w:val="2E5395"/>
          <w:sz w:val="24"/>
          <w:szCs w:val="24"/>
        </w:rPr>
        <w:t xml:space="preserve">8.2  src/lib/auth.server.ts</w:t>
      </w:r>
    </w:p>
    <w:p>
      <w:pPr>
        <w:spacing w:after="100"/>
      </w:pPr>
      <w:r>
        <w:rPr>
          <w:b w:val="false"/>
          <w:bCs w:val="false"/>
          <w:i w:val="false"/>
          <w:iCs w:val="false"/>
          <w:color w:val="222222"/>
          <w:sz w:val="21"/>
          <w:szCs w:val="21"/>
        </w:rPr>
        <w:t xml:space="preserve">Owns both Supabase clients: an anon-key client for user-scoped calls, and the service-role admin client used by nearly every server function. Also home to the withRetry cold-start resilience wrapper (§5.5).</w:t>
      </w:r>
    </w:p>
    <w:p>
      <w:pPr>
        <w:pStyle w:val="Heading2"/>
        <w:spacing w:after="90" w:before="220"/>
      </w:pPr>
      <w:r>
        <w:rPr>
          <w:b/>
          <w:bCs/>
          <w:color w:val="2E5395"/>
          <w:sz w:val="24"/>
          <w:szCs w:val="24"/>
        </w:rPr>
        <w:t xml:space="preserve">8.3  src/integrations/auth/auth-middleware.ts</w:t>
      </w:r>
    </w:p>
    <w:p>
      <w:pPr>
        <w:spacing w:after="100"/>
      </w:pPr>
      <w:r>
        <w:rPr>
          <w:b w:val="false"/>
          <w:bCs w:val="false"/>
          <w:i w:val="false"/>
          <w:iCs w:val="false"/>
          <w:color w:val="222222"/>
          <w:sz w:val="21"/>
          <w:szCs w:val="21"/>
        </w:rPr>
        <w:t xml:space="preserve">The requireAuth middleware every protected server function attaches (§5.2). Small file, load-bearing.</w:t>
      </w:r>
    </w:p>
    <w:p>
      <w:pPr>
        <w:pStyle w:val="Heading2"/>
        <w:spacing w:after="90" w:before="220"/>
      </w:pPr>
      <w:r>
        <w:rPr>
          <w:b/>
          <w:bCs/>
          <w:color w:val="2E5395"/>
          <w:sz w:val="24"/>
          <w:szCs w:val="24"/>
        </w:rPr>
        <w:t xml:space="preserve">8.4  src/components/app-shell.tsx</w:t>
      </w:r>
    </w:p>
    <w:p>
      <w:pPr>
        <w:spacing w:after="100"/>
      </w:pPr>
      <w:r>
        <w:rPr>
          <w:b w:val="false"/>
          <w:bCs w:val="false"/>
          <w:i w:val="false"/>
          <w:iCs w:val="false"/>
          <w:color w:val="222222"/>
          <w:sz w:val="21"/>
          <w:szCs w:val="21"/>
        </w:rPr>
        <w:t xml:space="preserve">The shared layout: sidebar (portal-specific nav array), top bar, notifications, sign-out. Every route renders &lt;AppShell variant="admin"&gt; or variant="client", which is what actually decides which nav the user sees (§4).</w:t>
      </w:r>
    </w:p>
    <w:p>
      <w:pPr>
        <w:pStyle w:val="Heading2"/>
        <w:spacing w:after="90" w:before="220"/>
      </w:pPr>
      <w:r>
        <w:rPr>
          <w:b/>
          <w:bCs/>
          <w:color w:val="2E5395"/>
          <w:sz w:val="24"/>
          <w:szCs w:val="24"/>
        </w:rPr>
        <w:t xml:space="preserve">8.5  vite.config.ts</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export default defineConfig({</w:t>
      </w:r>
      <w:r>
        <w:rPr>
          <w:rFonts w:ascii="Consolas" w:cs="Consolas" w:eastAsia="Consolas" w:hAnsi="Consolas"/>
          <w:color w:val="18181B"/>
          <w:sz w:val="17"/>
          <w:szCs w:val="17"/>
        </w:rPr>
        <w:br/>
        <w:t xml:space="preserve">  tanstackStart: {</w:t>
      </w:r>
      <w:r>
        <w:rPr>
          <w:rFonts w:ascii="Consolas" w:cs="Consolas" w:eastAsia="Consolas" w:hAnsi="Consolas"/>
          <w:color w:val="18181B"/>
          <w:sz w:val="17"/>
          <w:szCs w:val="17"/>
        </w:rPr>
        <w:br/>
        <w:t xml:space="preserve">    server: { entry: "server" },</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nitro: {</w:t>
      </w:r>
      <w:r>
        <w:rPr>
          <w:rFonts w:ascii="Consolas" w:cs="Consolas" w:eastAsia="Consolas" w:hAnsi="Consolas"/>
          <w:color w:val="18181B"/>
          <w:sz w:val="17"/>
          <w:szCs w:val="17"/>
        </w:rPr>
        <w:br/>
        <w:t xml:space="preserve">    preset: "vercel",</w:t>
      </w:r>
      <w:r>
        <w:rPr>
          <w:rFonts w:ascii="Consolas" w:cs="Consolas" w:eastAsia="Consolas" w:hAnsi="Consolas"/>
          <w:color w:val="18181B"/>
          <w:sz w:val="17"/>
          <w:szCs w:val="17"/>
        </w:rPr>
        <w:br/>
        <w:t xml:space="preserve">    vercel: { functions: { maxDuration: 30 } },</w:t>
      </w:r>
      <w:r>
        <w:rPr>
          <w:rFonts w:ascii="Consolas" w:cs="Consolas" w:eastAsia="Consolas" w:hAnsi="Consolas"/>
          <w:color w:val="18181B"/>
          <w:sz w:val="17"/>
          <w:szCs w:val="17"/>
        </w:rPr>
        <w:br/>
        <w:t xml:space="preserve">    compatibilityDate: "2025-01-01",</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w:t>
      </w:r>
    </w:p>
    <w:p>
      <w:pPr>
        <w:spacing w:after="100"/>
      </w:pPr>
      <w:r>
        <w:rPr>
          <w:b w:val="false"/>
          <w:bCs w:val="false"/>
          <w:i w:val="false"/>
          <w:iCs w:val="false"/>
          <w:color w:val="222222"/>
          <w:sz w:val="21"/>
          <w:szCs w:val="21"/>
        </w:rPr>
        <w:t xml:space="preserve">Small file, but the single line preset: "vercel" is the difference between a working deployment and a sitewide 404 — see the deployment war story in §12.1.</w:t>
      </w:r>
    </w:p>
    <w:p>
      <w:pPr>
        <w:pStyle w:val="Heading2"/>
        <w:spacing w:after="90" w:before="220"/>
      </w:pPr>
      <w:r>
        <w:rPr>
          <w:b/>
          <w:bCs/>
          <w:color w:val="2E5395"/>
          <w:sz w:val="24"/>
          <w:szCs w:val="24"/>
        </w:rPr>
        <w:t xml:space="preserve">8.6  A typical route file's shape</w:t>
      </w:r>
    </w:p>
    <w:p>
      <w:pPr>
        <w:spacing w:after="100"/>
      </w:pPr>
      <w:r>
        <w:rPr>
          <w:b w:val="false"/>
          <w:bCs w:val="false"/>
          <w:i w:val="false"/>
          <w:iCs w:val="false"/>
          <w:color w:val="222222"/>
          <w:sz w:val="21"/>
          <w:szCs w:val="21"/>
        </w:rPr>
        <w:t xml:space="preserve">Every admin/client page (e.g. clients.tsx, payments.tsx) follows the same pattern: fetch with useQuery, mutate with useMutation, invalidate the query cache on success, surface errors with a toast.</w:t>
      </w:r>
    </w:p>
    <w:p>
      <w:pPr>
        <w:pBdr>
          <w:top w:val="single" w:color="D4D4D8" w:sz="4" w:space="6"/>
          <w:bottom w:val="single" w:color="D4D4D8" w:sz="4" w:space="6"/>
          <w:left w:val="single" w:color="D4D4D8" w:sz="4" w:space="8"/>
          <w:right w:val="single" w:color="D4D4D8" w:sz="4" w:space="8"/>
        </w:pBdr>
        <w:shd w:fill="F4F4F5" w:color="auto" w:val="clear"/>
        <w:spacing w:after="140"/>
      </w:pPr>
      <w:r>
        <w:rPr>
          <w:rFonts w:ascii="Consolas" w:cs="Consolas" w:eastAsia="Consolas" w:hAnsi="Consolas"/>
          <w:color w:val="18181B"/>
          <w:sz w:val="17"/>
          <w:szCs w:val="17"/>
        </w:rPr>
        <w:t xml:space="preserve">const { data: clients } = useQuery({</w:t>
      </w:r>
      <w:r>
        <w:rPr>
          <w:rFonts w:ascii="Consolas" w:cs="Consolas" w:eastAsia="Consolas" w:hAnsi="Consolas"/>
          <w:color w:val="18181B"/>
          <w:sz w:val="17"/>
          <w:szCs w:val="17"/>
        </w:rPr>
        <w:br/>
        <w:t xml:space="preserve">  queryKey: ["admin-clients"],</w:t>
      </w:r>
      <w:r>
        <w:rPr>
          <w:rFonts w:ascii="Consolas" w:cs="Consolas" w:eastAsia="Consolas" w:hAnsi="Consolas"/>
          <w:color w:val="18181B"/>
          <w:sz w:val="17"/>
          <w:szCs w:val="17"/>
        </w:rPr>
        <w:br/>
        <w:t xml:space="preserve">  queryFn: () =&gt; getClients(),</w:t>
      </w:r>
      <w:r>
        <w:rPr>
          <w:rFonts w:ascii="Consolas" w:cs="Consolas" w:eastAsia="Consolas" w:hAnsi="Consolas"/>
          <w:color w:val="18181B"/>
          <w:sz w:val="17"/>
          <w:szCs w:val="17"/>
        </w:rPr>
        <w:br/>
        <w:t xml:space="preserve">});</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const createMutation = useMutation({</w:t>
      </w:r>
      <w:r>
        <w:rPr>
          <w:rFonts w:ascii="Consolas" w:cs="Consolas" w:eastAsia="Consolas" w:hAnsi="Consolas"/>
          <w:color w:val="18181B"/>
          <w:sz w:val="17"/>
          <w:szCs w:val="17"/>
        </w:rPr>
        <w:br/>
        <w:t xml:space="preserve">  mutationFn: (payload: any) =&gt; createClient({ data: payload }),</w:t>
      </w:r>
      <w:r>
        <w:rPr>
          <w:rFonts w:ascii="Consolas" w:cs="Consolas" w:eastAsia="Consolas" w:hAnsi="Consolas"/>
          <w:color w:val="18181B"/>
          <w:sz w:val="17"/>
          <w:szCs w:val="17"/>
        </w:rPr>
        <w:br/>
        <w:t xml:space="preserve">  onSuccess: () =&gt; {</w:t>
      </w:r>
      <w:r>
        <w:rPr>
          <w:rFonts w:ascii="Consolas" w:cs="Consolas" w:eastAsia="Consolas" w:hAnsi="Consolas"/>
          <w:color w:val="18181B"/>
          <w:sz w:val="17"/>
          <w:szCs w:val="17"/>
        </w:rPr>
        <w:br/>
        <w:t xml:space="preserve">    queryClient.invalidateQueries({ queryKey: ["admin-clients"] });</w:t>
      </w:r>
      <w:r>
        <w:rPr>
          <w:rFonts w:ascii="Consolas" w:cs="Consolas" w:eastAsia="Consolas" w:hAnsi="Consolas"/>
          <w:color w:val="18181B"/>
          <w:sz w:val="17"/>
          <w:szCs w:val="17"/>
        </w:rPr>
        <w:br/>
        <w:t xml:space="preserve">    toast.success("Client onboarded successfully!");</w:t>
      </w:r>
      <w:r>
        <w:rPr>
          <w:rFonts w:ascii="Consolas" w:cs="Consolas" w:eastAsia="Consolas" w:hAnsi="Consolas"/>
          <w:color w:val="18181B"/>
          <w:sz w:val="17"/>
          <w:szCs w:val="17"/>
        </w:rPr>
        <w:br/>
        <w:t xml:space="preserve">  },</w:t>
      </w:r>
      <w:r>
        <w:rPr>
          <w:rFonts w:ascii="Consolas" w:cs="Consolas" w:eastAsia="Consolas" w:hAnsi="Consolas"/>
          <w:color w:val="18181B"/>
          <w:sz w:val="17"/>
          <w:szCs w:val="17"/>
        </w:rPr>
        <w:br/>
        <w:t xml:space="preserve">  onError: (err: any) =&gt; toast.error(err?.message ?? "Failed to onboard client"),</w:t>
      </w:r>
      <w:r>
        <w:rPr>
          <w:rFonts w:ascii="Consolas" w:cs="Consolas" w:eastAsia="Consolas" w:hAnsi="Consolas"/>
          <w:color w:val="18181B"/>
          <w:sz w:val="17"/>
          <w:szCs w:val="17"/>
        </w:rPr>
        <w:br/>
        <w:t xml:space="preserve">});</w:t>
      </w:r>
    </w:p>
    <w:p>
      <w:r>
        <w:br w:type="page"/>
      </w:r>
    </w:p>
    <w:p>
      <w:pPr>
        <w:pStyle w:val="Heading1"/>
        <w:pBdr>
          <w:bottom w:val="single" w:color="1F3864" w:sz="8" w:space="5"/>
        </w:pBdr>
        <w:spacing w:after="140" w:before="320"/>
      </w:pPr>
      <w:r>
        <w:rPr>
          <w:b/>
          <w:bCs/>
          <w:color w:val="1F3864"/>
          <w:sz w:val="30"/>
          <w:szCs w:val="30"/>
        </w:rPr>
        <w:t xml:space="preserve">9. Deployment &amp; Infrastructure</w:t>
      </w:r>
    </w:p>
    <w:p>
      <w:pPr>
        <w:pStyle w:val="Heading2"/>
        <w:spacing w:after="90" w:before="220"/>
      </w:pPr>
      <w:r>
        <w:rPr>
          <w:b/>
          <w:bCs/>
          <w:color w:val="2E5395"/>
          <w:sz w:val="24"/>
          <w:szCs w:val="24"/>
        </w:rPr>
        <w:t xml:space="preserve">9.1  Pipeline</w:t>
      </w:r>
    </w:p>
    <w:p>
      <w:pPr>
        <w:pStyle w:val="ListParagraph"/>
        <w:numPr>
          <w:ilvl w:val="0"/>
          <w:numId w:val="3"/>
        </w:numPr>
        <w:spacing w:after="70"/>
      </w:pPr>
      <w:r>
        <w:rPr>
          <w:color w:val="222222"/>
          <w:sz w:val="21"/>
          <w:szCs w:val="21"/>
        </w:rPr>
        <w:t xml:space="preserve">Code is pushed to a GitHub repository (mundalmasonmart/mundra-flow-pilot).</w:t>
      </w:r>
    </w:p>
    <w:p>
      <w:pPr>
        <w:pStyle w:val="ListParagraph"/>
        <w:numPr>
          <w:ilvl w:val="0"/>
          <w:numId w:val="3"/>
        </w:numPr>
        <w:spacing w:after="70"/>
      </w:pPr>
      <w:r>
        <w:rPr>
          <w:color w:val="222222"/>
          <w:sz w:val="21"/>
          <w:szCs w:val="21"/>
        </w:rPr>
        <w:t xml:space="preserve">Vercel's GitHub integration detects the push and builds automatically — npm install, npm run build, which runs vite build with the Nitro Vercel preset.</w:t>
      </w:r>
    </w:p>
    <w:p>
      <w:pPr>
        <w:pStyle w:val="ListParagraph"/>
        <w:numPr>
          <w:ilvl w:val="0"/>
          <w:numId w:val="3"/>
        </w:numPr>
        <w:spacing w:after="70"/>
      </w:pPr>
      <w:r>
        <w:rPr>
          <w:color w:val="222222"/>
          <w:sz w:val="21"/>
          <w:szCs w:val="21"/>
        </w:rPr>
        <w:t xml:space="preserve">Build output lands in .vercel/output in Vercel's native serverless format (a __server.func function plus static assets).</w:t>
      </w:r>
    </w:p>
    <w:p>
      <w:pPr>
        <w:pStyle w:val="ListParagraph"/>
        <w:numPr>
          <w:ilvl w:val="0"/>
          <w:numId w:val="3"/>
        </w:numPr>
        <w:spacing w:after="70"/>
      </w:pPr>
      <w:r>
        <w:rPr>
          <w:color w:val="222222"/>
          <w:sz w:val="21"/>
          <w:szCs w:val="21"/>
        </w:rPr>
        <w:t xml:space="preserve">Only on a SUCCESSFUL build does Vercel atomically repoint the production alias at the new deployment — a failed build never touches what's live.</w:t>
      </w:r>
    </w:p>
    <w:p>
      <w:pPr>
        <w:pBdr>
          <w:top w:val="single" w:color="2C5AA0" w:sz="4" w:space="4"/>
          <w:bottom w:val="single" w:color="2C5AA0" w:sz="4" w:space="4"/>
          <w:left w:val="single" w:color="2C5AA0" w:sz="22" w:space="10"/>
          <w:right w:val="single" w:color="2C5AA0" w:sz="4" w:space="4"/>
        </w:pBdr>
        <w:shd w:fill="E8F0FE" w:color="auto" w:val="clear"/>
        <w:spacing w:after="140" w:before="100"/>
      </w:pPr>
      <w:r>
        <w:rPr>
          <w:b/>
          <w:bCs/>
          <w:color w:val="222222"/>
          <w:sz w:val="21"/>
          <w:szCs w:val="21"/>
        </w:rPr>
        <w:t xml:space="preserve">ℹ Zero-downtime by construction, not by extra engineering</w:t>
      </w:r>
      <w:r>
        <w:rPr>
          <w:color w:val="222222"/>
          <w:sz w:val="21"/>
          <w:szCs w:val="21"/>
        </w:rPr>
        <w:br/>
        <w:t xml:space="preserve">This atomic-swap behaviour is a property of the platform, not something the project had to build — but it's worth being able to explain, since it's exactly the guarantee that let risky schema/logic changes ship confidently throughout this project's life: a broken build simply never goes live.</w:t>
      </w:r>
    </w:p>
    <w:p>
      <w:pPr>
        <w:pStyle w:val="Heading2"/>
        <w:spacing w:after="90" w:before="220"/>
      </w:pPr>
      <w:r>
        <w:rPr>
          <w:b/>
          <w:bCs/>
          <w:color w:val="2E5395"/>
          <w:sz w:val="24"/>
          <w:szCs w:val="24"/>
        </w:rPr>
        <w:t xml:space="preserve">9.2  Database migrations</w:t>
      </w:r>
    </w:p>
    <w:p>
      <w:pPr>
        <w:spacing w:after="100"/>
      </w:pPr>
      <w:r>
        <w:rPr>
          <w:b w:val="false"/>
          <w:bCs w:val="false"/>
          <w:i w:val="false"/>
          <w:iCs w:val="false"/>
          <w:color w:val="222222"/>
          <w:sz w:val="21"/>
          <w:szCs w:val="21"/>
        </w:rPr>
        <w:t xml:space="preserve">43 hand-written SQL files in supabase/migrations/, named YYYYMMDDHHMMSS_description.sql. There is no automated migration runner in CI — each file is manually pasted into the Supabase SQL editor and run once. Every migration in this project's later history was deliberately written additive-only (ADD COLUMN IF NOT EXISTS, new tables, CREATE OR REPLACE FUNCTION) specifically so it could be run against a live database without a maintenance window or risk to existing rows.</w:t>
      </w:r>
    </w:p>
    <w:p>
      <w:pPr>
        <w:pStyle w:val="Heading2"/>
        <w:spacing w:after="90" w:before="220"/>
      </w:pPr>
      <w:r>
        <w:rPr>
          <w:b/>
          <w:bCs/>
          <w:color w:val="2E5395"/>
          <w:sz w:val="24"/>
          <w:szCs w:val="24"/>
        </w:rPr>
        <w:t xml:space="preserve">9.3  Engineering incidents worth knowing cold</w:t>
      </w:r>
    </w:p>
    <w:p>
      <w:pPr>
        <w:spacing w:after="100"/>
      </w:pPr>
      <w:r>
        <w:rPr>
          <w:b w:val="false"/>
          <w:bCs w:val="false"/>
          <w:i w:val="false"/>
          <w:iCs w:val="false"/>
          <w:color w:val="222222"/>
          <w:sz w:val="21"/>
          <w:szCs w:val="21"/>
        </w:rPr>
        <w:t xml:space="preserve">These are real production issues from this project's history — good STAR-format answers to "tell me about a bug you fixed."</w:t>
      </w:r>
    </w:p>
    <w:p>
      <w:pPr>
        <w:spacing w:after="60" w:before="150"/>
      </w:pPr>
      <w:r>
        <w:rPr>
          <w:b/>
          <w:bCs/>
          <w:color w:val="9C6B1F"/>
          <w:sz w:val="21"/>
          <w:szCs w:val="21"/>
        </w:rPr>
        <w:t xml:space="preserve">Sitewide 404 despite a green deployment</w:t>
      </w:r>
    </w:p>
    <w:p>
      <w:pPr>
        <w:spacing w:after="100"/>
      </w:pPr>
      <w:r>
        <w:rPr>
          <w:b w:val="false"/>
          <w:bCs w:val="false"/>
          <w:i w:val="false"/>
          <w:iCs w:val="false"/>
          <w:color w:val="222222"/>
          <w:sz w:val="21"/>
          <w:szCs w:val="21"/>
        </w:rPr>
        <w:t xml:space="preserve">Symptom: every deployment showed ● Ready, but every route 404'd. Root cause: a scaffolding plugin (@lovable.dev/vite-tanstack-config) only enables its Nitro deploy step when it detects a specific sandbox context; outside that context it silently skipped emitting Vercel's serverless function output, so the build "succeeded" while producing nothing Vercel could route to. Fix: an explicit nitro: { preset: "vercel" } override in vite.config.ts forces the step to run regardless of environment detection.</w:t>
      </w:r>
    </w:p>
    <w:p>
      <w:pPr>
        <w:spacing w:after="60" w:before="150"/>
      </w:pPr>
      <w:r>
        <w:rPr>
          <w:b/>
          <w:bCs/>
          <w:color w:val="9C6B1F"/>
          <w:sz w:val="21"/>
          <w:szCs w:val="21"/>
        </w:rPr>
        <w:t xml:space="preserve">Deployments silently blocked, with no error surfaced anywhere</w:t>
      </w:r>
    </w:p>
    <w:p>
      <w:pPr>
        <w:spacing w:after="100"/>
      </w:pPr>
      <w:r>
        <w:rPr>
          <w:b w:val="false"/>
          <w:bCs w:val="false"/>
          <w:i w:val="false"/>
          <w:iCs w:val="false"/>
          <w:color w:val="222222"/>
          <w:sz w:val="21"/>
          <w:szCs w:val="21"/>
        </w:rPr>
        <w:t xml:space="preserve">Symptom: a git push produced a deployment stuck at status UNKNOWN forever, with zero build logs — the CLI gave no explanation. Root cause: on Vercel's plan tier, the commit author's email must match a verified email on the GitHub account connected to the project; a mismatched author silently blocks the build before it starts. The reason was visible ONLY in the web dashboard, never in the CLI or API. Recurred multiple times whenever the local git identity reverted (e.g. after merging work from a different contributor).</w:t>
      </w:r>
    </w:p>
    <w:p>
      <w:pPr>
        <w:spacing w:after="60" w:before="150"/>
      </w:pPr>
      <w:r>
        <w:rPr>
          <w:b/>
          <w:bCs/>
          <w:color w:val="9C6B1F"/>
          <w:sz w:val="21"/>
          <w:szCs w:val="21"/>
        </w:rPr>
        <w:t xml:space="preserve">Package manager mismatch breaking remote builds only</w:t>
      </w:r>
    </w:p>
    <w:p>
      <w:pPr>
        <w:spacing w:after="100"/>
      </w:pPr>
      <w:r>
        <w:rPr>
          <w:b w:val="false"/>
          <w:bCs w:val="false"/>
          <w:i w:val="false"/>
          <w:iCs w:val="false"/>
          <w:color w:val="222222"/>
          <w:sz w:val="21"/>
          <w:szCs w:val="21"/>
        </w:rPr>
        <w:t xml:space="preserve">A bunfig.toml plus bun.lock made Vercel's remote builder use Bun, while every build done locally used npm — and the two produced different results for the same source. Fixed by explicitly pinning the project's install/build commands to npm so the remote builder can't silently pick a different package manager.</w:t>
      </w:r>
    </w:p>
    <w:p>
      <w:pPr>
        <w:pStyle w:val="Heading1"/>
        <w:pBdr>
          <w:bottom w:val="single" w:color="1F3864" w:sz="8" w:space="5"/>
        </w:pBdr>
        <w:spacing w:after="140" w:before="320"/>
      </w:pPr>
      <w:r>
        <w:rPr>
          <w:b/>
          <w:bCs/>
          <w:color w:val="1F3864"/>
          <w:sz w:val="30"/>
          <w:szCs w:val="30"/>
        </w:rPr>
        <w:t xml:space="preserve">10. Testing</w:t>
      </w:r>
    </w:p>
    <w:p>
      <w:pPr>
        <w:spacing w:after="100"/>
      </w:pPr>
      <w:r>
        <w:rPr>
          <w:b w:val="false"/>
          <w:bCs w:val="false"/>
          <w:i w:val="false"/>
          <w:iCs w:val="false"/>
          <w:color w:val="222222"/>
          <w:sz w:val="21"/>
          <w:szCs w:val="21"/>
        </w:rPr>
        <w:t xml:space="preserve">Vitest + Testing Library are configured, with two test files targeting the financial logic specifically: ledger_balances.test.ts and opening_balances.test.ts.</w:t>
      </w:r>
    </w:p>
    <w:p>
      <w:pPr>
        <w:pBdr>
          <w:top w:val="single" w:color="B7791F" w:sz="4" w:space="4"/>
          <w:bottom w:val="single" w:color="B7791F" w:sz="4" w:space="4"/>
          <w:left w:val="single" w:color="B7791F" w:sz="22" w:space="10"/>
          <w:right w:val="single" w:color="B7791F" w:sz="4" w:space="4"/>
        </w:pBdr>
        <w:shd w:fill="FFF4CE" w:color="auto" w:val="clear"/>
        <w:spacing w:after="140" w:before="100"/>
      </w:pPr>
      <w:r>
        <w:rPr>
          <w:b/>
          <w:bCs/>
          <w:color w:val="222222"/>
          <w:sz w:val="21"/>
          <w:szCs w:val="21"/>
        </w:rPr>
        <w:t xml:space="preserve">⚠ Honest limitation</w:t>
      </w:r>
      <w:r>
        <w:rPr>
          <w:color w:val="222222"/>
          <w:sz w:val="21"/>
          <w:szCs w:val="21"/>
        </w:rPr>
        <w:br/>
        <w:t xml:space="preserve">In this development environment the test suite currently fails to even start, with an esbuild "TextEncoder().encode('') instanceof Uint8Array" invariant error — an environment-level issue, not a problem with the test code or the application. Verification in this environment has relied on TypeScript compilation, production builds, and manual route smoke-testing instead. Worth being upfront about this if asked directly — it's a real, known gap rather than something to gloss over.</w:t>
      </w:r>
    </w:p>
    <w:p>
      <w:pPr>
        <w:pStyle w:val="Heading1"/>
        <w:pBdr>
          <w:bottom w:val="single" w:color="1F3864" w:sz="8" w:space="5"/>
        </w:pBdr>
        <w:spacing w:after="140" w:before="320"/>
      </w:pPr>
      <w:r>
        <w:rPr>
          <w:b/>
          <w:bCs/>
          <w:color w:val="1F3864"/>
          <w:sz w:val="30"/>
          <w:szCs w:val="30"/>
        </w:rPr>
        <w:t xml:space="preserve">11. Notable Engineering Decisions</w:t>
      </w:r>
    </w:p>
    <w:p>
      <w:pPr>
        <w:spacing w:after="60" w:before="150"/>
      </w:pPr>
      <w:r>
        <w:rPr>
          <w:b/>
          <w:bCs/>
          <w:color w:val="9C6B1F"/>
          <w:sz w:val="21"/>
          <w:szCs w:val="21"/>
        </w:rPr>
        <w:t xml:space="preserve">Service-role bypass of RLS, with app-layer authorization</w:t>
      </w:r>
    </w:p>
    <w:p>
      <w:pPr>
        <w:spacing w:after="100"/>
      </w:pPr>
      <w:r>
        <w:rPr>
          <w:b w:val="false"/>
          <w:bCs w:val="false"/>
          <w:i w:val="false"/>
          <w:iCs w:val="false"/>
          <w:color w:val="222222"/>
          <w:sz w:val="21"/>
          <w:szCs w:val="21"/>
        </w:rPr>
        <w:t xml:space="preserve">Chosen for testability and to keep complex, cross-table authorization logic in one language (TypeScript) rather than split across RLS policies and application code. Trade-off: every new server function must remember to add its own auth check — nothing enforces it automatically. RLS policies remain in place as defense-in-depth for any future direct-DB access path.</w:t>
      </w:r>
    </w:p>
    <w:p>
      <w:pPr>
        <w:spacing w:after="60" w:before="150"/>
      </w:pPr>
      <w:r>
        <w:rPr>
          <w:b/>
          <w:bCs/>
          <w:color w:val="9C6B1F"/>
          <w:sz w:val="21"/>
          <w:szCs w:val="21"/>
        </w:rPr>
        <w:t xml:space="preserve">Financial logic in Postgres functions, not the application layer</w:t>
      </w:r>
    </w:p>
    <w:p>
      <w:pPr>
        <w:spacing w:after="100"/>
      </w:pPr>
      <w:r>
        <w:rPr>
          <w:b w:val="false"/>
          <w:bCs w:val="false"/>
          <w:i w:val="false"/>
          <w:iCs w:val="false"/>
          <w:color w:val="222222"/>
          <w:sz w:val="21"/>
          <w:szCs w:val="21"/>
        </w:rPr>
        <w:t xml:space="preserve">Money allocation and balance recalculation live in PL/pgSQL functions using row locks (FOR UPDATE), guaranteeing correctness under concurrent writes regardless of which client calls them. Trade-off: business logic is split across two languages (TypeScript for orchestration, SQL for the money-critical core), which raises the bar for anyone maintaining it.</w:t>
      </w:r>
    </w:p>
    <w:p>
      <w:pPr>
        <w:spacing w:after="60" w:before="150"/>
      </w:pPr>
      <w:r>
        <w:rPr>
          <w:b/>
          <w:bCs/>
          <w:color w:val="9C6B1F"/>
          <w:sz w:val="21"/>
          <w:szCs w:val="21"/>
        </w:rPr>
        <w:t xml:space="preserve">Additive-only migrations on a live system</w:t>
      </w:r>
    </w:p>
    <w:p>
      <w:pPr>
        <w:spacing w:after="100"/>
      </w:pPr>
      <w:r>
        <w:rPr>
          <w:b w:val="false"/>
          <w:bCs w:val="false"/>
          <w:i w:val="false"/>
          <w:iCs w:val="false"/>
          <w:color w:val="222222"/>
          <w:sz w:val="21"/>
          <w:szCs w:val="21"/>
        </w:rPr>
        <w:t xml:space="preserve">Every schema change in this project's later history (multi-product POs, debit notes, refund letter tracking) kept legacy columns and added fallbacks rather than rewriting in place, specifically so a migration could be run against production data without a maintenance window or manual data fix-up.</w:t>
      </w:r>
    </w:p>
    <w:p>
      <w:pPr>
        <w:spacing w:after="60" w:before="150"/>
      </w:pPr>
      <w:r>
        <w:rPr>
          <w:b/>
          <w:bCs/>
          <w:color w:val="9C6B1F"/>
          <w:sz w:val="21"/>
          <w:szCs w:val="21"/>
        </w:rPr>
        <w:t xml:space="preserve">One overloaded payments table vs. three separate tables</w:t>
      </w:r>
    </w:p>
    <w:p>
      <w:pPr>
        <w:spacing w:after="100"/>
      </w:pPr>
      <w:r>
        <w:rPr>
          <w:b w:val="false"/>
          <w:bCs w:val="false"/>
          <w:i w:val="false"/>
          <w:iCs w:val="false"/>
          <w:color w:val="222222"/>
          <w:sz w:val="21"/>
          <w:szCs w:val="21"/>
        </w:rPr>
        <w:t xml:space="preserve">Flagged above (§6.5) as the honest "what I'd change" answer. The current design correctly models that these ARE the same kind of record (amount, date, mode, reference) with different directions — but the boolean-flag disambiguation has been the single largest source of bugs in the project, particularly around invoice-linkage resolution in the refund-letter flow.</w:t>
      </w:r>
    </w:p>
    <w:p>
      <w:r>
        <w:br w:type="page"/>
      </w:r>
    </w:p>
    <w:p>
      <w:pPr>
        <w:pStyle w:val="Heading1"/>
        <w:pBdr>
          <w:bottom w:val="single" w:color="1F3864" w:sz="8" w:space="5"/>
        </w:pBdr>
        <w:spacing w:after="140" w:before="320"/>
      </w:pPr>
      <w:r>
        <w:rPr>
          <w:b/>
          <w:bCs/>
          <w:color w:val="1F3864"/>
          <w:sz w:val="30"/>
          <w:szCs w:val="30"/>
        </w:rPr>
        <w:t xml:space="preserve">12. Where to Find Things — A Codebase File Map</w:t>
      </w:r>
    </w:p>
    <w:p>
      <w:pPr>
        <w:spacing w:after="130"/>
      </w:pPr>
      <w:r>
        <w:rPr>
          <w:i/>
          <w:iCs/>
          <w:color w:val="5B5B5B"/>
          <w:sz w:val="21"/>
          <w:szCs w:val="21"/>
        </w:rPr>
        <w:t xml:space="preserve">A quick-lookup index: if an interviewer asks "show me where X lives," this is the section to have open.</w:t>
      </w:r>
    </w:p>
    <w:p>
      <w:pPr>
        <w:pStyle w:val="Heading2"/>
        <w:spacing w:after="90" w:before="220"/>
      </w:pPr>
      <w:r>
        <w:rPr>
          <w:b/>
          <w:bCs/>
          <w:color w:val="2E5395"/>
          <w:sz w:val="24"/>
          <w:szCs w:val="24"/>
        </w:rPr>
        <w:t xml:space="preserve">12.1  Payments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60"/>
              <w:left w:type="dxa" w:w="90"/>
              <w:bottom w:type="dxa" w:w="60"/>
              <w:right w:type="dxa" w:w="90"/>
            </w:tcMar>
            <w:vAlign w:val="center"/>
          </w:tcPr>
          <w:p>
            <w:r>
              <w:rPr>
                <w:b/>
                <w:bCs/>
                <w:color w:val="FFFFFF"/>
                <w:sz w:val="18"/>
                <w:szCs w:val="18"/>
              </w:rPr>
              <w:t xml:space="preserve">What</w:t>
            </w:r>
          </w:p>
        </w:tc>
        <w:tc>
          <w:tcPr>
            <w:tcW w:type="dxa" w:w="5826"/>
            <w:shd w:fill="1F3864" w:color="auto" w:val="clear"/>
            <w:tcMar>
              <w:top w:type="dxa" w:w="60"/>
              <w:left w:type="dxa" w:w="90"/>
              <w:bottom w:type="dxa" w:w="60"/>
              <w:right w:type="dxa" w:w="90"/>
            </w:tcMar>
            <w:vAlign w:val="center"/>
          </w:tcPr>
          <w:p>
            <w:r>
              <w:rPr>
                <w:b/>
                <w:bCs/>
                <w:color w:val="FFFFFF"/>
                <w:sz w:val="18"/>
                <w:szCs w:val="18"/>
              </w:rPr>
              <w:t xml:space="preserve">Path</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Client reports a payment to Mundra</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src/routes/_authenticated/client/payments.tsx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Admin: Mundra↔UTCL payments (two tabs)</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src/routes/_authenticated/admin/payments.tsx</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All payment server functions</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src/lib/api/business.functions.ts — submitPayment, recordPaymentAdmin, editPayment, updatePaymentAdmin, deletePaymentAdmin, verifyPayment, getPayments, getAdminUTCLPayments, getAdminPaymentMonitoring</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Payment allocation engine (FIFO + priority)</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Postgres function record_payment_with_allocations — supabase/migrations/20260803133000_fifo_payment_rpc_fix_4.sql (latest version)</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Wallet/credit balance recompute</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Postgres function recalculate_wallet_balance — supabase/migrations/20260717140500_wallet_recalculation_triggers.sql</w:t>
            </w:r>
          </w:p>
        </w:tc>
      </w:tr>
    </w:tbl>
    <w:p>
      <w:pPr>
        <w:pStyle w:val="Heading2"/>
        <w:spacing w:after="90" w:before="220"/>
      </w:pPr>
      <w:r>
        <w:rPr>
          <w:b/>
          <w:bCs/>
          <w:color w:val="2E5395"/>
          <w:sz w:val="24"/>
          <w:szCs w:val="24"/>
        </w:rPr>
        <w:t xml:space="preserve">12.2  Refund letters &amp; balance confirmations</w:t>
      </w:r>
    </w:p>
    <w:p>
      <w:pPr>
        <w:pBdr>
          <w:top w:val="single" w:color="B7791F" w:sz="4" w:space="4"/>
          <w:bottom w:val="single" w:color="B7791F" w:sz="4" w:space="4"/>
          <w:left w:val="single" w:color="B7791F" w:sz="22" w:space="10"/>
          <w:right w:val="single" w:color="B7791F" w:sz="4" w:space="4"/>
        </w:pBdr>
        <w:shd w:fill="FFF4CE" w:color="auto" w:val="clear"/>
        <w:spacing w:after="140" w:before="100"/>
      </w:pPr>
      <w:r>
        <w:rPr>
          <w:b/>
          <w:bCs/>
          <w:color w:val="222222"/>
          <w:sz w:val="21"/>
          <w:szCs w:val="21"/>
        </w:rPr>
        <w:t xml:space="preserve">⚠ File names do not match nav labels — a real trap</w:t>
      </w:r>
      <w:r>
        <w:rPr>
          <w:color w:val="222222"/>
          <w:sz w:val="21"/>
          <w:szCs w:val="21"/>
        </w:rPr>
        <w:br/>
        <w:t xml:space="preserve">admin/refund-letters.tsx is NOT the refund letter page — its sidebar label is "Balance Confirmations".</w:t>
      </w:r>
      <w:r>
        <w:rPr>
          <w:color w:val="222222"/>
          <w:sz w:val="21"/>
          <w:szCs w:val="21"/>
        </w:rPr>
        <w:br/>
        <w:t xml:space="preserve">admin/balance-confirmations.tsx IS the real refund letter page — its sidebar label is "Refund Letters".</w:t>
      </w:r>
      <w:r>
        <w:rPr>
          <w:color w:val="222222"/>
          <w:sz w:val="21"/>
          <w:szCs w:val="21"/>
        </w:rPr>
        <w:br/>
        <w:t xml:space="preserve">The on-screen labels are correct and consistent for end users; only the underlying file names are swapped. Easy to lose ten minutes to this if you go straight to the file that sounds right.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60"/>
              <w:left w:type="dxa" w:w="90"/>
              <w:bottom w:type="dxa" w:w="60"/>
              <w:right w:type="dxa" w:w="90"/>
            </w:tcMar>
            <w:vAlign w:val="center"/>
          </w:tcPr>
          <w:p>
            <w:r>
              <w:rPr>
                <w:b/>
                <w:bCs/>
                <w:color w:val="FFFFFF"/>
                <w:sz w:val="18"/>
                <w:szCs w:val="18"/>
              </w:rPr>
              <w:t xml:space="preserve">What</w:t>
            </w:r>
          </w:p>
        </w:tc>
        <w:tc>
          <w:tcPr>
            <w:tcW w:type="dxa" w:w="5826"/>
            <w:shd w:fill="1F3864" w:color="auto" w:val="clear"/>
            <w:tcMar>
              <w:top w:type="dxa" w:w="60"/>
              <w:left w:type="dxa" w:w="90"/>
              <w:bottom w:type="dxa" w:w="60"/>
              <w:right w:type="dxa" w:w="90"/>
            </w:tcMar>
            <w:vAlign w:val="center"/>
          </w:tcPr>
          <w:p>
            <w:r>
              <w:rPr>
                <w:b/>
                <w:bCs/>
                <w:color w:val="FFFFFF"/>
                <w:sz w:val="18"/>
                <w:szCs w:val="18"/>
              </w:rPr>
              <w:t xml:space="preserve">Path</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Refund letter generator (real one)</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src/routes/_authenticated/admin/balance-confirmations.tsx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Balance confirmation letter generator</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src/routes/_authenticated/admin/refund-letters.tsx</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Client: view/approve balance confirmations</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src/routes/_authenticated/client/balance-confirmations.tsx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Refund letter server functions</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src/lib/api/business.functions.ts — getRefundEligibleAllocations, markPaymentsAsRefunded, getRefundLetterReferences, getUtclRefundLetters, createUtclRefundLetter, updateUtclRefundLetterStatus</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Refund letter tables</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supabase/migrations/20260817110000_utcl_refund_letters.sql, 20260817130000_add_ref_no_to_refund_letters.sql, 20260804120000_refund_letters_tracking.sql</w:t>
            </w:r>
          </w:p>
        </w:tc>
      </w:tr>
    </w:tbl>
    <w:p>
      <w:pPr>
        <w:pStyle w:val="Heading2"/>
        <w:spacing w:after="90" w:before="220"/>
      </w:pPr>
      <w:r>
        <w:rPr>
          <w:b/>
          <w:bCs/>
          <w:color w:val="2E5395"/>
          <w:sz w:val="24"/>
          <w:szCs w:val="24"/>
        </w:rPr>
        <w:t xml:space="preserve">12.3  Purchase orders, dispatches &amp; PO letterheads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60"/>
              <w:left w:type="dxa" w:w="90"/>
              <w:bottom w:type="dxa" w:w="60"/>
              <w:right w:type="dxa" w:w="90"/>
            </w:tcMar>
            <w:vAlign w:val="center"/>
          </w:tcPr>
          <w:p>
            <w:r>
              <w:rPr>
                <w:b/>
                <w:bCs/>
                <w:color w:val="FFFFFF"/>
                <w:sz w:val="18"/>
                <w:szCs w:val="18"/>
              </w:rPr>
              <w:t xml:space="preserve">What</w:t>
            </w:r>
          </w:p>
        </w:tc>
        <w:tc>
          <w:tcPr>
            <w:tcW w:type="dxa" w:w="5826"/>
            <w:shd w:fill="1F3864" w:color="auto" w:val="clear"/>
            <w:tcMar>
              <w:top w:type="dxa" w:w="60"/>
              <w:left w:type="dxa" w:w="90"/>
              <w:bottom w:type="dxa" w:w="60"/>
              <w:right w:type="dxa" w:w="90"/>
            </w:tcMar>
            <w:vAlign w:val="center"/>
          </w:tcPr>
          <w:p>
            <w:r>
              <w:rPr>
                <w:b/>
                <w:bCs/>
                <w:color w:val="FFFFFF"/>
                <w:sz w:val="18"/>
                <w:szCs w:val="18"/>
              </w:rPr>
              <w:t xml:space="preserve">Path</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Client: raise a PO</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src/routes/_authenticated/client/purchase-orders.tsx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Admin: PO approval queue</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src/routes/_authenticated/admin/po-queue.tsx</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Client: request dispatch</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src/routes/_authenticated/client/dispatches.tsx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Admin: dispatch approval queue</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src/routes/_authenticated/admin/dispatch-queue.tsx</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Per-client PO letterhead/template manager</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src/routes/_authenticated/admin/po-formats.tsx + src/components/PoFormatManager.tsx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Dispatch eligibility (credit control gate)</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runDispatchEligibilityCheck() inside business.functions.ts</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Multi-product PO schema</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supabase/migrations/20260725130000_multi_product_po_line_items.sql</w:t>
            </w:r>
          </w:p>
        </w:tc>
      </w:tr>
    </w:tbl>
    <w:p>
      <w:pPr>
        <w:pStyle w:val="Heading2"/>
        <w:spacing w:after="90" w:before="220"/>
      </w:pPr>
      <w:r>
        <w:rPr>
          <w:b/>
          <w:bCs/>
          <w:color w:val="2E5395"/>
          <w:sz w:val="24"/>
          <w:szCs w:val="24"/>
        </w:rPr>
        <w:t xml:space="preserve">12.4  Clients, ledgers &amp; credit notes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60"/>
              <w:left w:type="dxa" w:w="90"/>
              <w:bottom w:type="dxa" w:w="60"/>
              <w:right w:type="dxa" w:w="90"/>
            </w:tcMar>
            <w:vAlign w:val="center"/>
          </w:tcPr>
          <w:p>
            <w:r>
              <w:rPr>
                <w:b/>
                <w:bCs/>
                <w:color w:val="FFFFFF"/>
                <w:sz w:val="18"/>
                <w:szCs w:val="18"/>
              </w:rPr>
              <w:t xml:space="preserve">What</w:t>
            </w:r>
          </w:p>
        </w:tc>
        <w:tc>
          <w:tcPr>
            <w:tcW w:type="dxa" w:w="5826"/>
            <w:shd w:fill="1F3864" w:color="auto" w:val="clear"/>
            <w:tcMar>
              <w:top w:type="dxa" w:w="60"/>
              <w:left w:type="dxa" w:w="90"/>
              <w:bottom w:type="dxa" w:w="60"/>
              <w:right w:type="dxa" w:w="90"/>
            </w:tcMar>
            <w:vAlign w:val="center"/>
          </w:tcPr>
          <w:p>
            <w:r>
              <w:rPr>
                <w:b/>
                <w:bCs/>
                <w:color w:val="FFFFFF"/>
                <w:sz w:val="18"/>
                <w:szCs w:val="18"/>
              </w:rPr>
              <w:t xml:space="preserve">Path</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Admin: client master / onboarding</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src/routes/_authenticated/admin/clients.tsx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Client: ledger, statement, outstanding invoices</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src/routes/_authenticated/client/ledgers.tsx</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Admin: audit trail / journal feed</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src/routes/_authenticated/admin/audit.tsx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Credit/debit note dialog (shared component)</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src/components/credit-debit-note-dialog.tsx</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Ledger balance helper logic</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src/lib/ledger.ts</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Ledger/opening-balance tests</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src/test/ledger_balances.test.ts, src/test/opening_balances.test.ts</w:t>
            </w:r>
          </w:p>
        </w:tc>
      </w:tr>
    </w:tbl>
    <w:p>
      <w:pPr>
        <w:pStyle w:val="Heading2"/>
        <w:spacing w:after="90" w:before="220"/>
      </w:pPr>
      <w:r>
        <w:rPr>
          <w:b/>
          <w:bCs/>
          <w:color w:val="2E5395"/>
          <w:sz w:val="24"/>
          <w:szCs w:val="24"/>
        </w:rPr>
        <w:t xml:space="preserve">12.5  UI / UX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60"/>
              <w:left w:type="dxa" w:w="90"/>
              <w:bottom w:type="dxa" w:w="60"/>
              <w:right w:type="dxa" w:w="90"/>
            </w:tcMar>
            <w:vAlign w:val="center"/>
          </w:tcPr>
          <w:p>
            <w:r>
              <w:rPr>
                <w:b/>
                <w:bCs/>
                <w:color w:val="FFFFFF"/>
                <w:sz w:val="18"/>
                <w:szCs w:val="18"/>
              </w:rPr>
              <w:t xml:space="preserve">What</w:t>
            </w:r>
          </w:p>
        </w:tc>
        <w:tc>
          <w:tcPr>
            <w:tcW w:type="dxa" w:w="5826"/>
            <w:shd w:fill="1F3864" w:color="auto" w:val="clear"/>
            <w:tcMar>
              <w:top w:type="dxa" w:w="60"/>
              <w:left w:type="dxa" w:w="90"/>
              <w:bottom w:type="dxa" w:w="60"/>
              <w:right w:type="dxa" w:w="90"/>
            </w:tcMar>
            <w:vAlign w:val="center"/>
          </w:tcPr>
          <w:p>
            <w:r>
              <w:rPr>
                <w:b/>
                <w:bCs/>
                <w:color w:val="FFFFFF"/>
                <w:sz w:val="18"/>
                <w:szCs w:val="18"/>
              </w:rPr>
              <w:t xml:space="preserve">Path</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Design-system primitives (46 files)</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src/components/ui/ — button, dialog, select, table, tabs, checkbox, card, form, etc. (Radix UI wrapped shadcn-style)</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App shell: sidebar + top bar + notifications</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src/components/app-shell.tsx</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"Coming soon" placeholder screen</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src/components/stub-page.tsx — used by Platform Settings and Documents, both unbuilt (§4)</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Credit/debit note modal</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src/components/credit-debit-note-dialog.tsx</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PO letterhead upload/preview</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src/components/PoFormatManager.tsx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Mobile breakpoint hook</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src/hooks/use-mobile.tsx</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Styling</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Tailwind v4, zero-config — no tailwind.config.* file; utility classes only, via @tailwindcss/vite in vite.config.ts</w:t>
            </w:r>
          </w:p>
        </w:tc>
      </w:tr>
    </w:tbl>
    <w:p>
      <w:pPr>
        <w:pStyle w:val="Heading2"/>
        <w:spacing w:after="90" w:before="220"/>
      </w:pPr>
      <w:r>
        <w:rPr>
          <w:b/>
          <w:bCs/>
          <w:color w:val="2E5395"/>
          <w:sz w:val="24"/>
          <w:szCs w:val="24"/>
        </w:rPr>
        <w:t xml:space="preserve">12.6  Navigation / sidebar ("navbar")</w:t>
      </w:r>
    </w:p>
    <w:p>
      <w:pPr>
        <w:spacing w:after="100"/>
      </w:pPr>
      <w:r>
        <w:rPr>
          <w:b w:val="false"/>
          <w:bCs w:val="false"/>
          <w:i w:val="false"/>
          <w:iCs w:val="false"/>
          <w:color w:val="222222"/>
          <w:sz w:val="21"/>
          <w:szCs w:val="21"/>
        </w:rPr>
        <w:t xml:space="preserve">There is no separate navbar file — navigation lives inside the shell component, as two plain arrays: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60"/>
              <w:left w:type="dxa" w:w="90"/>
              <w:bottom w:type="dxa" w:w="60"/>
              <w:right w:type="dxa" w:w="90"/>
            </w:tcMar>
            <w:vAlign w:val="center"/>
          </w:tcPr>
          <w:p>
            <w:r>
              <w:rPr>
                <w:b/>
                <w:bCs/>
                <w:color w:val="FFFFFF"/>
                <w:sz w:val="18"/>
                <w:szCs w:val="18"/>
              </w:rPr>
              <w:t xml:space="preserve">What</w:t>
            </w:r>
          </w:p>
        </w:tc>
        <w:tc>
          <w:tcPr>
            <w:tcW w:type="dxa" w:w="5826"/>
            <w:shd w:fill="1F3864" w:color="auto" w:val="clear"/>
            <w:tcMar>
              <w:top w:type="dxa" w:w="60"/>
              <w:left w:type="dxa" w:w="90"/>
              <w:bottom w:type="dxa" w:w="60"/>
              <w:right w:type="dxa" w:w="90"/>
            </w:tcMar>
            <w:vAlign w:val="center"/>
          </w:tcPr>
          <w:p>
            <w:r>
              <w:rPr>
                <w:b/>
                <w:bCs/>
                <w:color w:val="FFFFFF"/>
                <w:sz w:val="18"/>
                <w:szCs w:val="18"/>
              </w:rPr>
              <w:t xml:space="preserve">Path</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Sidebar nav arrays (CLIENT_NAV, ADMIN_NAV)</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src/components/app-shell.tsx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Portal guard (redirects the wrong portal away)</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src/routes/_authenticated/route.tsx</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Admin-only route guard</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src/routes/_authenticated/admin/route.tsx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Client-only route guard</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src/routes/_authenticated/client/route.tsx</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Root layout (wraps every route)</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src/routes/__root.tsx</w:t>
            </w:r>
          </w:p>
        </w:tc>
      </w:tr>
    </w:tbl>
    <w:p>
      <w:pPr>
        <w:pStyle w:val="Heading2"/>
        <w:spacing w:after="90" w:before="220"/>
      </w:pPr>
      <w:r>
        <w:rPr>
          <w:b/>
          <w:bCs/>
          <w:color w:val="2E5395"/>
          <w:sz w:val="24"/>
          <w:szCs w:val="24"/>
        </w:rPr>
        <w:t xml:space="preserve">12.7  Supabase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60"/>
              <w:left w:type="dxa" w:w="90"/>
              <w:bottom w:type="dxa" w:w="60"/>
              <w:right w:type="dxa" w:w="90"/>
            </w:tcMar>
            <w:vAlign w:val="center"/>
          </w:tcPr>
          <w:p>
            <w:r>
              <w:rPr>
                <w:b/>
                <w:bCs/>
                <w:color w:val="FFFFFF"/>
                <w:sz w:val="18"/>
                <w:szCs w:val="18"/>
              </w:rPr>
              <w:t xml:space="preserve">What</w:t>
            </w:r>
          </w:p>
        </w:tc>
        <w:tc>
          <w:tcPr>
            <w:tcW w:type="dxa" w:w="5826"/>
            <w:shd w:fill="1F3864" w:color="auto" w:val="clear"/>
            <w:tcMar>
              <w:top w:type="dxa" w:w="60"/>
              <w:left w:type="dxa" w:w="90"/>
              <w:bottom w:type="dxa" w:w="60"/>
              <w:right w:type="dxa" w:w="90"/>
            </w:tcMar>
            <w:vAlign w:val="center"/>
          </w:tcPr>
          <w:p>
            <w:r>
              <w:rPr>
                <w:b/>
                <w:bCs/>
                <w:color w:val="FFFFFF"/>
                <w:sz w:val="18"/>
                <w:szCs w:val="18"/>
              </w:rPr>
              <w:t xml:space="preserve">Path</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Browser (anon-key) client</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src/integrations/supabase/client.ts</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Server-side admin (service-role) client + session helpers</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src/lib/auth.server.ts — createSupabaseAdminClient()</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Generated database types</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src/integrations/supabase/types.ts (⚠ known to drift stale vs. the live schema — see §10 note in the User Guide report and §9.2 here)</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Extended/hand-written type augmentations</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src/integrations/supabase/extended-types.ts</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All 43 SQL migrations (source of truth for schema)</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supabase/migrations/*.sql</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Supabase project config</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supabase/config.toml</w:t>
            </w:r>
          </w:p>
        </w:tc>
      </w:tr>
    </w:tbl>
    <w:p>
      <w:pPr>
        <w:pBdr>
          <w:top w:val="single" w:color="2C5AA0" w:sz="4" w:space="4"/>
          <w:bottom w:val="single" w:color="2C5AA0" w:sz="4" w:space="4"/>
          <w:left w:val="single" w:color="2C5AA0" w:sz="22" w:space="10"/>
          <w:right w:val="single" w:color="2C5AA0" w:sz="4" w:space="4"/>
        </w:pBdr>
        <w:shd w:fill="E8F0FE" w:color="auto" w:val="clear"/>
        <w:spacing w:after="140" w:before="100"/>
      </w:pPr>
      <w:r>
        <w:rPr>
          <w:b/>
          <w:bCs/>
          <w:color w:val="222222"/>
          <w:sz w:val="21"/>
          <w:szCs w:val="21"/>
        </w:rPr>
        <w:t xml:space="preserve">ℹ A second, unused set of Supabase auth files</w:t>
      </w:r>
      <w:r>
        <w:rPr>
          <w:color w:val="222222"/>
          <w:sz w:val="21"/>
          <w:szCs w:val="21"/>
        </w:rPr>
        <w:br/>
        <w:t xml:space="preserve">src/integrations/supabase/ also contains auth-middleware.ts, auth-attacher.ts, and client.server.ts. These are marked "automatically generated" and export a DIFFERENT middleware (requireSupabaseAuth) that nothing in the app actually imports — confirmed zero importers. The real, load-bearing middleware is requireAuth in src/integrations/auth/auth-middleware.ts (§5.2). Easy to open the wrong one by name alone.</w:t>
      </w:r>
    </w:p>
    <w:p>
      <w:pPr>
        <w:pStyle w:val="Heading2"/>
        <w:spacing w:after="90" w:before="220"/>
      </w:pPr>
      <w:r>
        <w:rPr>
          <w:b/>
          <w:bCs/>
          <w:color w:val="2E5395"/>
          <w:sz w:val="24"/>
          <w:szCs w:val="24"/>
        </w:rPr>
        <w:t xml:space="preserve">12.8  Authentication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60"/>
              <w:left w:type="dxa" w:w="90"/>
              <w:bottom w:type="dxa" w:w="60"/>
              <w:right w:type="dxa" w:w="90"/>
            </w:tcMar>
            <w:vAlign w:val="center"/>
          </w:tcPr>
          <w:p>
            <w:r>
              <w:rPr>
                <w:b/>
                <w:bCs/>
                <w:color w:val="FFFFFF"/>
                <w:sz w:val="18"/>
                <w:szCs w:val="18"/>
              </w:rPr>
              <w:t xml:space="preserve">What</w:t>
            </w:r>
          </w:p>
        </w:tc>
        <w:tc>
          <w:tcPr>
            <w:tcW w:type="dxa" w:w="5826"/>
            <w:shd w:fill="1F3864" w:color="auto" w:val="clear"/>
            <w:tcMar>
              <w:top w:type="dxa" w:w="60"/>
              <w:left w:type="dxa" w:w="90"/>
              <w:bottom w:type="dxa" w:w="60"/>
              <w:right w:type="dxa" w:w="90"/>
            </w:tcMar>
            <w:vAlign w:val="center"/>
          </w:tcPr>
          <w:p>
            <w:r>
              <w:rPr>
                <w:b/>
                <w:bCs/>
                <w:color w:val="FFFFFF"/>
                <w:sz w:val="18"/>
                <w:szCs w:val="18"/>
              </w:rPr>
              <w:t xml:space="preserve">Path</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Sign-in / sign-up page</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src/routes/auth.tsx</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Session types (SessionContext, AppRole, OrgType)</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src/lib/auth-types.ts</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Auth server logic + withRetry resilience wrapper</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src/lib/auth.server.ts</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requireAuth middleware (the real one)</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src/integrations/auth/auth-middleware.ts</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Client-side auth token attacher</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src/integrations/auth/auth-attacher.ts</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Auth-related server functions (approve/reject users, roles)</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src/lib/api/auth.functions.ts</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Client-side auth hooks</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src/lib/auth-hooks.ts</w:t>
            </w:r>
          </w:p>
        </w:tc>
      </w:tr>
    </w:tbl>
    <w:p>
      <w:pPr>
        <w:pStyle w:val="Heading2"/>
        <w:spacing w:after="90" w:before="220"/>
      </w:pPr>
      <w:r>
        <w:rPr>
          <w:b/>
          <w:bCs/>
          <w:color w:val="2E5395"/>
          <w:sz w:val="24"/>
          <w:szCs w:val="24"/>
        </w:rPr>
        <w:t xml:space="preserve">12.9  Configuration &amp;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60"/>
              <w:left w:type="dxa" w:w="90"/>
              <w:bottom w:type="dxa" w:w="60"/>
              <w:right w:type="dxa" w:w="90"/>
            </w:tcMar>
            <w:vAlign w:val="center"/>
          </w:tcPr>
          <w:p>
            <w:r>
              <w:rPr>
                <w:b/>
                <w:bCs/>
                <w:color w:val="FFFFFF"/>
                <w:sz w:val="18"/>
                <w:szCs w:val="18"/>
              </w:rPr>
              <w:t xml:space="preserve">What</w:t>
            </w:r>
          </w:p>
        </w:tc>
        <w:tc>
          <w:tcPr>
            <w:tcW w:type="dxa" w:w="5826"/>
            <w:shd w:fill="1F3864" w:color="auto" w:val="clear"/>
            <w:tcMar>
              <w:top w:type="dxa" w:w="60"/>
              <w:left w:type="dxa" w:w="90"/>
              <w:bottom w:type="dxa" w:w="60"/>
              <w:right w:type="dxa" w:w="90"/>
            </w:tcMar>
            <w:vAlign w:val="center"/>
          </w:tcPr>
          <w:p>
            <w:r>
              <w:rPr>
                <w:b/>
                <w:bCs/>
                <w:color w:val="FFFFFF"/>
                <w:sz w:val="18"/>
                <w:szCs w:val="18"/>
              </w:rPr>
              <w:t xml:space="preserve">Path</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Vite / Nitro / Vercel build config</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vite.config.ts</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Dependencies &amp; scripts</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package.json</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TypeScript config</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tsconfig.json</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Lint config</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eslint.config.js</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Server-side runtime config helper</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src/lib/config.server.ts</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Error capture / reporting</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src/lib/error-capture.ts, src/lib/error-page.ts, src/lib/lovable-error-reporting.ts</w:t>
            </w:r>
          </w:p>
        </w:tc>
      </w:tr>
    </w:tbl>
    <w:p>
      <w:pPr>
        <w:pStyle w:val="Heading2"/>
        <w:spacing w:after="90" w:before="220"/>
      </w:pPr>
      <w:r>
        <w:rPr>
          <w:b/>
          <w:bCs/>
          <w:color w:val="2E5395"/>
          <w:sz w:val="24"/>
          <w:szCs w:val="24"/>
        </w:rPr>
        <w:t xml:space="preserve">12.10  Not yet wired up</w:t>
      </w:r>
    </w:p>
    <w:p>
      <w:pPr>
        <w:spacing w:after="100"/>
      </w:pPr>
      <w:r>
        <w:rPr>
          <w:b w:val="false"/>
          <w:bCs w:val="false"/>
          <w:i w:val="false"/>
          <w:iCs w:val="false"/>
          <w:color w:val="222222"/>
          <w:sz w:val="21"/>
          <w:szCs w:val="21"/>
        </w:rPr>
        <w:t xml:space="preserve">A leftover scaffold example, unused by anything real — worth recognizing rather than mistaking for a template to copy:</w:t>
      </w:r>
    </w:p>
    <w:p>
      <w:pPr>
        <w:pStyle w:val="ListParagraph"/>
        <w:numPr>
          <w:ilvl w:val="0"/>
          <w:numId w:val="2"/>
        </w:numPr>
        <w:spacing w:after="55"/>
      </w:pPr>
      <w:r>
        <w:rPr>
          <w:b/>
          <w:bCs/>
          <w:color w:val="222222"/>
          <w:sz w:val="21"/>
          <w:szCs w:val="21"/>
        </w:rPr>
        <w:t xml:space="preserve">src/lib/api/example.functions.ts — </w:t>
      </w:r>
      <w:r>
        <w:rPr>
          <w:color w:val="222222"/>
          <w:sz w:val="21"/>
          <w:szCs w:val="21"/>
        </w:rPr>
        <w:t xml:space="preserve">a demo createServerFn (getGreeting) left over from the project template</w:t>
      </w:r>
    </w:p>
    <w:p>
      <w:r>
        <w:br w:type="page"/>
      </w:r>
    </w:p>
    <w:p>
      <w:pPr>
        <w:pStyle w:val="Heading1"/>
        <w:pBdr>
          <w:bottom w:val="single" w:color="1F3864" w:sz="8" w:space="5"/>
        </w:pBdr>
        <w:spacing w:after="140" w:before="320"/>
      </w:pPr>
      <w:r>
        <w:rPr>
          <w:b/>
          <w:bCs/>
          <w:color w:val="1F3864"/>
          <w:sz w:val="30"/>
          <w:szCs w:val="30"/>
        </w:rPr>
        <w:t xml:space="preserve">13. Anticipated Interview Questions</w:t>
      </w:r>
    </w:p>
    <w:p>
      <w:pPr>
        <w:spacing w:after="130"/>
      </w:pPr>
      <w:r>
        <w:rPr>
          <w:i/>
          <w:iCs/>
          <w:color w:val="5B5B5B"/>
          <w:sz w:val="21"/>
          <w:szCs w:val="21"/>
        </w:rPr>
        <w:t xml:space="preserve">Short, direct answers you can expand on live.</w:t>
      </w:r>
    </w:p>
    <w:p>
      <w:pPr>
        <w:spacing w:after="60" w:before="150"/>
      </w:pPr>
      <w:r>
        <w:rPr>
          <w:b/>
          <w:bCs/>
          <w:color w:val="9C6B1F"/>
          <w:sz w:val="21"/>
          <w:szCs w:val="21"/>
        </w:rPr>
        <w:t xml:space="preserve">Q: How is a request authorized end to end?</w:t>
      </w:r>
    </w:p>
    <w:p>
      <w:pPr>
        <w:spacing w:after="100"/>
      </w:pPr>
      <w:r>
        <w:rPr>
          <w:b w:val="false"/>
          <w:bCs w:val="false"/>
          <w:i w:val="false"/>
          <w:iCs w:val="false"/>
          <w:color w:val="222222"/>
          <w:sz w:val="21"/>
          <w:szCs w:val="21"/>
        </w:rPr>
        <w:t xml:space="preserve">The requireAuth middleware resolves the session and attaches it as context to every server function. The function itself then applies coarse org-type checks (ensureMundraOrg/ensureClientOrg) and, where needed, role checks (isSuperAdmin). Because the DB client is service-role, this app-layer logic is the actual authorization boundary — RLS policies exist too, but as defense-in-depth, not the primary gate.</w:t>
      </w:r>
    </w:p>
    <w:p>
      <w:pPr>
        <w:spacing w:after="60" w:before="150"/>
      </w:pPr>
      <w:r>
        <w:rPr>
          <w:b/>
          <w:bCs/>
          <w:color w:val="9C6B1F"/>
          <w:sz w:val="21"/>
          <w:szCs w:val="21"/>
        </w:rPr>
        <w:t xml:space="preserve">Q: How do you stop a client from double-spending or over-allocating a payment?</w:t>
      </w:r>
    </w:p>
    <w:p>
      <w:pPr>
        <w:spacing w:after="100"/>
      </w:pPr>
      <w:r>
        <w:rPr>
          <w:b w:val="false"/>
          <w:bCs w:val="false"/>
          <w:i w:val="false"/>
          <w:iCs w:val="false"/>
          <w:color w:val="222222"/>
          <w:sz w:val="21"/>
          <w:szCs w:val="21"/>
        </w:rPr>
        <w:t xml:space="preserve">record_payment_with_allocations is a single Postgres function using SELECT ... FOR UPDATE to lock the invoice row before checking its outstanding balance, so two concurrent payment recordings against the same invoice serialize correctly instead of racing.</w:t>
      </w:r>
    </w:p>
    <w:p>
      <w:pPr>
        <w:spacing w:after="60" w:before="150"/>
      </w:pPr>
      <w:r>
        <w:rPr>
          <w:b/>
          <w:bCs/>
          <w:color w:val="9C6B1F"/>
          <w:sz w:val="21"/>
          <w:szCs w:val="21"/>
        </w:rPr>
        <w:t xml:space="preserve">Q: Why isn't this a REST API?</w:t>
      </w:r>
    </w:p>
    <w:p>
      <w:pPr>
        <w:spacing w:after="100"/>
      </w:pPr>
      <w:r>
        <w:rPr>
          <w:b w:val="false"/>
          <w:bCs w:val="false"/>
          <w:i w:val="false"/>
          <w:iCs w:val="false"/>
          <w:color w:val="222222"/>
          <w:sz w:val="21"/>
          <w:szCs w:val="21"/>
        </w:rPr>
        <w:t xml:space="preserve">TanStack Start generates the RPC layer from plain exported functions (createServerFn), so there's no hand-written route table to maintain — the framework handles serialization, routing, and client-side caching integration via TanStack Query automatically.</w:t>
      </w:r>
    </w:p>
    <w:p>
      <w:pPr>
        <w:spacing w:after="60" w:before="150"/>
      </w:pPr>
      <w:r>
        <w:rPr>
          <w:b/>
          <w:bCs/>
          <w:color w:val="9C6B1F"/>
          <w:sz w:val="21"/>
          <w:szCs w:val="21"/>
        </w:rPr>
        <w:t xml:space="preserve">Q: How would you scale this?</w:t>
      </w:r>
    </w:p>
    <w:p>
      <w:pPr>
        <w:spacing w:after="100"/>
      </w:pPr>
      <w:r>
        <w:rPr>
          <w:b w:val="false"/>
          <w:bCs w:val="false"/>
          <w:i w:val="false"/>
          <w:iCs w:val="false"/>
          <w:color w:val="222222"/>
          <w:sz w:val="21"/>
          <w:szCs w:val="21"/>
        </w:rPr>
        <w:t xml:space="preserve">The 5,150-line business.functions.ts file is the first thing to split, by domain, since it currently makes any single change touch a huge shared file and slows code review. Beyond that: the payments table's flag-based disambiguation is worth revisiting into typed subtables or a discriminated view; and a CI-driven migration runner would remove the manual SQL-editor step, which is currently the weakest link in the deploy pipeline.</w:t>
      </w:r>
    </w:p>
    <w:p>
      <w:pPr>
        <w:spacing w:after="60" w:before="150"/>
      </w:pPr>
      <w:r>
        <w:rPr>
          <w:b/>
          <w:bCs/>
          <w:color w:val="9C6B1F"/>
          <w:sz w:val="21"/>
          <w:szCs w:val="21"/>
        </w:rPr>
        <w:t xml:space="preserve">Q: Tell me about a hard bug you fixed.</w:t>
      </w:r>
    </w:p>
    <w:p>
      <w:pPr>
        <w:spacing w:after="100"/>
      </w:pPr>
      <w:r>
        <w:rPr>
          <w:b w:val="false"/>
          <w:bCs w:val="false"/>
          <w:i w:val="false"/>
          <w:iCs w:val="false"/>
          <w:color w:val="222222"/>
          <w:sz w:val="21"/>
          <w:szCs w:val="21"/>
        </w:rPr>
        <w:t xml:space="preserve">Pick from §9.3 (the Nitro/Vercel 404, or the silently blocked deployments) or §7.6 (multi-path invoice linkage in the refund letter flow) — both have a clear symptom, a non-obvious root cause, and a verifiable fix.</w:t>
      </w:r>
    </w:p>
    <w:p>
      <w:pPr>
        <w:spacing w:after="60" w:before="150"/>
      </w:pPr>
      <w:r>
        <w:rPr>
          <w:b/>
          <w:bCs/>
          <w:color w:val="9C6B1F"/>
          <w:sz w:val="21"/>
          <w:szCs w:val="21"/>
        </w:rPr>
        <w:t xml:space="preserve">Q: What's something you'd do differently if starting over?</w:t>
      </w:r>
    </w:p>
    <w:p>
      <w:pPr>
        <w:spacing w:after="100"/>
      </w:pPr>
      <w:r>
        <w:rPr>
          <w:b w:val="false"/>
          <w:bCs w:val="false"/>
          <w:i w:val="false"/>
          <w:iCs w:val="false"/>
          <w:color w:val="222222"/>
          <w:sz w:val="21"/>
          <w:szCs w:val="21"/>
        </w:rPr>
        <w:t xml:space="preserve">Split business.functions.ts into domain modules from day one; regenerate the Supabase-generated types.ts automatically as part of the migration workflow instead of manually (it has drifted stale against the live schema more than once); and give the payments table a cleaner structural split between the three money-flow directions.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5B"/>
        <w:sz w:val="16"/>
        <w:szCs w:val="16"/>
      </w:rPr>
      <w:t xml:space="preserve">Page </w:t>
    </w:r>
    <w:r>
      <w:rPr>
        <w:color w:val="5B5B5B"/>
        <w:sz w:val="16"/>
        <w:szCs w:val="16"/>
      </w:rPr>
      <w:fldChar w:fldCharType="begin"/>
      <w:instrText xml:space="preserve">PAGE</w:instrText>
      <w:fldChar w:fldCharType="separate"/>
      <w:fldChar w:fldCharType="end"/>
    </w:r>
    <w:r>
      <w:rPr>
        <w:color w:val="5B5B5B"/>
        <w:sz w:val="16"/>
        <w:szCs w:val="16"/>
      </w:rPr>
      <w:t xml:space="preserve"> of </w:t>
    </w:r>
    <w:r>
      <w:rPr>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jc w:val="right"/>
    </w:pPr>
    <w:r>
      <w:rPr>
        <w:i/>
        <w:iCs/>
        <w:color w:val="5B5B5B"/>
        <w:sz w:val="14"/>
        <w:szCs w:val="14"/>
      </w:rPr>
      <w:t xml:space="preserve">Mundra Brothers — Technical Architecture &amp;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bullet"/>
      <w:lvlText w:val="◦"/>
      <w:lvlJc w:val="left"/>
      <w:pPr>
        <w:ind w:left="460" w:hanging="230"/>
      </w:pPr>
    </w:lvl>
  </w:abstractNum>
  <w:abstractNum w:abstractNumId="4" w15:restartNumberingAfterBreak="0">
    <w:multiLevelType w:val="hybridMultilevel"/>
    <w:lvl w:ilvl="0" w15:tentative="1">
      <w:start w:val="1"/>
      <w:numFmt w:val="decimal"/>
      <w:lvlText w:val="%1."/>
      <w:lvlJc w:val="left"/>
      <w:pPr>
        <w:ind w:left="460" w:hanging="23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2026-08-18T10:03:19.000Z</dcterms:created>
  <dcterms:modified xsi:type="dcterms:W3CDTF">2026-08-18T10:03:19.012Z</dcterms:modified>
</cp:coreProperties>
</file>

<file path=docProps/custom.xml><?xml version="1.0" encoding="utf-8"?>
<Properties xmlns="http://schemas.openxmlformats.org/officeDocument/2006/custom-properties" xmlns:vt="http://schemas.openxmlformats.org/officeDocument/2006/docPropsVTypes"/>
</file>