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77C3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Problem Statement: Insurance Charges Prediction Using Regression Models</w:t>
      </w:r>
    </w:p>
    <w:p w14:paraId="5201431D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Objective:</w:t>
      </w:r>
    </w:p>
    <w:p w14:paraId="1578901F" w14:textId="77777777" w:rsidR="0039522C" w:rsidRPr="0039522C" w:rsidRDefault="0039522C" w:rsidP="0039522C">
      <w:r w:rsidRPr="0039522C">
        <w:t xml:space="preserve">The objective of this project is to develop a predictive model that accurately estimates </w:t>
      </w:r>
      <w:r w:rsidRPr="0039522C">
        <w:rPr>
          <w:b/>
          <w:bCs/>
        </w:rPr>
        <w:t>individual insurance charges</w:t>
      </w:r>
      <w:r w:rsidRPr="0039522C">
        <w:t xml:space="preserve"> based on personal and demographic attributes. This involves building, training, and evaluating regression models — such as Support Vector Regression (SVR) — to minimize prediction errors and gain insights into the influence of different features on insurance costs.</w:t>
      </w:r>
    </w:p>
    <w:p w14:paraId="4D3DADE8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Background:</w:t>
      </w:r>
    </w:p>
    <w:p w14:paraId="52458368" w14:textId="77777777" w:rsidR="0039522C" w:rsidRPr="0039522C" w:rsidRDefault="0039522C" w:rsidP="0039522C">
      <w:r w:rsidRPr="0039522C">
        <w:t xml:space="preserve">Insurance companies use predictive </w:t>
      </w:r>
      <w:proofErr w:type="spellStart"/>
      <w:r w:rsidRPr="0039522C">
        <w:t>modeling</w:t>
      </w:r>
      <w:proofErr w:type="spellEnd"/>
      <w:r w:rsidRPr="0039522C">
        <w:t xml:space="preserve"> to estimate charges for policyholders based on various risk factors. Accurate prediction helps in pricing strategies, risk assessment, and customer segmentation. Traditional pricing mechanisms may not capture complex, non-linear relationships in the data — hence, machine learning approaches are explored.</w:t>
      </w:r>
    </w:p>
    <w:p w14:paraId="4FCF1CB9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Dataset Features:</w:t>
      </w:r>
    </w:p>
    <w:p w14:paraId="578DCD48" w14:textId="77777777" w:rsidR="0039522C" w:rsidRPr="0039522C" w:rsidRDefault="0039522C" w:rsidP="0039522C">
      <w:r w:rsidRPr="0039522C">
        <w:t>The dataset includes the following variables:</w:t>
      </w:r>
    </w:p>
    <w:p w14:paraId="76092875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age: Age of the individual</w:t>
      </w:r>
    </w:p>
    <w:p w14:paraId="58620085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sex: Gender of the individual</w:t>
      </w:r>
    </w:p>
    <w:p w14:paraId="42BADD6F" w14:textId="77777777" w:rsidR="0039522C" w:rsidRPr="0039522C" w:rsidRDefault="0039522C" w:rsidP="0039522C">
      <w:pPr>
        <w:numPr>
          <w:ilvl w:val="0"/>
          <w:numId w:val="4"/>
        </w:numPr>
      </w:pPr>
      <w:proofErr w:type="spellStart"/>
      <w:r w:rsidRPr="0039522C">
        <w:t>bmi</w:t>
      </w:r>
      <w:proofErr w:type="spellEnd"/>
      <w:r w:rsidRPr="0039522C">
        <w:t>: Body Mass Index (health risk factor)</w:t>
      </w:r>
    </w:p>
    <w:p w14:paraId="15CDD37A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children: Number of children covered by insurance</w:t>
      </w:r>
    </w:p>
    <w:p w14:paraId="1436B53B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smoker: Smoking status (yes or no)</w:t>
      </w:r>
    </w:p>
    <w:p w14:paraId="11D35DF8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region: Residential area within the country</w:t>
      </w:r>
    </w:p>
    <w:p w14:paraId="74C8BC25" w14:textId="77777777" w:rsidR="0039522C" w:rsidRPr="0039522C" w:rsidRDefault="0039522C" w:rsidP="0039522C">
      <w:pPr>
        <w:numPr>
          <w:ilvl w:val="0"/>
          <w:numId w:val="4"/>
        </w:numPr>
      </w:pPr>
      <w:r w:rsidRPr="0039522C">
        <w:t>charges: Annual medical insurance charges (target variable)</w:t>
      </w:r>
    </w:p>
    <w:p w14:paraId="53E6DB77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Approach:</w:t>
      </w:r>
    </w:p>
    <w:p w14:paraId="5A7E402B" w14:textId="77777777" w:rsidR="0039522C" w:rsidRPr="0039522C" w:rsidRDefault="0039522C" w:rsidP="0039522C">
      <w:pPr>
        <w:numPr>
          <w:ilvl w:val="0"/>
          <w:numId w:val="5"/>
        </w:numPr>
      </w:pPr>
      <w:r w:rsidRPr="0039522C">
        <w:rPr>
          <w:b/>
          <w:bCs/>
        </w:rPr>
        <w:t>Data Preprocessing:</w:t>
      </w:r>
    </w:p>
    <w:p w14:paraId="38708697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Encoding categorical variables (e.g., sex, smoker, region)</w:t>
      </w:r>
    </w:p>
    <w:p w14:paraId="4FE827F2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 xml:space="preserve">Feature scaling using </w:t>
      </w:r>
      <w:proofErr w:type="spellStart"/>
      <w:r w:rsidRPr="0039522C">
        <w:t>StandardScaler</w:t>
      </w:r>
      <w:proofErr w:type="spellEnd"/>
      <w:r w:rsidRPr="0039522C">
        <w:t xml:space="preserve"> for numerical stability, especially for SVR</w:t>
      </w:r>
    </w:p>
    <w:p w14:paraId="185147A2" w14:textId="77777777" w:rsidR="0039522C" w:rsidRPr="0039522C" w:rsidRDefault="0039522C" w:rsidP="0039522C">
      <w:pPr>
        <w:numPr>
          <w:ilvl w:val="0"/>
          <w:numId w:val="5"/>
        </w:numPr>
      </w:pPr>
      <w:r w:rsidRPr="0039522C">
        <w:rPr>
          <w:b/>
          <w:bCs/>
        </w:rPr>
        <w:t>Model Training:</w:t>
      </w:r>
    </w:p>
    <w:p w14:paraId="0135C7BB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Train an SVR model with an RBF kernel</w:t>
      </w:r>
    </w:p>
    <w:p w14:paraId="073BF50E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Compare with other regressors like Decision Tree, Random Forest, and Gradient Boosting (if applicable)</w:t>
      </w:r>
    </w:p>
    <w:p w14:paraId="2234BC55" w14:textId="77777777" w:rsidR="0039522C" w:rsidRPr="0039522C" w:rsidRDefault="0039522C" w:rsidP="0039522C">
      <w:pPr>
        <w:numPr>
          <w:ilvl w:val="0"/>
          <w:numId w:val="5"/>
        </w:numPr>
      </w:pPr>
      <w:r w:rsidRPr="0039522C">
        <w:rPr>
          <w:b/>
          <w:bCs/>
        </w:rPr>
        <w:t>Model Evaluation:</w:t>
      </w:r>
      <w:r w:rsidRPr="0039522C">
        <w:br/>
        <w:t>Evaluation is performed using the following metrics:</w:t>
      </w:r>
    </w:p>
    <w:p w14:paraId="5C29C83B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Mean Absolute Error (MAE)</w:t>
      </w:r>
    </w:p>
    <w:p w14:paraId="49F35C3B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Mean Squared Error (MSE)</w:t>
      </w:r>
    </w:p>
    <w:p w14:paraId="18262F09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Root Mean Squared Error (RMSE)</w:t>
      </w:r>
    </w:p>
    <w:p w14:paraId="0BE71974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lastRenderedPageBreak/>
        <w:t>R² Score (Coefficient of Determination)</w:t>
      </w:r>
    </w:p>
    <w:p w14:paraId="3BC83EEC" w14:textId="77777777" w:rsidR="0039522C" w:rsidRPr="0039522C" w:rsidRDefault="0039522C" w:rsidP="0039522C">
      <w:pPr>
        <w:numPr>
          <w:ilvl w:val="0"/>
          <w:numId w:val="5"/>
        </w:numPr>
      </w:pPr>
      <w:r w:rsidRPr="0039522C">
        <w:rPr>
          <w:b/>
          <w:bCs/>
        </w:rPr>
        <w:t>Model Interpretation:</w:t>
      </w:r>
    </w:p>
    <w:p w14:paraId="0C22BE07" w14:textId="77777777" w:rsidR="0039522C" w:rsidRPr="0039522C" w:rsidRDefault="0039522C" w:rsidP="0039522C">
      <w:pPr>
        <w:numPr>
          <w:ilvl w:val="1"/>
          <w:numId w:val="5"/>
        </w:numPr>
      </w:pPr>
      <w:proofErr w:type="spellStart"/>
      <w:r w:rsidRPr="0039522C">
        <w:t>Analyze</w:t>
      </w:r>
      <w:proofErr w:type="spellEnd"/>
      <w:r w:rsidRPr="0039522C">
        <w:t xml:space="preserve"> feature importances or sensitivity (depending on the model)</w:t>
      </w:r>
    </w:p>
    <w:p w14:paraId="2BE0C14D" w14:textId="77777777" w:rsidR="0039522C" w:rsidRPr="0039522C" w:rsidRDefault="0039522C" w:rsidP="0039522C">
      <w:pPr>
        <w:numPr>
          <w:ilvl w:val="1"/>
          <w:numId w:val="5"/>
        </w:numPr>
      </w:pPr>
      <w:r w:rsidRPr="0039522C">
        <w:t>Visualize prediction performance with actual vs. predicted plots</w:t>
      </w:r>
    </w:p>
    <w:p w14:paraId="686467A2" w14:textId="77777777" w:rsidR="0039522C" w:rsidRPr="0039522C" w:rsidRDefault="0039522C" w:rsidP="0039522C">
      <w:pPr>
        <w:rPr>
          <w:b/>
          <w:bCs/>
        </w:rPr>
      </w:pPr>
      <w:r w:rsidRPr="0039522C">
        <w:rPr>
          <w:b/>
          <w:bCs/>
        </w:rPr>
        <w:t>Goal:</w:t>
      </w:r>
    </w:p>
    <w:p w14:paraId="6EE8A8AF" w14:textId="77777777" w:rsidR="0039522C" w:rsidRPr="0039522C" w:rsidRDefault="0039522C" w:rsidP="0039522C">
      <w:r w:rsidRPr="0039522C">
        <w:t>To achieve a reliable and interpretable model that can predict insurance charges with high accuracy and generalize well to unseen data.</w:t>
      </w:r>
    </w:p>
    <w:p w14:paraId="342638E9" w14:textId="77777777" w:rsidR="00CD0B0F" w:rsidRDefault="00CD0B0F" w:rsidP="00395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0D46" w14:paraId="3176DA86" w14:textId="77777777" w:rsidTr="00A948CD">
        <w:tc>
          <w:tcPr>
            <w:tcW w:w="1803" w:type="dxa"/>
            <w:vAlign w:val="center"/>
          </w:tcPr>
          <w:p w14:paraId="67486A63" w14:textId="23FB43CE" w:rsidR="00380D46" w:rsidRDefault="00380D46" w:rsidP="00380D46">
            <w:r>
              <w:rPr>
                <w:b/>
                <w:bCs/>
              </w:rPr>
              <w:t>Model</w:t>
            </w:r>
          </w:p>
        </w:tc>
        <w:tc>
          <w:tcPr>
            <w:tcW w:w="1803" w:type="dxa"/>
            <w:vAlign w:val="center"/>
          </w:tcPr>
          <w:p w14:paraId="60263B3E" w14:textId="796505B5" w:rsidR="00380D46" w:rsidRDefault="00380D46" w:rsidP="00380D46">
            <w:r>
              <w:rPr>
                <w:b/>
                <w:bCs/>
              </w:rPr>
              <w:t>MAE</w:t>
            </w:r>
          </w:p>
        </w:tc>
        <w:tc>
          <w:tcPr>
            <w:tcW w:w="1803" w:type="dxa"/>
            <w:vAlign w:val="center"/>
          </w:tcPr>
          <w:p w14:paraId="35BBAD37" w14:textId="3398E2B9" w:rsidR="00380D46" w:rsidRDefault="00380D46" w:rsidP="00380D46">
            <w:r>
              <w:rPr>
                <w:b/>
                <w:bCs/>
              </w:rPr>
              <w:t>MSE</w:t>
            </w:r>
          </w:p>
        </w:tc>
        <w:tc>
          <w:tcPr>
            <w:tcW w:w="1803" w:type="dxa"/>
            <w:vAlign w:val="center"/>
          </w:tcPr>
          <w:p w14:paraId="7BF0DBD6" w14:textId="0B3E9153" w:rsidR="00380D46" w:rsidRDefault="00380D46" w:rsidP="00380D46">
            <w:r>
              <w:rPr>
                <w:b/>
                <w:bCs/>
              </w:rPr>
              <w:t>RMSE</w:t>
            </w:r>
          </w:p>
        </w:tc>
        <w:tc>
          <w:tcPr>
            <w:tcW w:w="1804" w:type="dxa"/>
            <w:vAlign w:val="center"/>
          </w:tcPr>
          <w:p w14:paraId="622E9E2C" w14:textId="7A59E6E1" w:rsidR="00380D46" w:rsidRDefault="00380D46" w:rsidP="00380D46">
            <w:r>
              <w:rPr>
                <w:b/>
                <w:bCs/>
              </w:rPr>
              <w:t>R² Score</w:t>
            </w:r>
          </w:p>
        </w:tc>
      </w:tr>
      <w:tr w:rsidR="00380D46" w14:paraId="23539190" w14:textId="77777777" w:rsidTr="00A948CD">
        <w:tc>
          <w:tcPr>
            <w:tcW w:w="1803" w:type="dxa"/>
            <w:vAlign w:val="center"/>
          </w:tcPr>
          <w:p w14:paraId="37AA06AB" w14:textId="65FB3BC0" w:rsidR="00380D46" w:rsidRDefault="00380D46" w:rsidP="00380D46">
            <w:r>
              <w:rPr>
                <w:rStyle w:val="Strong"/>
              </w:rPr>
              <w:t>SVR (RBF)</w:t>
            </w:r>
          </w:p>
        </w:tc>
        <w:tc>
          <w:tcPr>
            <w:tcW w:w="1803" w:type="dxa"/>
            <w:vAlign w:val="center"/>
          </w:tcPr>
          <w:p w14:paraId="10CEAC9C" w14:textId="723011E2" w:rsidR="00380D46" w:rsidRDefault="00380D46" w:rsidP="00380D46">
            <w:r>
              <w:t>2208.43</w:t>
            </w:r>
          </w:p>
        </w:tc>
        <w:tc>
          <w:tcPr>
            <w:tcW w:w="1803" w:type="dxa"/>
            <w:vAlign w:val="center"/>
          </w:tcPr>
          <w:p w14:paraId="63C09205" w14:textId="392B02D6" w:rsidR="00380D46" w:rsidRDefault="00380D46" w:rsidP="00380D46">
            <w:r>
              <w:t>19,800,276.06</w:t>
            </w:r>
          </w:p>
        </w:tc>
        <w:tc>
          <w:tcPr>
            <w:tcW w:w="1803" w:type="dxa"/>
            <w:vAlign w:val="center"/>
          </w:tcPr>
          <w:p w14:paraId="6DAEB03E" w14:textId="4218AFC6" w:rsidR="00380D46" w:rsidRDefault="00380D46" w:rsidP="00380D46">
            <w:r>
              <w:t>4449.75</w:t>
            </w:r>
          </w:p>
        </w:tc>
        <w:tc>
          <w:tcPr>
            <w:tcW w:w="1804" w:type="dxa"/>
            <w:vAlign w:val="center"/>
          </w:tcPr>
          <w:p w14:paraId="61AC1FFA" w14:textId="481C0536" w:rsidR="00380D46" w:rsidRDefault="00380D46" w:rsidP="00380D46">
            <w:r>
              <w:t>0.87</w:t>
            </w:r>
          </w:p>
        </w:tc>
      </w:tr>
      <w:tr w:rsidR="00380D46" w14:paraId="737DBF6C" w14:textId="77777777" w:rsidTr="00A948CD">
        <w:tc>
          <w:tcPr>
            <w:tcW w:w="1803" w:type="dxa"/>
            <w:vAlign w:val="center"/>
          </w:tcPr>
          <w:p w14:paraId="58040FB0" w14:textId="7600D0FD" w:rsidR="00380D46" w:rsidRDefault="00380D46" w:rsidP="00380D46">
            <w:r>
              <w:rPr>
                <w:rStyle w:val="Strong"/>
              </w:rPr>
              <w:t>Decision Tree</w:t>
            </w:r>
          </w:p>
        </w:tc>
        <w:tc>
          <w:tcPr>
            <w:tcW w:w="1803" w:type="dxa"/>
            <w:vAlign w:val="center"/>
          </w:tcPr>
          <w:p w14:paraId="2EDAACA1" w14:textId="185E7B17" w:rsidR="00380D46" w:rsidRDefault="00380D46" w:rsidP="00380D46">
            <w:r>
              <w:t>3159.00</w:t>
            </w:r>
          </w:p>
        </w:tc>
        <w:tc>
          <w:tcPr>
            <w:tcW w:w="1803" w:type="dxa"/>
            <w:vAlign w:val="center"/>
          </w:tcPr>
          <w:p w14:paraId="161D603A" w14:textId="7BA4DA86" w:rsidR="00380D46" w:rsidRDefault="00380D46" w:rsidP="00380D46">
            <w:r>
              <w:t>43,555,735.99</w:t>
            </w:r>
          </w:p>
        </w:tc>
        <w:tc>
          <w:tcPr>
            <w:tcW w:w="1803" w:type="dxa"/>
            <w:vAlign w:val="center"/>
          </w:tcPr>
          <w:p w14:paraId="00014C58" w14:textId="7E603738" w:rsidR="00380D46" w:rsidRDefault="00380D46" w:rsidP="00380D46">
            <w:r>
              <w:t>6599.68</w:t>
            </w:r>
          </w:p>
        </w:tc>
        <w:tc>
          <w:tcPr>
            <w:tcW w:w="1804" w:type="dxa"/>
            <w:vAlign w:val="center"/>
          </w:tcPr>
          <w:p w14:paraId="4CDA7315" w14:textId="4C3358F4" w:rsidR="00380D46" w:rsidRDefault="00380D46" w:rsidP="00380D46">
            <w:r>
              <w:t>0.72</w:t>
            </w:r>
          </w:p>
        </w:tc>
      </w:tr>
      <w:tr w:rsidR="00380D46" w14:paraId="013C9EE2" w14:textId="77777777" w:rsidTr="00A948CD">
        <w:tc>
          <w:tcPr>
            <w:tcW w:w="1803" w:type="dxa"/>
            <w:vAlign w:val="center"/>
          </w:tcPr>
          <w:p w14:paraId="065DE247" w14:textId="68E85AFC" w:rsidR="00380D46" w:rsidRDefault="00380D46" w:rsidP="00380D46">
            <w:r>
              <w:rPr>
                <w:rStyle w:val="Strong"/>
              </w:rPr>
              <w:t>Random Forest</w:t>
            </w:r>
          </w:p>
        </w:tc>
        <w:tc>
          <w:tcPr>
            <w:tcW w:w="1803" w:type="dxa"/>
            <w:vAlign w:val="center"/>
          </w:tcPr>
          <w:p w14:paraId="5ABE656E" w14:textId="34F7674A" w:rsidR="00380D46" w:rsidRDefault="00380D46" w:rsidP="00380D46">
            <w:r>
              <w:t>2550.59</w:t>
            </w:r>
          </w:p>
        </w:tc>
        <w:tc>
          <w:tcPr>
            <w:tcW w:w="1803" w:type="dxa"/>
            <w:vAlign w:val="center"/>
          </w:tcPr>
          <w:p w14:paraId="55460A2C" w14:textId="12425163" w:rsidR="00380D46" w:rsidRDefault="00380D46" w:rsidP="00380D46">
            <w:r>
              <w:t>22,091,517.12</w:t>
            </w:r>
          </w:p>
        </w:tc>
        <w:tc>
          <w:tcPr>
            <w:tcW w:w="1803" w:type="dxa"/>
            <w:vAlign w:val="center"/>
          </w:tcPr>
          <w:p w14:paraId="7B011252" w14:textId="1538EBBB" w:rsidR="00380D46" w:rsidRDefault="00380D46" w:rsidP="00380D46">
            <w:r>
              <w:t>4700.16</w:t>
            </w:r>
          </w:p>
        </w:tc>
        <w:tc>
          <w:tcPr>
            <w:tcW w:w="1804" w:type="dxa"/>
            <w:vAlign w:val="center"/>
          </w:tcPr>
          <w:p w14:paraId="7328D9E8" w14:textId="43B81137" w:rsidR="00380D46" w:rsidRDefault="00380D46" w:rsidP="00380D46">
            <w:r>
              <w:t>0.86</w:t>
            </w:r>
          </w:p>
        </w:tc>
      </w:tr>
      <w:tr w:rsidR="00380D46" w14:paraId="1510FB8D" w14:textId="77777777" w:rsidTr="00A948CD">
        <w:tc>
          <w:tcPr>
            <w:tcW w:w="1803" w:type="dxa"/>
            <w:vAlign w:val="center"/>
          </w:tcPr>
          <w:p w14:paraId="5AC6C957" w14:textId="0779523C" w:rsidR="00380D46" w:rsidRDefault="00380D46" w:rsidP="00380D46">
            <w:r>
              <w:rPr>
                <w:rStyle w:val="Strong"/>
              </w:rPr>
              <w:t>Gradient Boosting</w:t>
            </w:r>
          </w:p>
        </w:tc>
        <w:tc>
          <w:tcPr>
            <w:tcW w:w="1803" w:type="dxa"/>
            <w:vAlign w:val="center"/>
          </w:tcPr>
          <w:p w14:paraId="172706A5" w14:textId="545486D0" w:rsidR="00380D46" w:rsidRDefault="00380D46" w:rsidP="00380D46">
            <w:r>
              <w:t>2424.53</w:t>
            </w:r>
          </w:p>
        </w:tc>
        <w:tc>
          <w:tcPr>
            <w:tcW w:w="1803" w:type="dxa"/>
            <w:vAlign w:val="center"/>
          </w:tcPr>
          <w:p w14:paraId="4F369AF8" w14:textId="49C4AA2F" w:rsidR="00380D46" w:rsidRDefault="00380D46" w:rsidP="00380D46">
            <w:r>
              <w:t>18,860,900.43</w:t>
            </w:r>
          </w:p>
        </w:tc>
        <w:tc>
          <w:tcPr>
            <w:tcW w:w="1803" w:type="dxa"/>
            <w:vAlign w:val="center"/>
          </w:tcPr>
          <w:p w14:paraId="7CE3EA51" w14:textId="18C1B800" w:rsidR="00380D46" w:rsidRDefault="00380D46" w:rsidP="00380D46">
            <w:r>
              <w:t>4342.91</w:t>
            </w:r>
          </w:p>
        </w:tc>
        <w:tc>
          <w:tcPr>
            <w:tcW w:w="1804" w:type="dxa"/>
            <w:vAlign w:val="center"/>
          </w:tcPr>
          <w:p w14:paraId="4EA1178A" w14:textId="5ABC9331" w:rsidR="00380D46" w:rsidRPr="009C009C" w:rsidRDefault="00380D46" w:rsidP="00380D46">
            <w:pPr>
              <w:rPr>
                <w:b/>
                <w:bCs/>
              </w:rPr>
            </w:pPr>
            <w:r w:rsidRPr="005D7CFB">
              <w:rPr>
                <w:b/>
                <w:bCs/>
                <w:color w:val="00B050"/>
              </w:rPr>
              <w:t>0.88</w:t>
            </w:r>
          </w:p>
        </w:tc>
      </w:tr>
    </w:tbl>
    <w:p w14:paraId="4711435E" w14:textId="77777777" w:rsidR="009E1471" w:rsidRDefault="009E1471" w:rsidP="0039522C"/>
    <w:p w14:paraId="7E7C86EB" w14:textId="31F2484C" w:rsidR="009E1471" w:rsidRDefault="009E1471" w:rsidP="0039522C">
      <w:r w:rsidRPr="009E1471">
        <w:rPr>
          <w:b/>
          <w:bCs/>
        </w:rPr>
        <w:br/>
      </w:r>
    </w:p>
    <w:sectPr w:rsidR="009E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83871"/>
    <w:multiLevelType w:val="multilevel"/>
    <w:tmpl w:val="0DCC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93D44"/>
    <w:multiLevelType w:val="multilevel"/>
    <w:tmpl w:val="27B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F3813"/>
    <w:multiLevelType w:val="multilevel"/>
    <w:tmpl w:val="DD5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3521E"/>
    <w:multiLevelType w:val="multilevel"/>
    <w:tmpl w:val="207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13CC7"/>
    <w:multiLevelType w:val="multilevel"/>
    <w:tmpl w:val="E2AC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32602">
    <w:abstractNumId w:val="2"/>
  </w:num>
  <w:num w:numId="2" w16cid:durableId="459609768">
    <w:abstractNumId w:val="3"/>
  </w:num>
  <w:num w:numId="3" w16cid:durableId="1618953412">
    <w:abstractNumId w:val="0"/>
  </w:num>
  <w:num w:numId="4" w16cid:durableId="1052850045">
    <w:abstractNumId w:val="1"/>
  </w:num>
  <w:num w:numId="5" w16cid:durableId="16374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C1"/>
    <w:rsid w:val="0000353E"/>
    <w:rsid w:val="00380D46"/>
    <w:rsid w:val="0039522C"/>
    <w:rsid w:val="005D7CFB"/>
    <w:rsid w:val="0086565E"/>
    <w:rsid w:val="008E17A7"/>
    <w:rsid w:val="009C009C"/>
    <w:rsid w:val="009E1471"/>
    <w:rsid w:val="00B03D37"/>
    <w:rsid w:val="00CD0B0F"/>
    <w:rsid w:val="00D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99D"/>
  <w15:chartTrackingRefBased/>
  <w15:docId w15:val="{37EA2298-CC53-4276-84B9-17977167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522C"/>
    <w:rPr>
      <w:b/>
      <w:bCs/>
    </w:rPr>
  </w:style>
  <w:style w:type="table" w:styleId="TableGrid">
    <w:name w:val="Table Grid"/>
    <w:basedOn w:val="TableNormal"/>
    <w:uiPriority w:val="39"/>
    <w:rsid w:val="009E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 Ghawalkar</dc:creator>
  <cp:keywords/>
  <dc:description/>
  <cp:lastModifiedBy>Premnath Ghawalkar</cp:lastModifiedBy>
  <cp:revision>10</cp:revision>
  <dcterms:created xsi:type="dcterms:W3CDTF">2025-06-29T09:49:00Z</dcterms:created>
  <dcterms:modified xsi:type="dcterms:W3CDTF">2025-06-29T10:25:00Z</dcterms:modified>
</cp:coreProperties>
</file>