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jc w:val="center"/>
      </w:pPr>
      <w:r>
        <w:rPr>
          <w:rFonts w:ascii="Georgia" w:hAnsi="Georgia" w:cs="Georgia" w:eastAsia="Georgia"/>
          <w:b/>
          <w:i w:val="0"/>
          <w:color w:val="6E8FCC"/>
          <w:sz w:val="28"/>
        </w:rPr>
        <w:t>VERITY</w:t>
      </w:r>
    </w:p>
    <w:p>
      <w:pPr>
        <w:spacing w:before="80" w:after="80"/>
        <w:jc w:val="center"/>
      </w:pPr>
      <w:r>
        <w:rPr>
          <w:rFonts w:ascii="Georgia" w:hAnsi="Georgia" w:cs="Georgia" w:eastAsia="Georgia"/>
          <w:b w:val="0"/>
          <w:i w:val="0"/>
          <w:color w:val="6B6B6B"/>
          <w:sz w:val="22"/>
        </w:rPr>
        <w:t>Compliance Report</w:t>
      </w:r>
    </w:p>
    <w:p>
      <w:pPr>
        <w:spacing w:before="560" w:after="160"/>
        <w:jc w:val="center"/>
      </w:pPr>
      <w:r>
        <w:rPr>
          <w:rFonts w:ascii="Georgia" w:hAnsi="Georgia" w:cs="Georgia" w:eastAsia="Georgia"/>
          <w:b/>
          <w:i w:val="0"/>
          <w:color w:val="1A365D"/>
          <w:sz w:val="72"/>
        </w:rPr>
        <w:t>{{ report_title }}</w:t>
      </w:r>
    </w:p>
    <w:p>
      <w:pPr>
        <w:spacing w:before="400"/>
        <w:jc w:val="center"/>
      </w:pPr>
      <w:r>
        <w:rPr>
          <w:rFonts w:ascii="Poppins" w:hAnsi="Poppins" w:cs="Poppins" w:eastAsia="Poppins"/>
          <w:b w:val="0"/>
          <w:i w:val="0"/>
          <w:color w:val="333333"/>
          <w:sz w:val="24"/>
        </w:rPr>
        <w:t>Generated {{ generated_at_str }}</w:t>
      </w:r>
    </w:p>
    <w:p>
      <w:pPr>
        <w:spacing w:before="40"/>
        <w:jc w:val="center"/>
      </w:pPr>
      <w:r>
        <w:rPr>
          <w:rFonts w:ascii="Poppins" w:hAnsi="Poppins" w:cs="Poppins" w:eastAsia="Poppins"/>
          <w:b w:val="0"/>
          <w:i/>
          <w:color w:val="6B6B6B"/>
          <w:sz w:val="22"/>
        </w:rPr>
        <w:t>Scope: {{ scope_summary }}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cs="Georgia" w:eastAsia="Georgia"/>
          <w:b/>
          <w:i w:val="0"/>
          <w:color w:val="1A365D"/>
          <w:sz w:val="44"/>
        </w:rPr>
        <w:t>Purpose and Audience</w:t>
      </w:r>
    </w:p>
    <w:p>
      <w:pPr>
        <w:spacing w:before="200" w:after="80"/>
        <w:jc w:val="left"/>
      </w:pPr>
      <w:r>
        <w:rPr>
          <w:rFonts w:ascii="Georgia" w:hAnsi="Georgia" w:cs="Georgia" w:eastAsia="Georgia"/>
          <w:b/>
          <w:i w:val="0"/>
          <w:color w:val="1A365D"/>
          <w:sz w:val="26"/>
        </w:rPr>
        <w:t>Purpose</w:t>
      </w:r>
    </w:p>
    <w:p>
      <w:pPr>
        <w:spacing w:before="0" w:after="200"/>
        <w:jc w:val="left"/>
      </w:pPr>
      <w:r>
        <w:rPr>
          <w:rFonts w:ascii="Poppins" w:hAnsi="Poppins" w:cs="Poppins" w:eastAsia="Poppins"/>
          <w:b w:val="0"/>
          <w:i w:val="0"/>
          <w:color w:val="333333"/>
          <w:sz w:val="22"/>
        </w:rPr>
        <w:t>{{ report_description }}</w:t>
      </w:r>
    </w:p>
    <w:p>
      <w:pPr>
        <w:spacing w:before="0" w:after="280"/>
        <w:jc w:val="left"/>
      </w:pPr>
      <w:r>
        <w:rPr>
          <w:rFonts w:ascii="Poppins" w:hAnsi="Poppins" w:cs="Poppins" w:eastAsia="Poppins"/>
          <w:b w:val="0"/>
          <w:i w:val="0"/>
          <w:color w:val="333333"/>
          <w:sz w:val="22"/>
        </w:rPr>
        <w:t>This report enumerates {{ total_count }} AI asset version(s) registered to Verity at the time of generation: {{ agent_count }} agent(s), {{ task_count }} task(s), and {{ prompt_count }} prompt(s). The breakdown by materiality is {{ high_count }} high, {{ medium_count }} medium, and {{ low_count }} low.</w:t>
      </w:r>
    </w:p>
    <w:p>
      <w:pPr>
        <w:spacing w:before="200" w:after="80"/>
        <w:jc w:val="left"/>
      </w:pPr>
      <w:r>
        <w:rPr>
          <w:rFonts w:ascii="Georgia" w:hAnsi="Georgia" w:cs="Georgia" w:eastAsia="Georgia"/>
          <w:b/>
          <w:i w:val="0"/>
          <w:color w:val="1A365D"/>
          <w:sz w:val="26"/>
        </w:rPr>
        <w:t>Intended audience</w:t>
      </w:r>
    </w:p>
    <w:p>
      <w:pPr>
        <w:spacing w:before="0" w:after="200"/>
        <w:jc w:val="left"/>
      </w:pPr>
      <w:r>
        <w:rPr>
          <w:rFonts w:ascii="Poppins" w:hAnsi="Poppins" w:cs="Poppins" w:eastAsia="Poppins"/>
          <w:b w:val="0"/>
          <w:i w:val="0"/>
          <w:color w:val="333333"/>
          <w:sz w:val="22"/>
        </w:rPr>
        <w:t>Model Risk Management committees, compliance officers, internal audit teams, and external regulatory examiners. The report is organized to be read top-to-bottom: cover → this purpose page → executive summary → AI asset inventory (grouped by asset type, with one card per registered asset) → recent lifecycle changes → regulatory coverage table mapping the report sections back to the canonical regulatory requirements they evidence.</w:t>
      </w:r>
    </w:p>
    <w:p>
      <w:pPr>
        <w:spacing w:before="200" w:after="80"/>
        <w:jc w:val="left"/>
      </w:pPr>
      <w:r>
        <w:rPr>
          <w:rFonts w:ascii="Georgia" w:hAnsi="Georgia" w:cs="Georgia" w:eastAsia="Georgia"/>
          <w:b/>
          <w:i w:val="0"/>
          <w:color w:val="1A365D"/>
          <w:sz w:val="26"/>
        </w:rPr>
        <w:t>Data lineage</w:t>
      </w:r>
    </w:p>
    <w:p>
      <w:pPr>
        <w:spacing w:before="0" w:after="80"/>
        <w:jc w:val="left"/>
      </w:pPr>
      <w:r>
        <w:rPr>
          <w:rFonts w:ascii="Poppins" w:hAnsi="Poppins" w:cs="Poppins" w:eastAsia="Poppins"/>
          <w:b w:val="0"/>
          <w:i w:val="0"/>
          <w:color w:val="333333"/>
          <w:sz w:val="22"/>
        </w:rPr>
        <w:t>All figures in this report are queried at generation time from the Verity compliance metamodel — frameworks, provisions, canonical requirements, Verity features, and the bidirectional bridges that connect them. No data is imported from external systems; nothing is computed offline. Every value is traceable back to a source row in the metamodel.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cs="Georgia" w:eastAsia="Georgia"/>
          <w:b/>
          <w:i w:val="0"/>
          <w:color w:val="1A365D"/>
          <w:sz w:val="44"/>
        </w:rPr>
        <w:t>Executive Summary</w:t>
      </w:r>
    </w:p>
    <w:p>
      <w:pPr>
        <w:spacing w:before="0" w:after="160"/>
        <w:jc w:val="left"/>
      </w:pPr>
      <w:r>
        <w:rPr>
          <w:rFonts w:ascii="Poppins" w:hAnsi="Poppins" w:cs="Poppins" w:eastAsia="Poppins"/>
          <w:b w:val="0"/>
          <w:i w:val="0"/>
          <w:color w:val="333333"/>
          <w:sz w:val="22"/>
        </w:rPr>
        <w:t>At the time of generation, Verity governs {{ total_count }} AI asset version(s) across {{ by_entity_type|length }} asset type(s). The asset inventory is broken down as follows:</w:t>
      </w:r>
    </w:p>
    <w:p>
      <w:pPr>
        <w:spacing w:before="0" w:after="160"/>
        <w:jc w:val="left"/>
      </w:pPr>
      <w:r>
        <w:rPr>
          <w:rFonts w:ascii="Poppins" w:hAnsi="Poppins" w:cs="Poppins" w:eastAsia="Poppins"/>
          <w:b/>
          <w:i w:val="0"/>
          <w:color w:val="1A365D"/>
          <w:sz w:val="22"/>
        </w:rPr>
        <w:t>• Agents: {{ agent_count }}     • Tasks: {{ task_count }}     • Prompts: {{ prompt_count }}</w:t>
      </w:r>
    </w:p>
    <w:p>
      <w:pPr>
        <w:spacing w:before="0" w:after="80"/>
        <w:jc w:val="left"/>
      </w:pPr>
      <w:r>
        <w:rPr>
          <w:rFonts w:ascii="Poppins" w:hAnsi="Poppins" w:cs="Poppins" w:eastAsia="Poppins"/>
          <w:b w:val="0"/>
          <w:i w:val="0"/>
          <w:color w:val="333333"/>
          <w:sz w:val="22"/>
        </w:rPr>
        <w:t>By materiality tier: {{ high_count }} high, {{ medium_count }} medium, {{ low_count }} low. {{ lifecycle_events_total }} lifecycle state transitions are recorded in the recent-changes section of this report.</w:t>
      </w:r>
    </w:p>
    <w:p>
      <w:r>
        <w:br w:type="page"/>
      </w:r>
    </w:p>
    <w:p>
      <w:pPr>
        <w:spacing w:before="0" w:after="120"/>
      </w:pPr>
      <w:r>
        <w:rPr>
          <w:rFonts w:ascii="Georgia" w:hAnsi="Georgia" w:cs="Georgia" w:eastAsia="Georgia"/>
          <w:b/>
          <w:i w:val="0"/>
          <w:color w:val="1A365D"/>
          <w:sz w:val="44"/>
        </w:rPr>
        <w:t>AI Asset Inventory</w:t>
      </w:r>
    </w:p>
    <w:p>
      <w:pPr>
        <w:spacing w:before="0" w:after="280"/>
        <w:jc w:val="left"/>
      </w:pPr>
      <w:r>
        <w:rPr>
          <w:rFonts w:ascii="Poppins" w:hAnsi="Poppins" w:cs="Poppins" w:eastAsia="Poppins"/>
          <w:b w:val="0"/>
          <w:i w:val="0"/>
          <w:color w:val="333333"/>
          <w:sz w:val="22"/>
        </w:rPr>
        <w:t>Every AI asset registered to Verity is listed below, grouped by asset type. Each card shows the asset's display name, current version label, lifecycle state, plain-language description, materiality tier, named owner, and the applications it serves.</w:t>
      </w:r>
    </w:p>
    <w:p>
      <w:pPr>
        <w:spacing w:before="120" w:after="120"/>
      </w:pPr>
      <w:r>
        <w:rPr>
          <w:rFonts w:ascii="Georgia" w:hAnsi="Georgia" w:cs="Georgia" w:eastAsia="Georgia"/>
          <w:b/>
          <w:i w:val="0"/>
          <w:color w:val="1A365D"/>
          <w:sz w:val="32"/>
        </w:rPr>
        <w:t>Agents ({{ agent_count }})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</w:tcPr>
          <w:p>
            <w:r/>
            <w:r>
              <w:t>{%tr for a in agents %}</w:t>
            </w:r>
          </w:p>
        </w:tc>
      </w:tr>
      <w:tr>
        <w:tc>
          <w:tcPr>
            <w:tcW w:type="dxa" w:w="9360"/>
            <w:shd w:val="clear" w:color="auto" w:fill="F4F6FA"/>
            <w:tcBorders>
              <w:top w:val="single" w:sz="6" w:space="0" w:color="C5CDDC"/>
              <w:left w:val="single" w:sz="6" w:space="0" w:color="C5CDDC"/>
              <w:bottom w:val="single" w:sz="6" w:space="0" w:color="C5CDDC"/>
              <w:right w:val="single" w:sz="6" w:space="0" w:color="C5CDDC"/>
            </w:tcBorders>
            <w:vAlign w:val="top"/>
          </w:tcPr>
          <w:p>
            <w:pPr>
              <w:spacing w:before="160" w:after="40"/>
            </w:pPr>
            <w:r>
              <w:rPr>
                <w:rFonts w:ascii="Poppins" w:hAnsi="Poppins" w:cs="Poppins" w:eastAsia="Poppins"/>
                <w:b/>
                <w:i w:val="0"/>
                <w:color w:val="1A365D"/>
                <w:sz w:val="26"/>
              </w:rPr>
              <w:t>{{ a.display_name }}</w:t>
            </w:r>
            <w:r>
              <w:rPr>
                <w:rFonts w:ascii="Poppins" w:hAnsi="Poppins" w:cs="Poppins" w:eastAsia="Poppins"/>
                <w:b w:val="0"/>
                <w:i w:val="0"/>
                <w:color w:val="6B6B6B"/>
                <w:sz w:val="22"/>
              </w:rPr>
              <w:t xml:space="preserve">    v{{ a.version_label }}    ·    </w:t>
            </w:r>
            <w:r>
              <w:rPr>
                <w:rFonts w:ascii="Poppins" w:hAnsi="Poppins" w:cs="Poppins" w:eastAsia="Poppins"/>
                <w:b/>
                <w:i w:val="0"/>
                <w:color w:val="6E8FCC"/>
                <w:sz w:val="22"/>
              </w:rPr>
              <w:t>{{ a.lifecycle_state_display }}</w:t>
            </w:r>
          </w:p>
          <w:p>
            <w:pPr>
              <w:spacing w:before="0" w:after="80"/>
            </w:pPr>
            <w:r>
              <w:rPr>
                <w:rFonts w:ascii="Poppins" w:hAnsi="Poppins" w:cs="Poppins" w:eastAsia="Poppins"/>
                <w:b w:val="0"/>
                <w:i/>
                <w:color w:val="6B6B6B"/>
                <w:sz w:val="20"/>
              </w:rPr>
              <w:t>{{ a.entity_description or '—' }}</w:t>
            </w:r>
          </w:p>
          <w:p>
            <w:pPr>
              <w:spacing w:before="40" w:after="160"/>
            </w:pPr>
            <w:r>
              <w:rPr>
                <w:rFonts w:ascii="Poppins" w:hAnsi="Poppins" w:cs="Poppins" w:eastAsia="Poppins"/>
                <w:b w:val="0"/>
                <w:i w:val="0"/>
                <w:color w:val="6B6B6B"/>
                <w:sz w:val="20"/>
              </w:rPr>
              <w:t xml:space="preserve">Materiality: </w:t>
            </w:r>
            <w:r>
              <w:rPr>
                <w:rFonts w:ascii="Poppins" w:hAnsi="Poppins" w:cs="Poppins" w:eastAsia="Poppins"/>
                <w:b/>
                <w:i w:val="0"/>
                <w:color w:val="333333"/>
                <w:sz w:val="20"/>
              </w:rPr>
              <w:t>{{ a.materiality_display }}</w:t>
            </w:r>
            <w:r>
              <w:rPr>
                <w:rFonts w:ascii="Poppins" w:hAnsi="Poppins" w:cs="Poppins" w:eastAsia="Poppins"/>
                <w:b w:val="0"/>
                <w:i w:val="0"/>
                <w:color w:val="6B6B6B"/>
                <w:sz w:val="20"/>
              </w:rPr>
              <w:t xml:space="preserve">    ·    Owner: </w:t>
            </w:r>
            <w:r>
              <w:rPr>
                <w:rFonts w:ascii="Poppins" w:hAnsi="Poppins" w:cs="Poppins" w:eastAsia="Poppins"/>
                <w:b/>
                <w:i w:val="0"/>
                <w:color w:val="333333"/>
                <w:sz w:val="20"/>
              </w:rPr>
              <w:t>{{ a.owner_name or '—' }}</w:t>
            </w:r>
            <w:r>
              <w:rPr>
                <w:rFonts w:ascii="Poppins" w:hAnsi="Poppins" w:cs="Poppins" w:eastAsia="Poppins"/>
                <w:b w:val="0"/>
                <w:i w:val="0"/>
                <w:color w:val="6B6B6B"/>
                <w:sz w:val="20"/>
              </w:rPr>
              <w:t xml:space="preserve">    ·    Application(s): </w:t>
            </w:r>
            <w:r>
              <w:rPr>
                <w:rFonts w:ascii="Poppins" w:hAnsi="Poppins" w:cs="Poppins" w:eastAsia="Poppins"/>
                <w:b/>
                <w:i w:val="0"/>
                <w:color w:val="333333"/>
                <w:sz w:val="20"/>
              </w:rPr>
              <w:t>{{ a.applications }}</w:t>
            </w:r>
          </w:p>
        </w:tc>
      </w:tr>
      <w:tr>
        <w:tc>
          <w:tcPr>
            <w:tcW w:type="dxa" w:w="9648"/>
          </w:tcPr>
          <w:p>
            <w:r/>
            <w:r>
              <w:t>{%tr endfor %}</w:t>
            </w:r>
          </w:p>
        </w:tc>
      </w:tr>
    </w:tbl>
    <w:p>
      <w:pPr>
        <w:spacing w:before="120" w:after="120"/>
      </w:pPr>
      <w:r>
        <w:rPr>
          <w:rFonts w:ascii="Georgia" w:hAnsi="Georgia" w:cs="Georgia" w:eastAsia="Georgia"/>
          <w:b/>
          <w:i w:val="0"/>
          <w:color w:val="1A365D"/>
          <w:sz w:val="32"/>
        </w:rPr>
        <w:t>Tasks ({{ task_count }})</w:t>
      </w:r>
    </w:p>
    <w:p>
      <w:pPr>
        <w:spacing w:before="160" w:after="80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</w:tcPr>
          <w:p>
            <w:r/>
            <w:r>
              <w:t>{%tr for a in tasks %}</w:t>
            </w:r>
          </w:p>
        </w:tc>
      </w:tr>
      <w:tr>
        <w:tc>
          <w:tcPr>
            <w:tcW w:type="dxa" w:w="9360"/>
            <w:shd w:val="clear" w:color="auto" w:fill="F4F6FA"/>
            <w:tcBorders>
              <w:top w:val="single" w:sz="6" w:space="0" w:color="C5CDDC"/>
              <w:left w:val="single" w:sz="6" w:space="0" w:color="C5CDDC"/>
              <w:bottom w:val="single" w:sz="6" w:space="0" w:color="C5CDDC"/>
              <w:right w:val="single" w:sz="6" w:space="0" w:color="C5CDDC"/>
            </w:tcBorders>
            <w:vAlign w:val="top"/>
          </w:tcPr>
          <w:p>
            <w:pPr>
              <w:spacing w:before="160" w:after="40"/>
            </w:pPr>
            <w:r>
              <w:rPr>
                <w:rFonts w:ascii="Poppins" w:hAnsi="Poppins" w:cs="Poppins" w:eastAsia="Poppins"/>
                <w:b/>
                <w:i w:val="0"/>
                <w:color w:val="1A365D"/>
                <w:sz w:val="26"/>
              </w:rPr>
              <w:t>{{ a.display_name }}</w:t>
            </w:r>
            <w:r>
              <w:rPr>
                <w:rFonts w:ascii="Poppins" w:hAnsi="Poppins" w:cs="Poppins" w:eastAsia="Poppins"/>
                <w:b w:val="0"/>
                <w:i w:val="0"/>
                <w:color w:val="6B6B6B"/>
                <w:sz w:val="22"/>
              </w:rPr>
              <w:t xml:space="preserve">    v{{ a.version_label }}    ·    </w:t>
            </w:r>
            <w:r>
              <w:rPr>
                <w:rFonts w:ascii="Poppins" w:hAnsi="Poppins" w:cs="Poppins" w:eastAsia="Poppins"/>
                <w:b/>
                <w:i w:val="0"/>
                <w:color w:val="6E8FCC"/>
                <w:sz w:val="22"/>
              </w:rPr>
              <w:t>{{ a.lifecycle_state_display }}</w:t>
            </w:r>
          </w:p>
          <w:p>
            <w:pPr>
              <w:spacing w:before="0" w:after="80"/>
            </w:pPr>
            <w:r>
              <w:rPr>
                <w:rFonts w:ascii="Poppins" w:hAnsi="Poppins" w:cs="Poppins" w:eastAsia="Poppins"/>
                <w:b w:val="0"/>
                <w:i/>
                <w:color w:val="6B6B6B"/>
                <w:sz w:val="20"/>
              </w:rPr>
              <w:t>{{ a.entity_description or '—' }}</w:t>
            </w:r>
          </w:p>
          <w:p>
            <w:pPr>
              <w:spacing w:before="40" w:after="160"/>
            </w:pPr>
            <w:r>
              <w:rPr>
                <w:rFonts w:ascii="Poppins" w:hAnsi="Poppins" w:cs="Poppins" w:eastAsia="Poppins"/>
                <w:b w:val="0"/>
                <w:i w:val="0"/>
                <w:color w:val="6B6B6B"/>
                <w:sz w:val="20"/>
              </w:rPr>
              <w:t xml:space="preserve">Materiality: </w:t>
            </w:r>
            <w:r>
              <w:rPr>
                <w:rFonts w:ascii="Poppins" w:hAnsi="Poppins" w:cs="Poppins" w:eastAsia="Poppins"/>
                <w:b/>
                <w:i w:val="0"/>
                <w:color w:val="333333"/>
                <w:sz w:val="20"/>
              </w:rPr>
              <w:t>{{ a.materiality_display }}</w:t>
            </w:r>
            <w:r>
              <w:rPr>
                <w:rFonts w:ascii="Poppins" w:hAnsi="Poppins" w:cs="Poppins" w:eastAsia="Poppins"/>
                <w:b w:val="0"/>
                <w:i w:val="0"/>
                <w:color w:val="6B6B6B"/>
                <w:sz w:val="20"/>
              </w:rPr>
              <w:t xml:space="preserve">    ·    Owner: </w:t>
            </w:r>
            <w:r>
              <w:rPr>
                <w:rFonts w:ascii="Poppins" w:hAnsi="Poppins" w:cs="Poppins" w:eastAsia="Poppins"/>
                <w:b/>
                <w:i w:val="0"/>
                <w:color w:val="333333"/>
                <w:sz w:val="20"/>
              </w:rPr>
              <w:t>{{ a.owner_name or '—' }}</w:t>
            </w:r>
            <w:r>
              <w:rPr>
                <w:rFonts w:ascii="Poppins" w:hAnsi="Poppins" w:cs="Poppins" w:eastAsia="Poppins"/>
                <w:b w:val="0"/>
                <w:i w:val="0"/>
                <w:color w:val="6B6B6B"/>
                <w:sz w:val="20"/>
              </w:rPr>
              <w:t xml:space="preserve">    ·    Application(s): </w:t>
            </w:r>
            <w:r>
              <w:rPr>
                <w:rFonts w:ascii="Poppins" w:hAnsi="Poppins" w:cs="Poppins" w:eastAsia="Poppins"/>
                <w:b/>
                <w:i w:val="0"/>
                <w:color w:val="333333"/>
                <w:sz w:val="20"/>
              </w:rPr>
              <w:t>{{ a.applications }}</w:t>
            </w:r>
          </w:p>
        </w:tc>
      </w:tr>
      <w:tr>
        <w:tc>
          <w:tcPr>
            <w:tcW w:type="dxa" w:w="9648"/>
          </w:tcPr>
          <w:p>
            <w:r/>
            <w:r>
              <w:t>{%tr endfor %}</w:t>
            </w:r>
          </w:p>
        </w:tc>
      </w:tr>
    </w:tbl>
    <w:p>
      <w:pPr>
        <w:spacing w:before="120" w:after="120"/>
      </w:pPr>
      <w:r>
        <w:rPr>
          <w:rFonts w:ascii="Georgia" w:hAnsi="Georgia" w:cs="Georgia" w:eastAsia="Georgia"/>
          <w:b/>
          <w:i w:val="0"/>
          <w:color w:val="1A365D"/>
          <w:sz w:val="32"/>
        </w:rPr>
        <w:t>Prompts ({{ prompt_count }})</w:t>
      </w:r>
    </w:p>
    <w:p>
      <w:pPr>
        <w:spacing w:before="160" w:after="80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</w:tcPr>
          <w:p>
            <w:r/>
            <w:r>
              <w:t>{%tr for a in prompts %}</w:t>
            </w:r>
          </w:p>
        </w:tc>
      </w:tr>
      <w:tr>
        <w:tc>
          <w:tcPr>
            <w:tcW w:type="dxa" w:w="9360"/>
            <w:shd w:val="clear" w:color="auto" w:fill="F4F6FA"/>
            <w:tcBorders>
              <w:top w:val="single" w:sz="6" w:space="0" w:color="C5CDDC"/>
              <w:left w:val="single" w:sz="6" w:space="0" w:color="C5CDDC"/>
              <w:bottom w:val="single" w:sz="6" w:space="0" w:color="C5CDDC"/>
              <w:right w:val="single" w:sz="6" w:space="0" w:color="C5CDDC"/>
            </w:tcBorders>
            <w:vAlign w:val="top"/>
          </w:tcPr>
          <w:p>
            <w:pPr>
              <w:spacing w:before="160" w:after="40"/>
            </w:pPr>
            <w:r>
              <w:rPr>
                <w:rFonts w:ascii="Poppins" w:hAnsi="Poppins" w:cs="Poppins" w:eastAsia="Poppins"/>
                <w:b/>
                <w:i w:val="0"/>
                <w:color w:val="1A365D"/>
                <w:sz w:val="26"/>
              </w:rPr>
              <w:t>{{ a.display_name }}</w:t>
            </w:r>
            <w:r>
              <w:rPr>
                <w:rFonts w:ascii="Poppins" w:hAnsi="Poppins" w:cs="Poppins" w:eastAsia="Poppins"/>
                <w:b w:val="0"/>
                <w:i w:val="0"/>
                <w:color w:val="6B6B6B"/>
                <w:sz w:val="22"/>
              </w:rPr>
              <w:t xml:space="preserve">    v{{ a.version_label }}    ·    </w:t>
            </w:r>
            <w:r>
              <w:rPr>
                <w:rFonts w:ascii="Poppins" w:hAnsi="Poppins" w:cs="Poppins" w:eastAsia="Poppins"/>
                <w:b/>
                <w:i w:val="0"/>
                <w:color w:val="6E8FCC"/>
                <w:sz w:val="22"/>
              </w:rPr>
              <w:t>{{ a.lifecycle_state_display }}</w:t>
            </w:r>
          </w:p>
          <w:p>
            <w:pPr>
              <w:spacing w:before="0" w:after="80"/>
            </w:pPr>
            <w:r>
              <w:rPr>
                <w:rFonts w:ascii="Poppins" w:hAnsi="Poppins" w:cs="Poppins" w:eastAsia="Poppins"/>
                <w:b w:val="0"/>
                <w:i/>
                <w:color w:val="6B6B6B"/>
                <w:sz w:val="20"/>
              </w:rPr>
              <w:t>{{ a.entity_description or '—' }}</w:t>
            </w:r>
          </w:p>
          <w:p>
            <w:pPr>
              <w:spacing w:before="40" w:after="160"/>
            </w:pPr>
            <w:r>
              <w:rPr>
                <w:rFonts w:ascii="Poppins" w:hAnsi="Poppins" w:cs="Poppins" w:eastAsia="Poppins"/>
                <w:b w:val="0"/>
                <w:i w:val="0"/>
                <w:color w:val="6B6B6B"/>
                <w:sz w:val="20"/>
              </w:rPr>
              <w:t xml:space="preserve">Materiality: </w:t>
            </w:r>
            <w:r>
              <w:rPr>
                <w:rFonts w:ascii="Poppins" w:hAnsi="Poppins" w:cs="Poppins" w:eastAsia="Poppins"/>
                <w:b/>
                <w:i w:val="0"/>
                <w:color w:val="333333"/>
                <w:sz w:val="20"/>
              </w:rPr>
              <w:t>{{ a.materiality_display }}</w:t>
            </w:r>
            <w:r>
              <w:rPr>
                <w:rFonts w:ascii="Poppins" w:hAnsi="Poppins" w:cs="Poppins" w:eastAsia="Poppins"/>
                <w:b w:val="0"/>
                <w:i w:val="0"/>
                <w:color w:val="6B6B6B"/>
                <w:sz w:val="20"/>
              </w:rPr>
              <w:t xml:space="preserve">    ·    Owner: </w:t>
            </w:r>
            <w:r>
              <w:rPr>
                <w:rFonts w:ascii="Poppins" w:hAnsi="Poppins" w:cs="Poppins" w:eastAsia="Poppins"/>
                <w:b/>
                <w:i w:val="0"/>
                <w:color w:val="333333"/>
                <w:sz w:val="20"/>
              </w:rPr>
              <w:t>{{ a.owner_name or '—' }}</w:t>
            </w:r>
            <w:r>
              <w:rPr>
                <w:rFonts w:ascii="Poppins" w:hAnsi="Poppins" w:cs="Poppins" w:eastAsia="Poppins"/>
                <w:b w:val="0"/>
                <w:i w:val="0"/>
                <w:color w:val="6B6B6B"/>
                <w:sz w:val="20"/>
              </w:rPr>
              <w:t xml:space="preserve">    ·    Application(s): </w:t>
            </w:r>
            <w:r>
              <w:rPr>
                <w:rFonts w:ascii="Poppins" w:hAnsi="Poppins" w:cs="Poppins" w:eastAsia="Poppins"/>
                <w:b/>
                <w:i w:val="0"/>
                <w:color w:val="333333"/>
                <w:sz w:val="20"/>
              </w:rPr>
              <w:t>{{ a.applications }}</w:t>
            </w:r>
          </w:p>
        </w:tc>
      </w:tr>
      <w:tr>
        <w:tc>
          <w:tcPr>
            <w:tcW w:type="dxa" w:w="9648"/>
          </w:tcPr>
          <w:p>
            <w:r/>
            <w:r>
              <w:t>{%tr endfor %}</w:t>
            </w:r>
          </w:p>
        </w:tc>
      </w:tr>
    </w:tbl>
    <w:p>
      <w:r>
        <w:br w:type="page"/>
      </w:r>
    </w:p>
    <w:p>
      <w:pPr>
        <w:spacing w:before="0" w:after="120"/>
      </w:pPr>
      <w:r>
        <w:rPr>
          <w:rFonts w:ascii="Georgia" w:hAnsi="Georgia" w:cs="Georgia" w:eastAsia="Georgia"/>
          <w:b/>
          <w:i w:val="0"/>
          <w:color w:val="1A365D"/>
          <w:sz w:val="44"/>
        </w:rPr>
        <w:t>Recent Lifecycle Changes</w:t>
      </w:r>
    </w:p>
    <w:p>
      <w:pPr>
        <w:spacing w:before="0" w:after="200"/>
        <w:jc w:val="left"/>
      </w:pPr>
      <w:r>
        <w:rPr>
          <w:rFonts w:ascii="Poppins" w:hAnsi="Poppins" w:cs="Poppins" w:eastAsia="Poppins"/>
          <w:b w:val="0"/>
          <w:i w:val="0"/>
          <w:color w:val="333333"/>
          <w:sz w:val="22"/>
        </w:rPr>
        <w:t>Up to the 50 most recent state transitions across all assets, sub-grouped by asset type. Each row reflects a HITL approval gate.</w:t>
      </w:r>
    </w:p>
    <w:p>
      <w:pPr>
        <w:spacing w:before="120" w:after="120"/>
      </w:pPr>
      <w:r>
        <w:rPr>
          <w:rFonts w:ascii="Georgia" w:hAnsi="Georgia" w:cs="Georgia" w:eastAsia="Georgia"/>
          <w:b/>
          <w:i w:val="0"/>
          <w:color w:val="1A365D"/>
          <w:sz w:val="32"/>
        </w:rPr>
        <w:t>Agents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Asset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Transition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Gate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Approver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Approved At</w:t>
            </w:r>
          </w:p>
        </w:tc>
      </w:tr>
      <w:tr>
        <w:tc>
          <w:tcPr>
            <w:tcW w:type="dxa" w:w="9650"/>
            <w:gridSpan w:val="5"/>
          </w:tcPr>
          <w:p>
            <w:r>
              <w:t>{%tr for ev in lifecycle_agents %}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ev.asset_display_name }}  v{{ ev.version_label }}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ev.from_state_display }} → {{ ev.to_state_display }}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ev.gate_type }}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ev.approver_name }}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ev.approved_at.strftime('%Y-%m-%d %H:%M') if ev.approved_at else '—' }}</w:t>
            </w:r>
          </w:p>
        </w:tc>
      </w:tr>
      <w:tr>
        <w:tc>
          <w:tcPr>
            <w:tcW w:type="dxa" w:w="9650"/>
            <w:gridSpan w:val="5"/>
          </w:tcPr>
          <w:p>
            <w:r>
              <w:t>{%tr endfor %}</w:t>
            </w:r>
          </w:p>
        </w:tc>
      </w:tr>
    </w:tbl>
    <w:p>
      <w:pPr>
        <w:spacing w:before="200" w:after="80"/>
        <w:jc w:val="left"/>
      </w:pPr>
    </w:p>
    <w:p>
      <w:pPr>
        <w:spacing w:before="120" w:after="120"/>
      </w:pPr>
      <w:r>
        <w:rPr>
          <w:rFonts w:ascii="Georgia" w:hAnsi="Georgia" w:cs="Georgia" w:eastAsia="Georgia"/>
          <w:b/>
          <w:i w:val="0"/>
          <w:color w:val="1A365D"/>
          <w:sz w:val="32"/>
        </w:rPr>
        <w:t>Tasks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Asset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Transition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Gate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Approver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Approved At</w:t>
            </w:r>
          </w:p>
        </w:tc>
      </w:tr>
      <w:tr>
        <w:tc>
          <w:tcPr>
            <w:tcW w:type="dxa" w:w="9650"/>
            <w:gridSpan w:val="5"/>
          </w:tcPr>
          <w:p>
            <w:r>
              <w:t>{%tr for ev in lifecycle_tasks %}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ev.asset_display_name }}  v{{ ev.version_label }}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ev.from_state_display }} → {{ ev.to_state_display }}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ev.gate_type }}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ev.approver_name }}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ev.approved_at.strftime('%Y-%m-%d %H:%M') if ev.approved_at else '—' }}</w:t>
            </w:r>
          </w:p>
        </w:tc>
      </w:tr>
      <w:tr>
        <w:tc>
          <w:tcPr>
            <w:tcW w:type="dxa" w:w="9650"/>
            <w:gridSpan w:val="5"/>
          </w:tcPr>
          <w:p>
            <w:r>
              <w:t>{%tr endfor %}</w:t>
            </w:r>
          </w:p>
        </w:tc>
      </w:tr>
    </w:tbl>
    <w:p>
      <w:pPr>
        <w:spacing w:before="200" w:after="80"/>
        <w:jc w:val="left"/>
      </w:pPr>
    </w:p>
    <w:p>
      <w:pPr>
        <w:spacing w:before="120" w:after="120"/>
      </w:pPr>
      <w:r>
        <w:rPr>
          <w:rFonts w:ascii="Georgia" w:hAnsi="Georgia" w:cs="Georgia" w:eastAsia="Georgia"/>
          <w:b/>
          <w:i w:val="0"/>
          <w:color w:val="1A365D"/>
          <w:sz w:val="32"/>
        </w:rPr>
        <w:t>Prompts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Asset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Transition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Gate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Approver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Approved At</w:t>
            </w:r>
          </w:p>
        </w:tc>
      </w:tr>
      <w:tr>
        <w:tc>
          <w:tcPr>
            <w:tcW w:type="dxa" w:w="9650"/>
            <w:gridSpan w:val="5"/>
          </w:tcPr>
          <w:p>
            <w:r>
              <w:t>{%tr for ev in lifecycle_prompts %}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ev.asset_display_name }}  v{{ ev.version_label }}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ev.from_state_display }} → {{ ev.to_state_display }}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ev.gate_type }}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ev.approver_name }}</w:t>
            </w:r>
          </w:p>
        </w:tc>
        <w:tc>
          <w:tcPr>
            <w:tcW w:type="dxa" w:w="1930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ev.approved_at.strftime('%Y-%m-%d %H:%M') if ev.approved_at else '—' }}</w:t>
            </w:r>
          </w:p>
        </w:tc>
      </w:tr>
      <w:tr>
        <w:tc>
          <w:tcPr>
            <w:tcW w:type="dxa" w:w="9650"/>
            <w:gridSpan w:val="5"/>
          </w:tcPr>
          <w:p>
            <w:r>
              <w:t>{%tr endfor %}</w:t>
            </w:r>
          </w:p>
        </w:tc>
      </w:tr>
    </w:tbl>
    <w:p>
      <w:r>
        <w:br w:type="page"/>
      </w:r>
    </w:p>
    <w:p>
      <w:pPr>
        <w:spacing w:before="0" w:after="120"/>
      </w:pPr>
      <w:r>
        <w:rPr>
          <w:rFonts w:ascii="Georgia" w:hAnsi="Georgia" w:cs="Georgia" w:eastAsia="Georgia"/>
          <w:b/>
          <w:i w:val="0"/>
          <w:color w:val="1A365D"/>
          <w:sz w:val="44"/>
        </w:rPr>
        <w:t>Regulatory Coverage</w:t>
      </w:r>
    </w:p>
    <w:p>
      <w:pPr>
        <w:spacing w:before="0" w:after="200"/>
        <w:jc w:val="left"/>
      </w:pPr>
      <w:r>
        <w:rPr>
          <w:rFonts w:ascii="Poppins" w:hAnsi="Poppins" w:cs="Poppins" w:eastAsia="Poppins"/>
          <w:b w:val="0"/>
          <w:i w:val="0"/>
          <w:color w:val="333333"/>
          <w:sz w:val="22"/>
        </w:rPr>
        <w:t>This report provides evidence for the following canonical regulatory requirements within the Verity compliance metamodel.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Theme</w:t>
            </w:r>
          </w:p>
        </w:tc>
        <w:tc>
          <w:tcPr>
            <w:tcW w:type="dxa" w:w="2412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Canonical Requirement</w:t>
            </w:r>
          </w:p>
        </w:tc>
        <w:tc>
          <w:tcPr>
            <w:tcW w:type="dxa" w:w="2412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Coverage</w:t>
            </w:r>
          </w:p>
        </w:tc>
        <w:tc>
          <w:tcPr>
            <w:tcW w:type="dxa" w:w="2412"/>
          </w:tcPr>
          <w:p>
            <w:r/>
            <w:r>
              <w:rPr>
                <w:rFonts w:ascii="Poppins" w:hAnsi="Poppins" w:cs="Poppins" w:eastAsia="Poppins"/>
                <w:b/>
                <w:i w:val="0"/>
                <w:color w:val="1A365D"/>
                <w:sz w:val="20"/>
              </w:rPr>
              <w:t>Section</w:t>
            </w:r>
          </w:p>
        </w:tc>
      </w:tr>
      <w:tr>
        <w:tc>
          <w:tcPr>
            <w:tcW w:type="dxa" w:w="9648"/>
            <w:gridSpan w:val="4"/>
          </w:tcPr>
          <w:p>
            <w:r>
              <w:t>{%tr for c in canonicals %}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c.theme_name }}</w:t>
            </w:r>
          </w:p>
        </w:tc>
        <w:tc>
          <w:tcPr>
            <w:tcW w:type="dxa" w:w="2412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c.title }}</w:t>
            </w:r>
          </w:p>
        </w:tc>
        <w:tc>
          <w:tcPr>
            <w:tcW w:type="dxa" w:w="2412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c.coverage_level or '—' }}</w:t>
            </w:r>
          </w:p>
        </w:tc>
        <w:tc>
          <w:tcPr>
            <w:tcW w:type="dxa" w:w="2412"/>
          </w:tcPr>
          <w:p>
            <w:r/>
            <w:r>
              <w:rPr>
                <w:rFonts w:ascii="Poppins" w:hAnsi="Poppins" w:cs="Poppins" w:eastAsia="Poppins"/>
                <w:b w:val="0"/>
                <w:i w:val="0"/>
                <w:color w:val="333333"/>
                <w:sz w:val="20"/>
              </w:rPr>
              <w:t>{{ c.section or '—' }}</w:t>
            </w:r>
          </w:p>
        </w:tc>
      </w:tr>
      <w:tr>
        <w:tc>
          <w:tcPr>
            <w:tcW w:type="dxa" w:w="9648"/>
            <w:gridSpan w:val="4"/>
          </w:tcPr>
          <w:p>
            <w:r>
              <w:t>{%tr endfor %}</w:t>
            </w:r>
          </w:p>
        </w:tc>
      </w:tr>
    </w:tbl>
    <w:sectPr w:rsidR="00FC693F" w:rsidRPr="0006063C" w:rsidSect="00034616">
      <w:headerReference w:type="first" r:id="rId9"/>
      <w:footerReference w:type="first" r:id="rId10"/>
      <w:headerReference w:type="default" r:id="rId11"/>
      <w:footerReference w:type="default" r:id="rId12"/>
      <w:pgSz w:w="12240" w:h="15840"/>
      <w:pgMar w:top="1224" w:right="1296" w:bottom="1224" w:left="1296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Poppins" w:hAnsi="Poppins" w:cs="Poppins" w:eastAsia="Poppins"/>
        <w:b w:val="0"/>
        <w:i w:val="0"/>
        <w:color w:val="6B6B6B"/>
        <w:sz w:val="16"/>
      </w:rPr>
      <w:t>{{ report_title }}  ·  Generated {{ generated_at_str }}  ·  Scope: {{ scope_summary }}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 w:cs="Georgia" w:eastAsia="Georgia"/>
        <w:b/>
        <w:i w:val="0"/>
        <w:color w:val="1A365D"/>
        <w:sz w:val="18"/>
      </w:rPr>
      <w:t>VERITY · {{ report_title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  <w:rFonts w:ascii="Poppins" w:hAnsi="Poppins" w:cs="Poppins" w:eastAsia="Poppin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