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Georgia" w:hAnsi="Georgia" w:cs="Georgia" w:eastAsia="Georgia"/>
          <w:b/>
          <w:i w:val="0"/>
          <w:color w:val="6E8FCC"/>
          <w:sz w:val="28"/>
        </w:rPr>
        <w:t>AI GOVERNANCE</w:t>
      </w:r>
    </w:p>
    <w:p>
      <w:pPr>
        <w:spacing w:before="80" w:after="80"/>
        <w:jc w:val="center"/>
      </w:pPr>
      <w:r>
        <w:rPr>
          <w:rFonts w:ascii="Georgia" w:hAnsi="Georgia" w:cs="Georgia" w:eastAsia="Georgia"/>
          <w:b w:val="0"/>
          <w:i w:val="0"/>
          <w:color w:val="6B6B6B"/>
          <w:sz w:val="22"/>
        </w:rPr>
        <w:t>Compliance Report</w:t>
      </w:r>
    </w:p>
    <w:p>
      <w:pPr>
        <w:spacing w:before="560" w:after="160"/>
        <w:jc w:val="center"/>
      </w:pPr>
      <w:r>
        <w:rPr>
          <w:rFonts w:ascii="Georgia" w:hAnsi="Georgia" w:cs="Georgia" w:eastAsia="Georgia"/>
          <w:b/>
          <w:i w:val="0"/>
          <w:color w:val="1A365D"/>
          <w:sz w:val="72"/>
        </w:rPr>
        <w:t>{{ report_title }}</w:t>
      </w:r>
    </w:p>
    <w:p>
      <w:pPr>
        <w:spacing w:before="400"/>
        <w:jc w:val="center"/>
      </w:pPr>
      <w:r>
        <w:rPr>
          <w:rFonts w:ascii="Poppins" w:hAnsi="Poppins" w:cs="Poppins" w:eastAsia="Poppins"/>
          <w:b w:val="0"/>
          <w:i w:val="0"/>
          <w:color w:val="333333"/>
          <w:sz w:val="24"/>
        </w:rPr>
        <w:t>Generated {{ generated_at_str }}</w:t>
      </w:r>
    </w:p>
    <w:p>
      <w:pPr>
        <w:spacing w:before="40"/>
        <w:jc w:val="center"/>
      </w:pPr>
      <w:r>
        <w:rPr>
          <w:rFonts w:ascii="Poppins" w:hAnsi="Poppins" w:cs="Poppins" w:eastAsia="Poppins"/>
          <w:b w:val="0"/>
          <w:i/>
          <w:color w:val="6B6B6B"/>
          <w:sz w:val="22"/>
        </w:rPr>
        <w:t>Scope: {{ scope_summary }}</w:t>
      </w:r>
    </w:p>
    <w:p>
      <w:r>
        <w:br w:type="page"/>
      </w:r>
    </w:p>
    <w:p>
      <w:pPr>
        <w:spacing w:before="0" w:after="120"/>
      </w:pPr>
      <w:r>
        <w:rPr>
          <w:rFonts w:ascii="Georgia" w:hAnsi="Georgia" w:cs="Georgia" w:eastAsia="Georgia"/>
          <w:b/>
          <w:i w:val="0"/>
          <w:color w:val="1A365D"/>
          <w:sz w:val="44"/>
        </w:rPr>
        <w:t>Purpose and Audience</w:t>
      </w:r>
    </w:p>
    <w:p>
      <w:pPr>
        <w:spacing w:before="200" w:after="80"/>
        <w:jc w:val="left"/>
      </w:pPr>
      <w:r>
        <w:rPr>
          <w:rFonts w:ascii="Georgia" w:hAnsi="Georgia" w:cs="Georgia" w:eastAsia="Georgia"/>
          <w:b/>
          <w:i w:val="0"/>
          <w:color w:val="1A365D"/>
          <w:sz w:val="26"/>
        </w:rPr>
        <w:t>Purpose</w:t>
      </w:r>
    </w:p>
    <w:p>
      <w:pPr>
        <w:spacing w:before="0" w:after="200"/>
        <w:jc w:val="left"/>
      </w:pPr>
      <w:r>
        <w:rPr>
          <w:rFonts w:ascii="Poppins" w:hAnsi="Poppins" w:cs="Poppins" w:eastAsia="Poppins"/>
          <w:b w:val="0"/>
          <w:i w:val="0"/>
          <w:color w:val="333333"/>
          <w:sz w:val="22"/>
        </w:rPr>
        <w:t>This report enumerates use cases at the specified risk tier together with their documented impact assessments — data sources and classification, populations affected, potential harms with severity and likelihood, mitigations with named owners, fairness and privacy considerations, and the human-oversight strategy. It is the direct evidence for risk-management and consumer-protection obligations.</w:t>
      </w:r>
    </w:p>
    <w:p>
      <w:pPr>
        <w:spacing w:before="200" w:after="80"/>
        <w:jc w:val="left"/>
      </w:pPr>
      <w:r>
        <w:rPr>
          <w:rFonts w:ascii="Georgia" w:hAnsi="Georgia" w:cs="Georgia" w:eastAsia="Georgia"/>
          <w:b/>
          <w:i w:val="0"/>
          <w:color w:val="1A365D"/>
          <w:sz w:val="26"/>
        </w:rPr>
        <w:t>Audience</w:t>
      </w:r>
    </w:p>
    <w:p>
      <w:pPr>
        <w:spacing w:before="0" w:after="400"/>
        <w:jc w:val="left"/>
      </w:pPr>
      <w:r>
        <w:rPr>
          <w:rFonts w:ascii="Poppins" w:hAnsi="Poppins" w:cs="Poppins" w:eastAsia="Poppins"/>
          <w:b w:val="0"/>
          <w:i w:val="0"/>
          <w:color w:val="333333"/>
          <w:sz w:val="22"/>
        </w:rPr>
        <w:t>Chief Risk Officer · Chief Compliance Officer · AI Governance Committee · external auditors and market-conduct examiners.</w:t>
      </w:r>
    </w:p>
    <w:p>
      <w:r>
        <w:br w:type="page"/>
      </w:r>
    </w:p>
    <w:p>
      <w:pPr>
        <w:spacing w:before="0" w:after="120"/>
      </w:pPr>
      <w:r>
        <w:rPr>
          <w:rFonts w:ascii="Georgia" w:hAnsi="Georgia" w:cs="Georgia" w:eastAsia="Georgia"/>
          <w:b/>
          <w:i w:val="0"/>
          <w:color w:val="1A365D"/>
          <w:sz w:val="44"/>
        </w:rPr>
        <w:t>Executive Summary</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Poppins" w:hAnsi="Poppins" w:cs="Poppins" w:eastAsia="Poppins"/>
                <w:b/>
                <w:i w:val="0"/>
                <w:color w:val="1A365D"/>
                <w:sz w:val="20"/>
              </w:rPr>
              <w:t>Risk tier covered</w:t>
            </w:r>
          </w:p>
        </w:tc>
        <w:tc>
          <w:tcPr>
            <w:tcW w:type="dxa" w:w="4680"/>
          </w:tcPr>
          <w:p>
            <w:r/>
            <w:r>
              <w:rPr>
                <w:rFonts w:ascii="Poppins" w:hAnsi="Poppins" w:cs="Poppins" w:eastAsia="Poppins"/>
                <w:b w:val="0"/>
                <w:i w:val="0"/>
                <w:color w:val="333333"/>
                <w:sz w:val="20"/>
              </w:rPr>
              <w:t>{{ risk_tier | title }}</w:t>
            </w:r>
          </w:p>
        </w:tc>
      </w:tr>
      <w:tr>
        <w:tc>
          <w:tcPr>
            <w:tcW w:type="dxa" w:w="4680"/>
          </w:tcPr>
          <w:p>
            <w:r/>
            <w:r>
              <w:rPr>
                <w:rFonts w:ascii="Poppins" w:hAnsi="Poppins" w:cs="Poppins" w:eastAsia="Poppins"/>
                <w:b/>
                <w:i w:val="0"/>
                <w:color w:val="1A365D"/>
                <w:sz w:val="20"/>
              </w:rPr>
              <w:t>Use cases at this tier</w:t>
            </w:r>
          </w:p>
        </w:tc>
        <w:tc>
          <w:tcPr>
            <w:tcW w:type="dxa" w:w="4680"/>
          </w:tcPr>
          <w:p>
            <w:r/>
            <w:r>
              <w:rPr>
                <w:rFonts w:ascii="Poppins" w:hAnsi="Poppins" w:cs="Poppins" w:eastAsia="Poppins"/>
                <w:b w:val="0"/>
                <w:i w:val="0"/>
                <w:color w:val="333333"/>
                <w:sz w:val="20"/>
              </w:rPr>
              <w:t>{{ intake_count }}</w:t>
            </w:r>
          </w:p>
        </w:tc>
      </w:tr>
      <w:tr>
        <w:tc>
          <w:tcPr>
            <w:tcW w:type="dxa" w:w="4680"/>
          </w:tcPr>
          <w:p>
            <w:r/>
            <w:r>
              <w:rPr>
                <w:rFonts w:ascii="Poppins" w:hAnsi="Poppins" w:cs="Poppins" w:eastAsia="Poppins"/>
                <w:b/>
                <w:i w:val="0"/>
                <w:color w:val="1A365D"/>
                <w:sz w:val="20"/>
              </w:rPr>
              <w:t>Assessments completed</w:t>
            </w:r>
          </w:p>
        </w:tc>
        <w:tc>
          <w:tcPr>
            <w:tcW w:type="dxa" w:w="4680"/>
          </w:tcPr>
          <w:p>
            <w:r/>
            <w:r>
              <w:rPr>
                <w:rFonts w:ascii="Poppins" w:hAnsi="Poppins" w:cs="Poppins" w:eastAsia="Poppins"/>
                <w:b w:val="0"/>
                <w:i w:val="0"/>
                <w:color w:val="333333"/>
                <w:sz w:val="20"/>
              </w:rPr>
              <w:t>{{ completed_count }}</w:t>
            </w:r>
          </w:p>
        </w:tc>
      </w:tr>
      <w:tr>
        <w:tc>
          <w:tcPr>
            <w:tcW w:type="dxa" w:w="4680"/>
          </w:tcPr>
          <w:p>
            <w:r/>
            <w:r>
              <w:rPr>
                <w:rFonts w:ascii="Poppins" w:hAnsi="Poppins" w:cs="Poppins" w:eastAsia="Poppins"/>
                <w:b/>
                <w:i w:val="0"/>
                <w:color w:val="1A365D"/>
                <w:sz w:val="20"/>
              </w:rPr>
              <w:t>Assessments missing or in progress</w:t>
            </w:r>
          </w:p>
        </w:tc>
        <w:tc>
          <w:tcPr>
            <w:tcW w:type="dxa" w:w="4680"/>
          </w:tcPr>
          <w:p>
            <w:r/>
            <w:r>
              <w:rPr>
                <w:rFonts w:ascii="Poppins" w:hAnsi="Poppins" w:cs="Poppins" w:eastAsia="Poppins"/>
                <w:b w:val="0"/>
                <w:i w:val="0"/>
                <w:color w:val="333333"/>
                <w:sz w:val="20"/>
              </w:rPr>
              <w:t>{{ missing_count }}</w:t>
            </w:r>
          </w:p>
        </w:tc>
      </w:tr>
    </w:tbl>
    <w:p>
      <w:r>
        <w:br w:type="page"/>
      </w:r>
    </w:p>
    <w:p>
      <w:pPr>
        <w:spacing w:before="0" w:after="120"/>
      </w:pPr>
      <w:r>
        <w:rPr>
          <w:rFonts w:ascii="Georgia" w:hAnsi="Georgia" w:cs="Georgia" w:eastAsia="Georgia"/>
          <w:b/>
          <w:i w:val="0"/>
          <w:color w:val="1A365D"/>
          <w:sz w:val="44"/>
        </w:rPr>
        <w:t>Use Cases &amp; Assessments</w:t>
      </w:r>
    </w:p>
    <w:tbl>
      <w:tblPr>
        <w:tblW w:type="auto" w:w="0"/>
        <w:tblLayout w:type="fixed"/>
        <w:tblLook w:firstColumn="1" w:firstRow="1" w:lastColumn="0" w:lastRow="0" w:noHBand="0" w:noVBand="1" w:val="04A0"/>
      </w:tblPr>
      <w:tblGrid>
        <w:gridCol w:w="9360"/>
      </w:tblGrid>
      <w:tr>
        <w:tc>
          <w:tcPr>
            <w:tcW w:type="dxa" w:w="9360"/>
          </w:tcPr>
          <w:p>
            <w:r/>
            <w:r>
              <w:t>{%tr for i in intakes %}</w:t>
            </w:r>
          </w:p>
        </w:tc>
      </w:tr>
      <w:tr>
        <w:tc>
          <w:tcPr>
            <w:tcW w:type="dxa" w:w="9360"/>
            <w:shd w:val="clear" w:color="auto" w:fill="F4F6FA"/>
            <w:tcBorders>
              <w:top w:val="single" w:sz="6" w:space="0" w:color="C5CDDC"/>
              <w:left w:val="single" w:sz="6" w:space="0" w:color="C5CDDC"/>
              <w:bottom w:val="single" w:sz="6" w:space="0" w:color="C5CDDC"/>
              <w:right w:val="single" w:sz="6" w:space="0" w:color="C5CDDC"/>
            </w:tcBorders>
            <w:vAlign w:val="top"/>
          </w:tcPr>
          <w:p>
            <w:pPr>
              <w:spacing w:before="160" w:after="40"/>
            </w:pPr>
            <w:r>
              <w:rPr>
                <w:rFonts w:ascii="Poppins" w:hAnsi="Poppins" w:cs="Poppins" w:eastAsia="Poppins"/>
                <w:b/>
                <w:i w:val="0"/>
                <w:color w:val="1A365D"/>
                <w:sz w:val="26"/>
              </w:rPr>
              <w:t>{{ i.intake_title }}</w:t>
            </w:r>
            <w:r>
              <w:rPr>
                <w:rFonts w:ascii="Poppins" w:hAnsi="Poppins" w:cs="Poppins" w:eastAsia="Poppins"/>
                <w:b w:val="0"/>
                <w:i w:val="0"/>
                <w:color w:val="6B6B6B"/>
                <w:sz w:val="20"/>
              </w:rPr>
              <w:t xml:space="preserve">    ·    {{ i.intake_code }}</w:t>
            </w:r>
            <w:r>
              <w:rPr>
                <w:rFonts w:ascii="Poppins" w:hAnsi="Poppins" w:cs="Poppins" w:eastAsia="Poppins"/>
                <w:b w:val="0"/>
                <w:i/>
                <w:color w:val="6B6B6B"/>
                <w:sz w:val="20"/>
              </w:rPr>
              <w:t xml:space="preserve">    ·    {{ i.ai_risk_tier | title }} risk    ·    {{ i.intake_status | title }}</w:t>
            </w:r>
          </w:p>
          <w:p>
            <w:pPr>
              <w:spacing w:after="120"/>
            </w:pPr>
            <w:r>
              <w:rPr>
                <w:rFonts w:ascii="Poppins" w:hAnsi="Poppins" w:cs="Poppins" w:eastAsia="Poppins"/>
                <w:b w:val="0"/>
                <w:i w:val="0"/>
                <w:color w:val="6B6B6B"/>
                <w:sz w:val="20"/>
              </w:rPr>
              <w:t xml:space="preserve">Owner: </w:t>
            </w:r>
            <w:r>
              <w:rPr>
                <w:rFonts w:ascii="Poppins" w:hAnsi="Poppins" w:cs="Poppins" w:eastAsia="Poppins"/>
                <w:b/>
                <w:i w:val="0"/>
                <w:color w:val="333333"/>
                <w:sz w:val="20"/>
              </w:rPr>
              <w:t>{{ i.business_owner_name }}</w:t>
            </w:r>
            <w:r>
              <w:rPr>
                <w:rFonts w:ascii="Poppins" w:hAnsi="Poppins" w:cs="Poppins" w:eastAsia="Poppins"/>
                <w:b w:val="0"/>
                <w:i w:val="0"/>
                <w:color w:val="6B6B6B"/>
                <w:sz w:val="20"/>
              </w:rPr>
              <w:t xml:space="preserve">    ·    Team: </w:t>
            </w:r>
            <w:r>
              <w:rPr>
                <w:rFonts w:ascii="Poppins" w:hAnsi="Poppins" w:cs="Poppins" w:eastAsia="Poppins"/>
                <w:b/>
                <w:i w:val="0"/>
                <w:color w:val="333333"/>
                <w:sz w:val="20"/>
              </w:rPr>
              <w:t>{{ i.requesting_team or '—' }}</w:t>
            </w:r>
          </w:p>
          <w:p>
            <w:pPr>
              <w:spacing w:before="120" w:after="40"/>
            </w:pPr>
            <w:r>
              <w:rPr>
                <w:rFonts w:ascii="Poppins" w:hAnsi="Poppins" w:cs="Poppins" w:eastAsia="Poppins"/>
                <w:b/>
                <w:i w:val="0"/>
                <w:color w:val="6B6B6B"/>
                <w:sz w:val="20"/>
              </w:rPr>
              <w:t>Fairness considerations</w:t>
            </w:r>
          </w:p>
          <w:p>
            <w:pPr>
              <w:spacing w:after="40"/>
            </w:pPr>
            <w:r>
              <w:rPr>
                <w:rFonts w:ascii="Poppins" w:hAnsi="Poppins" w:cs="Poppins" w:eastAsia="Poppins"/>
                <w:b w:val="0"/>
                <w:i/>
                <w:color w:val="333333"/>
                <w:sz w:val="20"/>
              </w:rPr>
              <w:t>{{ i.fairness_considerations }}</w:t>
            </w:r>
          </w:p>
          <w:p>
            <w:pPr>
              <w:spacing w:before="120" w:after="40"/>
            </w:pPr>
            <w:r>
              <w:rPr>
                <w:rFonts w:ascii="Poppins" w:hAnsi="Poppins" w:cs="Poppins" w:eastAsia="Poppins"/>
                <w:b/>
                <w:i w:val="0"/>
                <w:color w:val="6B6B6B"/>
                <w:sz w:val="20"/>
              </w:rPr>
              <w:t>Privacy considerations</w:t>
            </w:r>
          </w:p>
          <w:p>
            <w:pPr>
              <w:spacing w:after="40"/>
            </w:pPr>
            <w:r>
              <w:rPr>
                <w:rFonts w:ascii="Poppins" w:hAnsi="Poppins" w:cs="Poppins" w:eastAsia="Poppins"/>
                <w:b w:val="0"/>
                <w:i/>
                <w:color w:val="333333"/>
                <w:sz w:val="20"/>
              </w:rPr>
              <w:t>{{ i.privacy_considerations }}</w:t>
            </w:r>
          </w:p>
          <w:p>
            <w:pPr>
              <w:spacing w:before="120" w:after="40"/>
            </w:pPr>
            <w:r>
              <w:rPr>
                <w:rFonts w:ascii="Poppins" w:hAnsi="Poppins" w:cs="Poppins" w:eastAsia="Poppins"/>
                <w:b/>
                <w:i w:val="0"/>
                <w:color w:val="6B6B6B"/>
                <w:sz w:val="20"/>
              </w:rPr>
              <w:t>Human oversight plan (impact assessment)</w:t>
            </w:r>
          </w:p>
          <w:p>
            <w:pPr>
              <w:spacing w:after="40"/>
            </w:pPr>
            <w:r>
              <w:rPr>
                <w:rFonts w:ascii="Poppins" w:hAnsi="Poppins" w:cs="Poppins" w:eastAsia="Poppins"/>
                <w:b w:val="0"/>
                <w:i/>
                <w:color w:val="333333"/>
                <w:sz w:val="20"/>
              </w:rPr>
              <w:t>{{ i.human_oversight_plan }}</w:t>
            </w:r>
          </w:p>
          <w:p>
            <w:pPr>
              <w:spacing w:before="120" w:after="40"/>
            </w:pPr>
            <w:r>
              <w:rPr>
                <w:rFonts w:ascii="Poppins" w:hAnsi="Poppins" w:cs="Poppins" w:eastAsia="Poppins"/>
                <w:b/>
                <w:i w:val="0"/>
                <w:color w:val="6B6B6B"/>
                <w:sz w:val="20"/>
              </w:rPr>
              <w:t>HITL strategy (intake)</w:t>
            </w:r>
          </w:p>
          <w:p>
            <w:pPr>
              <w:spacing w:after="40"/>
            </w:pPr>
            <w:r>
              <w:rPr>
                <w:rFonts w:ascii="Poppins" w:hAnsi="Poppins" w:cs="Poppins" w:eastAsia="Poppins"/>
                <w:b w:val="0"/>
                <w:i/>
                <w:color w:val="333333"/>
                <w:sz w:val="20"/>
              </w:rPr>
              <w:t>{{ i.hitl_strategy }}</w:t>
            </w:r>
          </w:p>
          <w:p>
            <w:pPr>
              <w:spacing w:before="120" w:after="40"/>
            </w:pPr>
            <w:r>
              <w:rPr>
                <w:rFonts w:ascii="Poppins" w:hAnsi="Poppins" w:cs="Poppins" w:eastAsia="Poppins"/>
                <w:b/>
                <w:i w:val="0"/>
                <w:color w:val="6B6B6B"/>
                <w:sz w:val="20"/>
              </w:rPr>
              <w:t>Review trigger</w:t>
            </w:r>
          </w:p>
          <w:p>
            <w:pPr>
              <w:spacing w:after="40"/>
            </w:pPr>
            <w:r>
              <w:rPr>
                <w:rFonts w:ascii="Poppins" w:hAnsi="Poppins" w:cs="Poppins" w:eastAsia="Poppins"/>
                <w:b w:val="0"/>
                <w:i/>
                <w:color w:val="333333"/>
                <w:sz w:val="20"/>
              </w:rPr>
              <w:t>{{ i.hitl_review_threshold }}</w:t>
            </w:r>
          </w:p>
          <w:p>
            <w:pPr>
              <w:spacing w:after="160"/>
            </w:pPr>
            <w:r>
              <w:rPr>
                <w:rFonts w:ascii="Poppins" w:hAnsi="Poppins" w:cs="Poppins" w:eastAsia="Poppins"/>
                <w:b w:val="0"/>
                <w:i w:val="0"/>
                <w:color w:val="333333"/>
                <w:sz w:val="8"/>
              </w:rPr>
              <w:t xml:space="preserve"> </w:t>
            </w:r>
          </w:p>
        </w:tc>
      </w:tr>
      <w:tr>
        <w:tc>
          <w:tcPr>
            <w:tcW w:type="dxa" w:w="9360"/>
          </w:tcPr>
          <w:p>
            <w:r/>
            <w:r>
              <w:t>{%tr endfor %}</w:t>
            </w:r>
          </w:p>
        </w:tc>
      </w:tr>
    </w:tbl>
    <w:p>
      <w:r>
        <w:br w:type="page"/>
      </w:r>
    </w:p>
    <w:p>
      <w:pPr>
        <w:spacing w:before="0" w:after="120"/>
      </w:pPr>
      <w:r>
        <w:rPr>
          <w:rFonts w:ascii="Georgia" w:hAnsi="Georgia" w:cs="Georgia" w:eastAsia="Georgia"/>
          <w:b/>
          <w:i w:val="0"/>
          <w:color w:val="1A365D"/>
          <w:sz w:val="44"/>
        </w:rPr>
        <w:t>Regulatory Coverage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Poppins" w:hAnsi="Poppins" w:cs="Poppins" w:eastAsia="Poppins"/>
                <w:b/>
                <w:i w:val="0"/>
                <w:color w:val="1A365D"/>
                <w:sz w:val="20"/>
              </w:rPr>
              <w:t>Theme</w:t>
            </w:r>
          </w:p>
        </w:tc>
        <w:tc>
          <w:tcPr>
            <w:tcW w:type="dxa" w:w="2340"/>
          </w:tcPr>
          <w:p>
            <w:r/>
            <w:r>
              <w:rPr>
                <w:rFonts w:ascii="Poppins" w:hAnsi="Poppins" w:cs="Poppins" w:eastAsia="Poppins"/>
                <w:b/>
                <w:i w:val="0"/>
                <w:color w:val="1A365D"/>
                <w:sz w:val="20"/>
              </w:rPr>
              <w:t>Canonical Requirement</w:t>
            </w:r>
          </w:p>
        </w:tc>
        <w:tc>
          <w:tcPr>
            <w:tcW w:type="dxa" w:w="2340"/>
          </w:tcPr>
          <w:p>
            <w:r/>
            <w:r>
              <w:rPr>
                <w:rFonts w:ascii="Poppins" w:hAnsi="Poppins" w:cs="Poppins" w:eastAsia="Poppins"/>
                <w:b/>
                <w:i w:val="0"/>
                <w:color w:val="1A365D"/>
                <w:sz w:val="20"/>
              </w:rPr>
              <w:t>Coverage</w:t>
            </w:r>
          </w:p>
        </w:tc>
        <w:tc>
          <w:tcPr>
            <w:tcW w:type="dxa" w:w="2340"/>
          </w:tcPr>
          <w:p>
            <w:r/>
            <w:r>
              <w:rPr>
                <w:rFonts w:ascii="Poppins" w:hAnsi="Poppins" w:cs="Poppins" w:eastAsia="Poppins"/>
                <w:b/>
                <w:i w:val="0"/>
                <w:color w:val="1A365D"/>
                <w:sz w:val="20"/>
              </w:rPr>
              <w:t>Frameworks</w:t>
            </w:r>
          </w:p>
        </w:tc>
      </w:tr>
      <w:tr>
        <w:tc>
          <w:tcPr>
            <w:tcW w:type="dxa" w:w="9360"/>
            <w:gridSpan w:val="4"/>
          </w:tcPr>
          <w:p>
            <w:r>
              <w:t>{%tr for c in canonicals %}</w:t>
            </w:r>
          </w:p>
        </w:tc>
      </w:tr>
      <w:tr>
        <w:tc>
          <w:tcPr>
            <w:tcW w:type="dxa" w:w="2340"/>
          </w:tcPr>
          <w:p>
            <w:r/>
            <w:r>
              <w:rPr>
                <w:rFonts w:ascii="Poppins" w:hAnsi="Poppins" w:cs="Poppins" w:eastAsia="Poppins"/>
                <w:b w:val="0"/>
                <w:i w:val="0"/>
                <w:color w:val="333333"/>
                <w:sz w:val="20"/>
              </w:rPr>
              <w:t>{{ c.theme_name }}</w:t>
            </w:r>
          </w:p>
        </w:tc>
        <w:tc>
          <w:tcPr>
            <w:tcW w:type="dxa" w:w="2340"/>
          </w:tcPr>
          <w:p>
            <w:r/>
            <w:r>
              <w:rPr>
                <w:rFonts w:ascii="Poppins" w:hAnsi="Poppins" w:cs="Poppins" w:eastAsia="Poppins"/>
                <w:b w:val="0"/>
                <w:i w:val="0"/>
                <w:color w:val="333333"/>
                <w:sz w:val="20"/>
              </w:rPr>
              <w:t>{{ c.title }}</w:t>
            </w:r>
          </w:p>
        </w:tc>
        <w:tc>
          <w:tcPr>
            <w:tcW w:type="dxa" w:w="2340"/>
          </w:tcPr>
          <w:p>
            <w:r/>
            <w:r>
              <w:rPr>
                <w:rFonts w:ascii="Poppins" w:hAnsi="Poppins" w:cs="Poppins" w:eastAsia="Poppins"/>
                <w:b w:val="0"/>
                <w:i w:val="0"/>
                <w:color w:val="333333"/>
                <w:sz w:val="20"/>
              </w:rPr>
              <w:t>{{ c.coverage_level | default('—') }}</w:t>
            </w:r>
          </w:p>
        </w:tc>
        <w:tc>
          <w:tcPr>
            <w:tcW w:type="dxa" w:w="2340"/>
          </w:tcPr>
          <w:p>
            <w:r/>
            <w:r>
              <w:rPr>
                <w:rFonts w:ascii="Poppins" w:hAnsi="Poppins" w:cs="Poppins" w:eastAsia="Poppins"/>
                <w:b w:val="0"/>
                <w:i w:val="0"/>
                <w:color w:val="333333"/>
                <w:sz w:val="20"/>
              </w:rPr>
              <w:t>{{ c.frameworks_label | default('—') }}</w:t>
            </w:r>
          </w:p>
        </w:tc>
      </w:tr>
      <w:tr>
        <w:tc>
          <w:tcPr>
            <w:tcW w:type="dxa" w:w="9360"/>
            <w:gridSpan w:val="4"/>
          </w:tcPr>
          <w:p>
            <w:r>
              <w:t>{%tr endfor %}</w:t>
            </w:r>
          </w:p>
        </w:tc>
      </w:tr>
    </w:tbl>
    <w:p>
      <w:pPr>
        <w:spacing w:before="360" w:after="160"/>
        <w:jc w:val="left"/>
      </w:pPr>
      <w:r>
        <w:rPr>
          <w:rFonts w:ascii="Georgia" w:hAnsi="Georgia" w:cs="Georgia" w:eastAsia="Georgia"/>
          <w:b/>
          <w:i w:val="0"/>
          <w:color w:val="1A365D"/>
          <w:sz w:val="26"/>
        </w:rPr>
        <w:t>How the system addresses each requirement</w:t>
      </w:r>
    </w:p>
    <w:p>
      <w:pPr>
        <w:spacing w:before="0" w:after="200"/>
        <w:jc w:val="left"/>
      </w:pPr>
      <w:r>
        <w:rPr>
          <w:rFonts w:ascii="Poppins" w:hAnsi="Poppins" w:cs="Poppins" w:eastAsia="Poppins"/>
          <w:b w:val="0"/>
          <w:i/>
          <w:color w:val="6B6B6B"/>
          <w:sz w:val="20"/>
        </w:rPr>
        <w:t>For each requirement above, the following describes how the system and surrounding processes deliver coverage. Where responsibilities remain with the customer (policies, training, or written program documentation), they are stated explicitly.</w:t>
      </w:r>
    </w:p>
    <w:p>
      <w:r>
        <w:t>{%p for c in canonicals %}</w:t>
      </w:r>
    </w:p>
    <w:p>
      <w:pPr>
        <w:spacing w:before="160" w:after="40"/>
      </w:pPr>
      <w:r>
        <w:rPr>
          <w:rFonts w:ascii="Georgia" w:hAnsi="Georgia" w:cs="Georgia" w:eastAsia="Georgia"/>
          <w:b/>
          <w:i w:val="0"/>
          <w:color w:val="1A365D"/>
          <w:sz w:val="22"/>
        </w:rPr>
        <w:t xml:space="preserve">{{ c.title }} </w:t>
      </w:r>
      <w:r>
        <w:rPr>
          <w:rFonts w:ascii="Poppins" w:hAnsi="Poppins" w:cs="Poppins" w:eastAsia="Poppins"/>
          <w:b w:val="0"/>
          <w:i/>
          <w:color w:val="6B6B6B"/>
          <w:sz w:val="18"/>
        </w:rPr>
        <w:t>· {{ c.coverage_level | default('—') | title }}</w:t>
      </w:r>
    </w:p>
    <w:p>
      <w:pPr>
        <w:spacing w:after="80"/>
      </w:pPr>
      <w:r>
        <w:rPr>
          <w:rFonts w:ascii="Poppins" w:hAnsi="Poppins" w:cs="Poppins" w:eastAsia="Poppins"/>
          <w:b w:val="0"/>
          <w:i/>
          <w:color w:val="6B6B6B"/>
          <w:sz w:val="18"/>
        </w:rPr>
        <w:t>Cited in: {{ c.frameworks_label | default('—') }}</w:t>
      </w:r>
    </w:p>
    <w:p>
      <w:pPr>
        <w:spacing w:after="80"/>
      </w:pPr>
      <w:r>
        <w:rPr>
          <w:rFonts w:ascii="Poppins" w:hAnsi="Poppins" w:cs="Poppins" w:eastAsia="Poppins"/>
          <w:b w:val="0"/>
          <w:i w:val="0"/>
          <w:color w:val="333333"/>
          <w:sz w:val="20"/>
        </w:rPr>
        <w:t>{{ c.coverage_rationale | default('Coverage rationale not yet documented.') }}</w:t>
      </w:r>
    </w:p>
    <w:p>
      <w:pPr>
        <w:spacing w:after="80"/>
      </w:pPr>
      <w:r>
        <w:rPr>
          <w:rFonts w:ascii="Poppins" w:hAnsi="Poppins" w:cs="Poppins" w:eastAsia="Poppins"/>
          <w:b w:val="0"/>
          <w:i w:val="0"/>
          <w:color w:val="333333"/>
          <w:sz w:val="18"/>
        </w:rPr>
        <w:t>{%p if c.coverage_customer_actions %}</w:t>
      </w:r>
    </w:p>
    <w:p>
      <w:pPr>
        <w:spacing w:after="80"/>
      </w:pPr>
      <w:r>
        <w:rPr>
          <w:rFonts w:ascii="Poppins" w:hAnsi="Poppins" w:cs="Poppins" w:eastAsia="Poppins"/>
          <w:b/>
          <w:i w:val="0"/>
          <w:color w:val="6B6B6B"/>
          <w:sz w:val="18"/>
        </w:rPr>
        <w:t xml:space="preserve">Customer responsibilities: </w:t>
      </w:r>
      <w:r>
        <w:rPr>
          <w:rFonts w:ascii="Poppins" w:hAnsi="Poppins" w:cs="Poppins" w:eastAsia="Poppins"/>
          <w:b w:val="0"/>
          <w:i/>
          <w:color w:val="6B6B6B"/>
          <w:sz w:val="18"/>
        </w:rPr>
        <w:t>{{ c.coverage_customer_actions }}</w:t>
      </w:r>
    </w:p>
    <w:p>
      <w:r>
        <w:t>{%p endif %}</w:t>
      </w:r>
    </w:p>
    <w:p>
      <w:pPr>
        <w:spacing w:after="200"/>
      </w:pPr>
      <w:r>
        <w:rPr>
          <w:rFonts w:ascii="Poppins" w:hAnsi="Poppins" w:cs="Poppins" w:eastAsia="Poppins"/>
          <w:b w:val="0"/>
          <w:i/>
          <w:color w:val="6B6B6B"/>
          <w:sz w:val="16"/>
        </w:rPr>
        <w:t>Implementing capabilities: {% for f in c.primary_features %}{{ f.name }}{% if not loop.last %}, {% endif %}{% endfor %}{% if not c.primary_features %}—{% endif %}</w:t>
      </w:r>
    </w:p>
    <w:p>
      <w:r>
        <w:t>{%p endfor %}</w:t>
      </w:r>
    </w:p>
    <w:sectPr w:rsidR="00FC693F" w:rsidRPr="0006063C" w:rsidSect="00034616">
      <w:foot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Poppins" w:hAnsi="Poppins" w:cs="Poppins" w:eastAsia="Poppins"/>
        <w:b w:val="0"/>
        <w:i w:val="0"/>
        <w:color w:val="6B6B6B"/>
        <w:sz w:val="16"/>
      </w:rPr>
      <w:t>{{ report_title }}  ·  Generated {{ generated_at_str }}  ·  Scope: {{ scope_summary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